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E0299" w14:textId="77777777" w:rsidR="008B1423" w:rsidRPr="00BE4F57" w:rsidRDefault="008B1423" w:rsidP="00A14CA6">
      <w:pPr>
        <w:spacing w:after="0" w:line="240" w:lineRule="auto"/>
        <w:jc w:val="center"/>
        <w:rPr>
          <w:rFonts w:ascii="Sylfaen" w:hAnsi="Sylfaen"/>
          <w:b/>
          <w:sz w:val="24"/>
          <w:szCs w:val="24"/>
          <w:lang w:val="ka-GE"/>
        </w:rPr>
      </w:pPr>
      <w:r w:rsidRPr="00BE4F57">
        <w:rPr>
          <w:rFonts w:ascii="Sylfaen" w:hAnsi="Sylfaen"/>
          <w:b/>
          <w:sz w:val="24"/>
          <w:szCs w:val="24"/>
          <w:lang w:val="ka-GE"/>
        </w:rPr>
        <w:t>პროდუქტის ზოგადი დახასიათება</w:t>
      </w:r>
    </w:p>
    <w:p w14:paraId="74664D31" w14:textId="77777777" w:rsidR="008B1423" w:rsidRPr="00BE4F57" w:rsidRDefault="008B1423" w:rsidP="00A14CA6">
      <w:pPr>
        <w:spacing w:after="0" w:line="240" w:lineRule="auto"/>
        <w:rPr>
          <w:rFonts w:ascii="Sylfaen" w:hAnsi="Sylfaen"/>
          <w:b/>
          <w:sz w:val="24"/>
          <w:szCs w:val="24"/>
          <w:lang w:val="ka-GE"/>
        </w:rPr>
      </w:pPr>
    </w:p>
    <w:p w14:paraId="13AC580D" w14:textId="77777777" w:rsidR="008B1423" w:rsidRPr="00BE4F57" w:rsidRDefault="008B1423" w:rsidP="00A14CA6">
      <w:pPr>
        <w:pStyle w:val="ListParagraph"/>
        <w:spacing w:after="0" w:line="240" w:lineRule="auto"/>
        <w:ind w:left="0"/>
        <w:jc w:val="both"/>
        <w:rPr>
          <w:rFonts w:ascii="Sylfaen" w:hAnsi="Sylfaen"/>
          <w:b/>
          <w:sz w:val="24"/>
          <w:szCs w:val="24"/>
          <w:lang w:val="ka-GE"/>
        </w:rPr>
      </w:pPr>
      <w:r w:rsidRPr="00BE4F57">
        <w:rPr>
          <w:rFonts w:ascii="Sylfaen" w:hAnsi="Sylfaen"/>
          <w:b/>
          <w:sz w:val="24"/>
          <w:szCs w:val="24"/>
          <w:lang w:val="ka-GE"/>
        </w:rPr>
        <w:t>1. სამკურნალო პრეპარატის დასახელება</w:t>
      </w:r>
    </w:p>
    <w:p w14:paraId="55BAA47E" w14:textId="77777777" w:rsidR="008B1423" w:rsidRPr="00BE4F57" w:rsidRDefault="008B1423" w:rsidP="00A14CA6">
      <w:pPr>
        <w:spacing w:after="0" w:line="240" w:lineRule="auto"/>
        <w:jc w:val="both"/>
        <w:rPr>
          <w:rFonts w:ascii="Sylfaen" w:hAnsi="Sylfaen"/>
          <w:sz w:val="24"/>
          <w:szCs w:val="24"/>
          <w:lang w:val="ka-GE"/>
        </w:rPr>
      </w:pPr>
    </w:p>
    <w:p w14:paraId="7445515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 3 მგ/25 მგ კაფსულა</w:t>
      </w:r>
    </w:p>
    <w:p w14:paraId="224E28BC" w14:textId="77777777" w:rsidR="008B1423" w:rsidRPr="00BE4F57" w:rsidRDefault="008B1423" w:rsidP="00A14CA6">
      <w:pPr>
        <w:spacing w:after="0" w:line="240" w:lineRule="auto"/>
        <w:jc w:val="both"/>
        <w:rPr>
          <w:rFonts w:ascii="Sylfaen" w:hAnsi="Sylfaen"/>
          <w:sz w:val="24"/>
          <w:szCs w:val="24"/>
          <w:lang w:val="ka-GE"/>
        </w:rPr>
      </w:pPr>
    </w:p>
    <w:p w14:paraId="2B7D7BB5" w14:textId="77777777" w:rsidR="008B1423" w:rsidRPr="00BE4F57" w:rsidRDefault="008B1423" w:rsidP="00A14CA6">
      <w:pPr>
        <w:pStyle w:val="ListParagraph"/>
        <w:spacing w:after="0" w:line="240" w:lineRule="auto"/>
        <w:ind w:left="0"/>
        <w:jc w:val="both"/>
        <w:rPr>
          <w:rFonts w:ascii="Sylfaen" w:hAnsi="Sylfaen"/>
          <w:b/>
          <w:sz w:val="24"/>
          <w:szCs w:val="24"/>
          <w:lang w:val="ka-GE"/>
        </w:rPr>
      </w:pPr>
      <w:r w:rsidRPr="00BE4F57">
        <w:rPr>
          <w:rFonts w:ascii="Sylfaen" w:hAnsi="Sylfaen"/>
          <w:b/>
          <w:sz w:val="24"/>
          <w:szCs w:val="24"/>
          <w:lang w:val="ka-GE"/>
        </w:rPr>
        <w:t>2. ხარისხობრივი და რაოდენობრივი შემადგენლობა</w:t>
      </w:r>
    </w:p>
    <w:p w14:paraId="07FF8634" w14:textId="77777777" w:rsidR="008B1423" w:rsidRPr="00BE4F57" w:rsidRDefault="008B1423" w:rsidP="00A14CA6">
      <w:pPr>
        <w:pStyle w:val="ListParagraph"/>
        <w:spacing w:after="0" w:line="240" w:lineRule="auto"/>
        <w:ind w:left="0"/>
        <w:jc w:val="both"/>
        <w:rPr>
          <w:rFonts w:ascii="Sylfaen" w:hAnsi="Sylfaen"/>
          <w:b/>
          <w:sz w:val="24"/>
          <w:szCs w:val="24"/>
          <w:lang w:val="ka-GE"/>
        </w:rPr>
      </w:pPr>
    </w:p>
    <w:p w14:paraId="70CC3C40" w14:textId="77777777" w:rsidR="008B1423" w:rsidRPr="00BE4F57" w:rsidRDefault="008B1423" w:rsidP="00A14CA6">
      <w:pPr>
        <w:pStyle w:val="ListParagraph"/>
        <w:spacing w:after="0" w:line="240" w:lineRule="auto"/>
        <w:ind w:left="0"/>
        <w:jc w:val="both"/>
        <w:rPr>
          <w:rFonts w:ascii="Sylfaen" w:hAnsi="Sylfaen"/>
          <w:sz w:val="24"/>
          <w:szCs w:val="24"/>
          <w:lang w:val="ka-GE"/>
        </w:rPr>
      </w:pPr>
      <w:r w:rsidRPr="00BE4F57">
        <w:rPr>
          <w:rFonts w:ascii="Sylfaen" w:hAnsi="Sylfaen"/>
          <w:b/>
          <w:sz w:val="24"/>
          <w:szCs w:val="24"/>
          <w:lang w:val="ka-GE"/>
        </w:rPr>
        <w:t>აქტიური ნივთიერება:</w:t>
      </w:r>
      <w:r w:rsidRPr="00BE4F57">
        <w:rPr>
          <w:rFonts w:ascii="Sylfaen" w:hAnsi="Sylfaen"/>
          <w:sz w:val="24"/>
          <w:szCs w:val="24"/>
          <w:lang w:val="ka-GE"/>
        </w:rPr>
        <w:t xml:space="preserve"> თითოეული კაფსულა შეიცავს 3 მგ ოლანზაპინს და 25 მგ ფლუოქსეტინს, როგორც აქტიურ ნივთიერებას.</w:t>
      </w:r>
    </w:p>
    <w:p w14:paraId="66304867" w14:textId="77777777" w:rsidR="008B1423" w:rsidRPr="00BE4F57" w:rsidRDefault="008B1423" w:rsidP="00A14CA6">
      <w:pPr>
        <w:pStyle w:val="ListParagraph"/>
        <w:spacing w:after="0" w:line="240" w:lineRule="auto"/>
        <w:ind w:left="0"/>
        <w:jc w:val="both"/>
        <w:rPr>
          <w:rFonts w:ascii="Sylfaen" w:hAnsi="Sylfaen"/>
          <w:sz w:val="24"/>
          <w:szCs w:val="24"/>
          <w:lang w:val="ka-GE"/>
        </w:rPr>
      </w:pPr>
    </w:p>
    <w:p w14:paraId="655679A6" w14:textId="77777777" w:rsidR="008B1423" w:rsidRPr="00BE4F57" w:rsidRDefault="008B1423" w:rsidP="00307422">
      <w:pPr>
        <w:pStyle w:val="ListParagraph"/>
        <w:spacing w:after="0" w:line="240" w:lineRule="auto"/>
        <w:ind w:left="0"/>
        <w:jc w:val="both"/>
        <w:rPr>
          <w:rFonts w:ascii="Sylfaen" w:hAnsi="Sylfaen"/>
          <w:sz w:val="24"/>
          <w:szCs w:val="24"/>
          <w:lang w:val="ka-GE"/>
        </w:rPr>
      </w:pPr>
      <w:r w:rsidRPr="00BE4F57">
        <w:rPr>
          <w:rFonts w:ascii="Sylfaen" w:hAnsi="Sylfaen"/>
          <w:b/>
          <w:sz w:val="24"/>
          <w:szCs w:val="24"/>
          <w:lang w:val="ka-GE"/>
        </w:rPr>
        <w:t xml:space="preserve">დამხმარე ნივთიერებები: </w:t>
      </w:r>
      <w:r w:rsidRPr="00BE4F57">
        <w:rPr>
          <w:rFonts w:ascii="Sylfaen" w:hAnsi="Sylfaen"/>
          <w:sz w:val="24"/>
          <w:szCs w:val="24"/>
          <w:lang w:val="ka-GE"/>
        </w:rPr>
        <w:t>პრეჟელატინიზებული სახამებელი (1500), დიმეთიკონი (350 CS)</w:t>
      </w:r>
    </w:p>
    <w:p w14:paraId="4185B42A" w14:textId="77777777" w:rsidR="008B1423" w:rsidRPr="00BE4F57" w:rsidRDefault="008B1423" w:rsidP="00307422">
      <w:pPr>
        <w:pStyle w:val="ListParagraph"/>
        <w:spacing w:after="0" w:line="240" w:lineRule="auto"/>
        <w:ind w:left="0"/>
        <w:jc w:val="both"/>
        <w:rPr>
          <w:rFonts w:ascii="Sylfaen" w:hAnsi="Sylfaen"/>
          <w:sz w:val="24"/>
          <w:szCs w:val="24"/>
          <w:lang w:val="ka-GE"/>
        </w:rPr>
      </w:pPr>
    </w:p>
    <w:p w14:paraId="415D8773" w14:textId="77777777" w:rsidR="008B1423" w:rsidRPr="00BE4F57" w:rsidRDefault="008B1423" w:rsidP="00307422">
      <w:pPr>
        <w:pStyle w:val="ListParagraph"/>
        <w:spacing w:after="0" w:line="240" w:lineRule="auto"/>
        <w:ind w:left="0"/>
        <w:jc w:val="both"/>
        <w:rPr>
          <w:rFonts w:ascii="Sylfaen" w:hAnsi="Sylfaen"/>
          <w:sz w:val="24"/>
          <w:szCs w:val="24"/>
        </w:rPr>
      </w:pPr>
      <w:r w:rsidRPr="00BE4F57">
        <w:rPr>
          <w:rFonts w:ascii="Sylfaen" w:hAnsi="Sylfaen"/>
          <w:sz w:val="24"/>
          <w:szCs w:val="24"/>
          <w:lang w:val="ka-GE"/>
        </w:rPr>
        <w:t>დამხმარე ნივთიერებების სრული სიისთვის იხილეთ 6.1 პუნქტი.</w:t>
      </w:r>
    </w:p>
    <w:p w14:paraId="3C221899" w14:textId="77777777" w:rsidR="008B1423" w:rsidRPr="00BE4F57" w:rsidRDefault="008B1423" w:rsidP="00307422">
      <w:pPr>
        <w:pStyle w:val="ListParagraph"/>
        <w:spacing w:after="0" w:line="240" w:lineRule="auto"/>
        <w:ind w:left="0"/>
        <w:jc w:val="both"/>
        <w:rPr>
          <w:rFonts w:ascii="Sylfaen" w:hAnsi="Sylfaen"/>
          <w:b/>
          <w:color w:val="FF0000"/>
          <w:sz w:val="24"/>
          <w:szCs w:val="24"/>
        </w:rPr>
      </w:pPr>
    </w:p>
    <w:p w14:paraId="03168CE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3. ფარმაცევტული ფორმა.</w:t>
      </w:r>
    </w:p>
    <w:p w14:paraId="13288CA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ნარინჯისფერ-ყვითელი მყარი ჟელატინის კაფსულა</w:t>
      </w:r>
    </w:p>
    <w:p w14:paraId="15A7C8FF" w14:textId="77777777" w:rsidR="008B1423" w:rsidRPr="00BE4F57" w:rsidRDefault="008B1423" w:rsidP="00A14CA6">
      <w:pPr>
        <w:spacing w:after="0" w:line="240" w:lineRule="auto"/>
        <w:jc w:val="both"/>
        <w:rPr>
          <w:rFonts w:ascii="Sylfaen" w:hAnsi="Sylfaen"/>
          <w:b/>
          <w:sz w:val="24"/>
          <w:szCs w:val="24"/>
          <w:lang w:val="ka-GE"/>
        </w:rPr>
      </w:pPr>
    </w:p>
    <w:p w14:paraId="60D6943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 კლინიკური მონაცემები</w:t>
      </w:r>
    </w:p>
    <w:p w14:paraId="2300B097" w14:textId="77777777" w:rsidR="008B1423" w:rsidRPr="00BE4F57" w:rsidRDefault="008B1423" w:rsidP="00A14CA6">
      <w:pPr>
        <w:spacing w:after="0" w:line="240" w:lineRule="auto"/>
        <w:jc w:val="both"/>
        <w:rPr>
          <w:rFonts w:ascii="Sylfaen" w:hAnsi="Sylfaen"/>
          <w:b/>
          <w:sz w:val="24"/>
          <w:szCs w:val="24"/>
          <w:lang w:val="ka-GE"/>
        </w:rPr>
      </w:pPr>
    </w:p>
    <w:p w14:paraId="6C83439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4.1. თერაპიული ჩვენებები</w:t>
      </w:r>
    </w:p>
    <w:p w14:paraId="02C483D9" w14:textId="77777777" w:rsidR="008B1423" w:rsidRPr="00BE4F57" w:rsidRDefault="008B1423" w:rsidP="00A14CA6">
      <w:pPr>
        <w:pStyle w:val="ListParagraph1"/>
        <w:spacing w:after="0" w:line="240" w:lineRule="auto"/>
        <w:ind w:left="0"/>
        <w:jc w:val="both"/>
        <w:rPr>
          <w:rFonts w:ascii="Sylfaen" w:hAnsi="Sylfaen"/>
          <w:sz w:val="24"/>
          <w:szCs w:val="24"/>
          <w:lang w:val="ka-GE"/>
        </w:rPr>
      </w:pPr>
    </w:p>
    <w:p w14:paraId="4802D1B5" w14:textId="77777777" w:rsidR="008B1423" w:rsidRPr="00BE4F57" w:rsidRDefault="008B1423" w:rsidP="00A14CA6">
      <w:pPr>
        <w:pStyle w:val="ListParagraph1"/>
        <w:spacing w:after="0" w:line="240" w:lineRule="auto"/>
        <w:ind w:left="0"/>
        <w:jc w:val="both"/>
        <w:rPr>
          <w:rFonts w:ascii="Sylfaen" w:hAnsi="Sylfaen"/>
          <w:b/>
          <w:sz w:val="24"/>
          <w:szCs w:val="24"/>
          <w:lang w:val="ka-GE"/>
        </w:rPr>
      </w:pPr>
      <w:r w:rsidRPr="00BE4F57">
        <w:rPr>
          <w:rFonts w:ascii="Sylfaen" w:hAnsi="Sylfaen"/>
          <w:b/>
          <w:sz w:val="24"/>
          <w:szCs w:val="24"/>
          <w:lang w:val="ka-GE"/>
        </w:rPr>
        <w:t>ბიპოლარულ I აშლილობასთან ასოცირებული დეპრესიული ეპიზოდები</w:t>
      </w:r>
    </w:p>
    <w:p w14:paraId="2F33D73C" w14:textId="77777777" w:rsidR="008B1423" w:rsidRPr="00BE4F57" w:rsidRDefault="008B1423" w:rsidP="00A14CA6">
      <w:pPr>
        <w:pStyle w:val="ListParagraph1"/>
        <w:spacing w:after="0" w:line="240" w:lineRule="auto"/>
        <w:ind w:left="0"/>
        <w:jc w:val="both"/>
        <w:rPr>
          <w:rFonts w:ascii="Sylfaen" w:hAnsi="Sylfaen"/>
          <w:sz w:val="24"/>
          <w:szCs w:val="24"/>
          <w:lang w:val="ka-GE"/>
        </w:rPr>
      </w:pPr>
      <w:r w:rsidRPr="00BE4F57">
        <w:rPr>
          <w:rFonts w:ascii="Sylfaen" w:hAnsi="Sylfaen"/>
          <w:sz w:val="24"/>
          <w:szCs w:val="24"/>
          <w:lang w:val="ka-GE"/>
        </w:rPr>
        <w:t>რექსეპი კომბი ნაჩვენებია მოზრდილებში ბიპოლარულ I აშლილობასთან ასოცირებული დეპრესიული ეპიზოდების მწვავე მკურნალობის დროს.</w:t>
      </w:r>
    </w:p>
    <w:p w14:paraId="72D4F867" w14:textId="77777777" w:rsidR="008B1423" w:rsidRPr="00BE4F57" w:rsidRDefault="008B1423" w:rsidP="00A14CA6">
      <w:pPr>
        <w:pStyle w:val="ListParagraph1"/>
        <w:spacing w:after="0" w:line="240" w:lineRule="auto"/>
        <w:ind w:left="0"/>
        <w:jc w:val="both"/>
        <w:rPr>
          <w:rFonts w:ascii="Sylfaen" w:hAnsi="Sylfaen"/>
          <w:sz w:val="24"/>
          <w:szCs w:val="24"/>
          <w:lang w:val="ka-GE"/>
        </w:rPr>
      </w:pPr>
    </w:p>
    <w:p w14:paraId="6F4A7EED" w14:textId="77777777" w:rsidR="008B1423" w:rsidRPr="00BE4F57" w:rsidRDefault="008B1423" w:rsidP="00A14CA6">
      <w:pPr>
        <w:pStyle w:val="ListParagraph1"/>
        <w:spacing w:after="0" w:line="240" w:lineRule="auto"/>
        <w:ind w:left="0"/>
        <w:jc w:val="both"/>
        <w:rPr>
          <w:rFonts w:ascii="Sylfaen" w:hAnsi="Sylfaen"/>
          <w:b/>
          <w:sz w:val="24"/>
          <w:szCs w:val="24"/>
          <w:lang w:val="ka-GE"/>
        </w:rPr>
      </w:pPr>
      <w:r w:rsidRPr="00BE4F57">
        <w:rPr>
          <w:rFonts w:ascii="Sylfaen" w:hAnsi="Sylfaen"/>
          <w:b/>
          <w:sz w:val="24"/>
          <w:szCs w:val="24"/>
          <w:lang w:val="ka-GE"/>
        </w:rPr>
        <w:t>მკურნალობისადმი რეზისტენტული დეპრესია</w:t>
      </w:r>
    </w:p>
    <w:p w14:paraId="17F43F83" w14:textId="77777777" w:rsidR="008B1423" w:rsidRPr="00BE4F57" w:rsidRDefault="008B1423" w:rsidP="00A14CA6">
      <w:pPr>
        <w:pStyle w:val="ListParagraph1"/>
        <w:spacing w:after="0" w:line="240" w:lineRule="auto"/>
        <w:ind w:left="0"/>
        <w:jc w:val="both"/>
        <w:rPr>
          <w:rFonts w:ascii="Sylfaen" w:hAnsi="Sylfaen"/>
          <w:sz w:val="24"/>
          <w:szCs w:val="24"/>
          <w:lang w:val="ka-GE"/>
        </w:rPr>
      </w:pPr>
      <w:r w:rsidRPr="00BE4F57">
        <w:rPr>
          <w:rFonts w:ascii="Sylfaen" w:hAnsi="Sylfaen"/>
          <w:sz w:val="24"/>
          <w:szCs w:val="24"/>
          <w:lang w:val="ka-GE"/>
        </w:rPr>
        <w:t>რექსეპი კომბი ნაჩვენებია მკურნალობისადმი რეზისტენტული დეპრესიის (დიდი დეპრესიული აშლილობა მოზრდილებში, რომლებიც არ რეაგირებენ სხვადასხვა ანტიდეპრესანტების ადეკვატური დოზითა და ხანგრძლივობით 2 ცალკეულ კვლევაზე მიმდინარე ეპიზოდში) მწვავე მკურნალობის დროს.</w:t>
      </w:r>
    </w:p>
    <w:p w14:paraId="10355058" w14:textId="77777777" w:rsidR="008B1423" w:rsidRPr="00BE4F57" w:rsidRDefault="008B1423" w:rsidP="00A14CA6">
      <w:pPr>
        <w:pStyle w:val="ListParagraph1"/>
        <w:spacing w:after="0" w:line="240" w:lineRule="auto"/>
        <w:ind w:left="0"/>
        <w:jc w:val="both"/>
        <w:rPr>
          <w:rFonts w:ascii="Sylfaen" w:hAnsi="Sylfaen"/>
          <w:i/>
          <w:sz w:val="24"/>
          <w:szCs w:val="24"/>
          <w:lang w:val="ka-GE"/>
        </w:rPr>
      </w:pPr>
    </w:p>
    <w:p w14:paraId="68580BF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4.2. დოზირება და გამოყენების მეთოდი</w:t>
      </w:r>
    </w:p>
    <w:p w14:paraId="14CF23CD" w14:textId="77777777" w:rsidR="008B1423" w:rsidRPr="00BE4F57" w:rsidRDefault="008B1423" w:rsidP="00A14CA6">
      <w:pPr>
        <w:spacing w:after="0" w:line="240" w:lineRule="auto"/>
        <w:jc w:val="both"/>
        <w:rPr>
          <w:rFonts w:ascii="Sylfaen" w:hAnsi="Sylfaen"/>
          <w:b/>
          <w:sz w:val="24"/>
          <w:szCs w:val="24"/>
          <w:lang w:val="ka-GE"/>
        </w:rPr>
      </w:pPr>
    </w:p>
    <w:p w14:paraId="699D1DA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დოზირება / მიღების სიხშირე და ხანგრძლივობა:</w:t>
      </w:r>
    </w:p>
    <w:p w14:paraId="4B867F22" w14:textId="77777777" w:rsidR="008B1423" w:rsidRPr="00BE4F57" w:rsidRDefault="008B1423" w:rsidP="00A14CA6">
      <w:pPr>
        <w:pStyle w:val="ListParagraph1"/>
        <w:spacing w:after="0" w:line="240" w:lineRule="auto"/>
        <w:ind w:left="0"/>
        <w:jc w:val="both"/>
        <w:rPr>
          <w:rFonts w:ascii="Sylfaen" w:hAnsi="Sylfaen"/>
          <w:b/>
          <w:sz w:val="24"/>
          <w:szCs w:val="24"/>
          <w:lang w:val="ka-GE"/>
        </w:rPr>
      </w:pPr>
      <w:r w:rsidRPr="00BE4F57">
        <w:rPr>
          <w:rFonts w:ascii="Sylfaen" w:hAnsi="Sylfaen"/>
          <w:b/>
          <w:sz w:val="24"/>
          <w:szCs w:val="24"/>
          <w:lang w:val="ka-GE"/>
        </w:rPr>
        <w:t>ბიპოლარულ I აშლილობასთან ასოცირებული დეპრესიული ეპიზოდები</w:t>
      </w:r>
    </w:p>
    <w:p w14:paraId="01C8066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მოზრდილები - რექსეპი კომბი უნდა მიიღოთ დღეში ერთხელ, საღამოს, ჩვეულებრივ, დაწყებული 6 მგ/25 მგ კაფსულით. რექსეპი კომბის გამოყენებისას ანტიდეპრესანტული ეფექტურობა დემონსტრირებული იყო 6-დან 12 მგ-მდე ოლანზაპინის და 25-დან 50 მგ ფლუოქსეტინის დოზების დიაპაზონში. 18 მგ/75 მგ-ზე  მაღალი დოზების უსაფრთხოება კლინიკურ კვლევებში არ არის შეფასებული.</w:t>
      </w:r>
    </w:p>
    <w:p w14:paraId="71AB83F2" w14:textId="77777777" w:rsidR="008B1423" w:rsidRPr="00BE4F57" w:rsidRDefault="008B1423" w:rsidP="00A14CA6">
      <w:pPr>
        <w:spacing w:after="0" w:line="240" w:lineRule="auto"/>
        <w:jc w:val="both"/>
        <w:rPr>
          <w:rFonts w:ascii="Sylfaen" w:hAnsi="Sylfaen"/>
          <w:sz w:val="24"/>
          <w:szCs w:val="24"/>
          <w:lang w:val="ka-GE"/>
        </w:rPr>
      </w:pPr>
    </w:p>
    <w:p w14:paraId="5BF1E0E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ექიმმა პერიოდულად უნდა გადახედოს ფარმაკოთერაპიის გაგრძელების აუცილებლობას.</w:t>
      </w:r>
    </w:p>
    <w:p w14:paraId="694D4CB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ბავშვები და მოზარდები (10-დან 17 წლამდე) - რექსეპი კომბი უნდა მიიღონ რეკომენდებული სამიზნე დოზით დამტკიცებული დოზირების ფარგლებში (6/25; 6/50; 12/50 მგ), ჩვეულებრივ, დაწყებული 3 მგ/25 მგ დოზით დღეში ერთხელ, საღამოს, კვებისგან დამოუკიდებლად. ოლანზაპინის 12 მგ-ზე მეტი და ფლუოქსეტინის 50 მგ-ზე მეტი დოზების უსაფრთხოება არ არის </w:t>
      </w:r>
      <w:r w:rsidRPr="00BE4F57">
        <w:rPr>
          <w:rFonts w:ascii="Sylfaen" w:hAnsi="Sylfaen"/>
          <w:sz w:val="24"/>
          <w:szCs w:val="24"/>
          <w:lang w:val="ka-GE"/>
        </w:rPr>
        <w:lastRenderedPageBreak/>
        <w:t>შეფასებული პედიატრიულ კლინიკურ კვლევებში. ექიმმა პერიოდულად უნდა გადახედოს მკურნალობის გაგრძელების აუცილებლობას.</w:t>
      </w:r>
    </w:p>
    <w:p w14:paraId="5583EF2D" w14:textId="77777777" w:rsidR="008B1423" w:rsidRPr="00BE4F57" w:rsidRDefault="008B1423" w:rsidP="00A14CA6">
      <w:pPr>
        <w:spacing w:after="0" w:line="240" w:lineRule="auto"/>
        <w:jc w:val="both"/>
        <w:rPr>
          <w:rFonts w:ascii="Sylfaen" w:hAnsi="Sylfaen"/>
          <w:sz w:val="24"/>
          <w:szCs w:val="24"/>
          <w:lang w:val="ka-GE"/>
        </w:rPr>
      </w:pPr>
    </w:p>
    <w:p w14:paraId="417B7920" w14:textId="77777777" w:rsidR="008B1423" w:rsidRPr="00BE4F57" w:rsidRDefault="008B1423" w:rsidP="00A14CA6">
      <w:pPr>
        <w:pStyle w:val="ListParagraph1"/>
        <w:spacing w:after="0" w:line="240" w:lineRule="auto"/>
        <w:ind w:left="0"/>
        <w:jc w:val="both"/>
        <w:rPr>
          <w:rFonts w:ascii="Sylfaen" w:hAnsi="Sylfaen"/>
          <w:b/>
          <w:sz w:val="24"/>
          <w:szCs w:val="24"/>
          <w:lang w:val="ka-GE"/>
        </w:rPr>
      </w:pPr>
      <w:r w:rsidRPr="00BE4F57">
        <w:rPr>
          <w:rFonts w:ascii="Sylfaen" w:hAnsi="Sylfaen"/>
          <w:b/>
          <w:sz w:val="24"/>
          <w:szCs w:val="24"/>
          <w:lang w:val="ka-GE"/>
        </w:rPr>
        <w:t>მკურნალობისადმი რეზისტენტული დეპრესია</w:t>
      </w:r>
    </w:p>
    <w:p w14:paraId="38E28A0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 მიიღება დღეში ერთხელ, საღამოს, ჩვეულებრივ, 6/25 მგ დოზით დაწყებით.</w:t>
      </w:r>
    </w:p>
    <w:p w14:paraId="65D7153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საჭიროების შემთხვევაში, დოზა უნდა დაკორექტირდეს ეფექტურობისა და ტოლერანტობის მიხედვით. ოლანზაპინისა და ფლუოქსეტინის კომბინაციის ანტიდეპრესანტული ეფექტურობა დემონსტრირებულია დოზირების დიაპაზონში 6 მგ-დან 18 მგ–მდე ოლანზაპინი და 25 მგ-დან 50 მგ-მდე ფლუოქსეტინი. 18 მგ/75 მგ-ზე მაღალი დოზების უსაფრთხოება კლინიკურ კვლევებში არ არის შეფასებული. ექიმმა პერიოდულად უნდა გადახედოს მკურნალობის გაგრძელების აუცილებლობას.</w:t>
      </w:r>
    </w:p>
    <w:p w14:paraId="07561942" w14:textId="77777777" w:rsidR="008B1423" w:rsidRPr="00BE4F57" w:rsidRDefault="008B1423" w:rsidP="00A14CA6">
      <w:pPr>
        <w:spacing w:after="0" w:line="240" w:lineRule="auto"/>
        <w:jc w:val="both"/>
        <w:rPr>
          <w:rFonts w:ascii="Sylfaen" w:hAnsi="Sylfaen"/>
          <w:sz w:val="24"/>
          <w:szCs w:val="24"/>
          <w:lang w:val="ka-GE"/>
        </w:rPr>
      </w:pPr>
    </w:p>
    <w:p w14:paraId="0D139B8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მიღების გზა:</w:t>
      </w:r>
    </w:p>
    <w:p w14:paraId="44420D0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კაფსულა უნდა გადაიყლაპოს მთლიანად, საკმარისი რაოდენობის წყალთან ერთად. მისი მიღება შესაძლებელია საკვებთან ერთად ან მის გარეშე.</w:t>
      </w:r>
    </w:p>
    <w:p w14:paraId="34FB1CAA" w14:textId="77777777" w:rsidR="008B1423" w:rsidRPr="00BE4F57" w:rsidRDefault="008B1423" w:rsidP="00A14CA6">
      <w:pPr>
        <w:spacing w:after="0" w:line="240" w:lineRule="auto"/>
        <w:jc w:val="both"/>
        <w:rPr>
          <w:rFonts w:ascii="Sylfaen" w:hAnsi="Sylfaen"/>
          <w:i/>
          <w:sz w:val="24"/>
          <w:szCs w:val="24"/>
          <w:lang w:val="ka-GE"/>
        </w:rPr>
      </w:pPr>
    </w:p>
    <w:p w14:paraId="20876C0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დამატებითი ინფორმაცია განსაკუთრებული პოპულაციების შესახებ:</w:t>
      </w:r>
    </w:p>
    <w:p w14:paraId="0648A403" w14:textId="77777777" w:rsidR="008B1423" w:rsidRPr="00BE4F57" w:rsidRDefault="008B1423" w:rsidP="00A14CA6">
      <w:pPr>
        <w:spacing w:after="0" w:line="240" w:lineRule="auto"/>
        <w:jc w:val="both"/>
        <w:rPr>
          <w:rFonts w:ascii="Sylfaen" w:hAnsi="Sylfaen"/>
          <w:sz w:val="24"/>
          <w:szCs w:val="24"/>
          <w:lang w:val="ka-GE"/>
        </w:rPr>
      </w:pPr>
    </w:p>
    <w:p w14:paraId="2BC8BB8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თირკმლის/ღვიძლის უკმარისობა:</w:t>
      </w:r>
    </w:p>
    <w:p w14:paraId="4ECF7CA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ღვიძლის ციროზით დაავადებულ პაციენტებში ფლუოქსეტინის და მისი აქტიური მეტაბოლიტის, ნორფლუოქსეტინის, კლირენსი მცირდებოდა, რაც ამ ნივთიერებების ნახევარგამოყოფის პერიოდს ზრდიდა. ციროზით დაავადებულ პაციენტებში უნდა იქნას გამოყენებული რექსეპი კომბის უფრო დაბალი ან ნაკლებად ხშირი დოზა. სიფრთხილეა საჭირო რექსეპი კომბის გამოყენებისას იმ დაავადებების ან მდგომარეობების მქონე პაციენტებში, რომლებმაც შეიძლება გავლენა მოახდინონ მის მეტაბოლიზმზე (იხილეთ ნაწილი 5, ფარმაკოლოგიური თვისებები).</w:t>
      </w:r>
    </w:p>
    <w:p w14:paraId="08EE764E" w14:textId="77777777" w:rsidR="008B1423" w:rsidRPr="00BE4F57" w:rsidRDefault="008B1423" w:rsidP="00A14CA6">
      <w:pPr>
        <w:spacing w:after="0" w:line="240" w:lineRule="auto"/>
        <w:jc w:val="both"/>
        <w:rPr>
          <w:rFonts w:ascii="Sylfaen" w:hAnsi="Sylfaen"/>
          <w:sz w:val="24"/>
          <w:szCs w:val="24"/>
          <w:lang w:val="ka-GE"/>
        </w:rPr>
      </w:pPr>
    </w:p>
    <w:p w14:paraId="3F3D3B1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პედიატრიული პოპულაცია:</w:t>
      </w:r>
    </w:p>
    <w:p w14:paraId="2B0FE5E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10 წლამდე ასაკის პაციენტებში ბიპოლარული I დეპრესიის მკურნალობისას ოლანზაპინისა და ფლუოქსეტინის ერთდროული გამოყენების უსაფრთხოება და ეფექტურობა დადგენილი არ არის.</w:t>
      </w:r>
    </w:p>
    <w:p w14:paraId="1BF28F0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18 წლამდე ასაკის პაციენტებში მკურნალობისადმი რეზისტენტული დეპრესიის მკურნალობისას ოლანზაპინისა და ფლუოქსეტინის კომბინაციის უსაფრთხოება და ეფექტურობა დადგენილი არ არის.</w:t>
      </w:r>
    </w:p>
    <w:p w14:paraId="4365D26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ბავშვსა ან მოზარდში ექიმმა უნდა დააბალანსოს გამოყენების პოტენციური რისკები კლინიკურ საჭიროებასთან (იხილეთ ნაწილი 4.4.).</w:t>
      </w:r>
    </w:p>
    <w:p w14:paraId="3446024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უსაფრთხოება და ეფექტურობა 13 წლამდე ასაკის ბავშვებში დადგენილი არ არის. მოზრდილთა კლინიკურ კვლევებში მონაწილე პაციენტებთან შედარებით, პერორალური ოლანზაპინით ნამკურნალებ მოზარდებში უფრო მეტი ალბათობით მატულობდა წონა, უფრო მეტად ვლინდებოდა სედაცია და უფრო მეტად მატულობდა საერთო ქოლესტერინის, ტრიგლიცერიდების, დსლ ქოლესტერინის, პროლაქტინის და ღვიძლის ამინოტრანსფერაზების დონეები.</w:t>
      </w:r>
    </w:p>
    <w:p w14:paraId="7CD31CFC" w14:textId="77777777" w:rsidR="008B1423" w:rsidRPr="00BE4F57" w:rsidRDefault="008B1423" w:rsidP="00A14CA6">
      <w:pPr>
        <w:spacing w:after="0" w:line="240" w:lineRule="auto"/>
        <w:jc w:val="both"/>
        <w:rPr>
          <w:rFonts w:ascii="Sylfaen" w:hAnsi="Sylfaen"/>
          <w:sz w:val="24"/>
          <w:szCs w:val="24"/>
          <w:lang w:val="ka-GE"/>
        </w:rPr>
      </w:pPr>
    </w:p>
    <w:p w14:paraId="4A0BE7A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გერიატრიული პოპულაცია:</w:t>
      </w:r>
    </w:p>
    <w:p w14:paraId="45C2F87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რექსეპი კომბი - ოლანზაპინისა და ფლუოქსეტინის კომბინაციის კლინიკური კვლევები არ მოიცავდა საკმარისი რაოდენობის ≥65 წლის ასაკის პაციენტებს, რათა განსაზღვრულიყო განსხვავებულად რეაგირებენ ისინი თუ არა ახალგაზრდა პაციენტებთან შედარებით. სხვა კლინიკურმა გამოცდილებამ არ გამოავლინა განსხვავება რეაგირებაში ხანდაზმულ და ახალგაზრდა პაციენტებს შორის. ზოგადად, ხანდაზმული პაციენტისთვის დოზის შერჩევა </w:t>
      </w:r>
      <w:r w:rsidRPr="00BE4F57">
        <w:rPr>
          <w:rFonts w:ascii="Sylfaen" w:hAnsi="Sylfaen"/>
          <w:sz w:val="24"/>
          <w:szCs w:val="24"/>
          <w:lang w:val="ka-GE"/>
        </w:rPr>
        <w:lastRenderedPageBreak/>
        <w:t>სიფრთხილით უნდა განხორციელდეს, ჩვეულებრივ, დოზირების დიაპაზონის დაბალი ზღვრიდან დაწყებით, ღვიძლის, თირკმლის ან გულის ფუნქციის დაქვეითების და თანმხლები დაავადებების ან სხვა მედიკამენტური თერაპიის სიხშირის გათვალისწინებით.</w:t>
      </w:r>
    </w:p>
    <w:p w14:paraId="63C2BE4D" w14:textId="77777777" w:rsidR="008B1423" w:rsidRPr="00BE4F57" w:rsidRDefault="008B1423" w:rsidP="00A14CA6">
      <w:pPr>
        <w:spacing w:after="0" w:line="240" w:lineRule="auto"/>
        <w:jc w:val="both"/>
        <w:rPr>
          <w:rFonts w:ascii="Sylfaen" w:hAnsi="Sylfaen"/>
          <w:sz w:val="24"/>
          <w:szCs w:val="24"/>
          <w:lang w:val="ka-GE"/>
        </w:rPr>
      </w:pPr>
    </w:p>
    <w:p w14:paraId="410B7E5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 ოლანზაპინის პრე–მარკეტინგულ კლინიკურ კვლევებში მონაწილე 2500 პაციენტიდან 11% (263 პაციენტი) იყო ≥65 წლის ასაკის. შიზოფრენიით დაავადებულ ხანდაზმულ პაციენტებში ახალგაზრდა პაციენტებთან შედარებით განსხვავებული ტოლერანტობის ნიშნები არ დაფიქსირებულა.</w:t>
      </w:r>
    </w:p>
    <w:p w14:paraId="70FABEC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დემენციასთან დაკავშირებული ფსიქოზის მქონე ხანდაზმულ პაციენტებში ჩატარებულმა კვლევებმა აჩვენა, რომ ამ პოპულაციაში შესაძლოა განსხვავებული ტოლერანტობის პროფილი იყოს შიზოფრენიით დაავადებულ ახალგაზრდა პაციენტებთან შედარებით. დემენციასთან დაკავშირებული ფსიქოზის მქონე ხანდაზმულ პაციენტებში ცერებროვასკულური გვერდითი რეაქციების (მაგ. ინსულტი, გარდამავალი იშემიური შეტევა) სიხშირე უფრო მაღალი იყო ოლანზაპინით ნამკურნალებ პაციენტებში, ვიდრე პლაცებოთი.</w:t>
      </w:r>
    </w:p>
    <w:p w14:paraId="5E76873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არ არის ნაჩვენები დემენციასთან დაკავშირებული ფსიქოზის მქონე პაციენტების სამკურნალოდ (იხილეთ ნაწილი 4.4.განსაკუთრებული გაფრთხილებები გამოყენებისას და სიფრთხილის ზომები).</w:t>
      </w:r>
    </w:p>
    <w:p w14:paraId="042EA44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გარდა ამისა, იმ ფაქტორების არსებობამ, რომლებმაც შეიძლება შეამცირონ ფარმაკოკინეტიკური კლირენსი ან გაზარდონ ფარმაკოდინამიკური რეაქცია ოლანზაპინის მიმართ, უნდა გამოიწვიოს უფრო დაბალი საწყისი დოზის განხილვა გერიატრიულ პაციენტში. </w:t>
      </w:r>
    </w:p>
    <w:p w14:paraId="0C61C47D" w14:textId="77777777" w:rsidR="008B1423" w:rsidRPr="00BE4F57" w:rsidRDefault="008B1423" w:rsidP="00A14CA6">
      <w:pPr>
        <w:spacing w:after="0" w:line="240" w:lineRule="auto"/>
        <w:jc w:val="both"/>
        <w:rPr>
          <w:rFonts w:ascii="Sylfaen" w:hAnsi="Sylfaen"/>
          <w:sz w:val="24"/>
          <w:szCs w:val="24"/>
          <w:lang w:val="ka-GE"/>
        </w:rPr>
      </w:pPr>
    </w:p>
    <w:p w14:paraId="1DBBB0D3" w14:textId="77777777" w:rsidR="008B1423" w:rsidRPr="00BE4F57" w:rsidRDefault="008B1423" w:rsidP="00A14CA6">
      <w:pPr>
        <w:spacing w:after="0" w:line="240" w:lineRule="auto"/>
        <w:jc w:val="both"/>
        <w:rPr>
          <w:rFonts w:ascii="Sylfaen" w:hAnsi="Sylfaen"/>
          <w:i/>
          <w:sz w:val="24"/>
          <w:szCs w:val="24"/>
          <w:lang w:val="ka-GE"/>
        </w:rPr>
      </w:pPr>
      <w:r w:rsidRPr="00BE4F57">
        <w:rPr>
          <w:rFonts w:ascii="Sylfaen" w:hAnsi="Sylfaen"/>
          <w:sz w:val="24"/>
          <w:szCs w:val="24"/>
          <w:lang w:val="ka-GE"/>
        </w:rPr>
        <w:t>ფლუოქსეტინი - ხანდაზმულ და ახალგაზრდა პაციენტებს შორის უსაფრთხოების ან ეფექტურობის საერთო განსხვავებები არ დაფიქსირებულა, მაგრამ არ შეიძლება გამოირიცხოს ზოგიერთი ხანდაზმული პირის უფრო მაღალი მგრძნობელობა. SNRI–ებმა და SSRI-ებმა, მათ შორის ოლანზაპინისა და ფლუოქსეტინის კომბინაციამ, გამოიწვია ჰიპონატრიემიის კლინიკურად მნიშვნელოვანი შემთხვევები ხანდაზმულ პაციენტებში, რომლებიც შესაძლოა ამ გვერდითი რეაქციის განვითარების უფრო მაღალი რისკის ქვეშ იყვნენ (იხილეთ ნაწილი 4.4.განსაკუთრებული გაფრთხილებები გამოყენებისას და სიფრთხილის ზომები).</w:t>
      </w:r>
    </w:p>
    <w:p w14:paraId="447B5815" w14:textId="77777777" w:rsidR="008B1423" w:rsidRPr="00BE4F57" w:rsidRDefault="008B1423" w:rsidP="00A14CA6">
      <w:pPr>
        <w:spacing w:after="0" w:line="240" w:lineRule="auto"/>
        <w:jc w:val="both"/>
        <w:rPr>
          <w:rFonts w:ascii="Sylfaen" w:hAnsi="Sylfaen"/>
          <w:i/>
          <w:sz w:val="24"/>
          <w:szCs w:val="24"/>
          <w:lang w:val="ka-GE"/>
        </w:rPr>
      </w:pPr>
    </w:p>
    <w:p w14:paraId="4AEEF7C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4.3. უკუჩვენებები</w:t>
      </w:r>
    </w:p>
    <w:p w14:paraId="4CA407BF"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cs="Sylfaen"/>
          <w:sz w:val="24"/>
          <w:szCs w:val="24"/>
        </w:rPr>
        <w:t>მომატებული</w:t>
      </w:r>
      <w:r w:rsidRPr="00BE4F57">
        <w:rPr>
          <w:rFonts w:ascii="Sylfaen" w:hAnsi="Sylfaen"/>
          <w:sz w:val="24"/>
          <w:szCs w:val="24"/>
        </w:rPr>
        <w:t xml:space="preserve"> მგრძნობელობა აქტიური ნივთიერების ან რომელიმე დამხმარე ნივთიერების მიმართ.</w:t>
      </w:r>
    </w:p>
    <w:p w14:paraId="4BCA19A8"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sz w:val="24"/>
          <w:szCs w:val="24"/>
        </w:rPr>
        <w:t>უკუნაჩვენებია ფსიქიატრიული დარღვევების სამკურნალოდ მაო-ს ინჰიბიტორების ერთდროული გამოყენება რექსეპი კომბისთან ერთად, ან რექსეპი კომბის მიღების შეწყვეტიდან 5 კვირის განმავლობაში, სეროტონინის სინდრომის მომატებული რისკის გამო. ფსიქიატრიული დარღვევების სამკურნალოდ გამოყენებული მაო-ს ინჰიბიტორების შეწყვეტიდან 14 დღის განმავლობაში რექსეპი კომბის გამოყენება ასევე უკუნაჩვენებია. (იხ</w:t>
      </w:r>
      <w:r w:rsidRPr="00BE4F57">
        <w:rPr>
          <w:rFonts w:ascii="Sylfaen" w:hAnsi="Sylfaen"/>
          <w:sz w:val="24"/>
          <w:szCs w:val="24"/>
          <w:lang w:val="ka-GE"/>
        </w:rPr>
        <w:t>ილეთ</w:t>
      </w:r>
      <w:r w:rsidRPr="00BE4F57">
        <w:rPr>
          <w:rFonts w:ascii="Sylfaen" w:hAnsi="Sylfaen"/>
          <w:sz w:val="24"/>
          <w:szCs w:val="24"/>
        </w:rPr>
        <w:t xml:space="preserve"> ნაწილები 4.2 და 4.4)</w:t>
      </w:r>
    </w:p>
    <w:p w14:paraId="234711C2"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sz w:val="24"/>
          <w:szCs w:val="24"/>
        </w:rPr>
        <w:t>რექსეპი კომბის დაწყება პაციენტში, რომელიც მკურნალობს მაო-ს ინჰიბიტორებით, როგორიცაა ლინეზოლიდი ან ინტრავენური მეთილენის ლურჯი, უკუნაჩვენებია სეროტონინის სინდრომის მომატებული რისკის გამო (იხ</w:t>
      </w:r>
      <w:r w:rsidRPr="00BE4F57">
        <w:rPr>
          <w:rFonts w:ascii="Sylfaen" w:hAnsi="Sylfaen"/>
          <w:sz w:val="24"/>
          <w:szCs w:val="24"/>
          <w:lang w:val="ka-GE"/>
        </w:rPr>
        <w:t>ილეთ</w:t>
      </w:r>
      <w:r w:rsidRPr="00BE4F57">
        <w:rPr>
          <w:rFonts w:ascii="Sylfaen" w:hAnsi="Sylfaen"/>
          <w:sz w:val="24"/>
          <w:szCs w:val="24"/>
        </w:rPr>
        <w:t xml:space="preserve"> ნაწილი 4.2 და ნაწილი 4.4).</w:t>
      </w:r>
    </w:p>
    <w:p w14:paraId="7880FD24"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sz w:val="24"/>
          <w:szCs w:val="24"/>
        </w:rPr>
        <w:t>პიმოზიდი და თიორიდაზინი ახანგრძლივებენ QT ინტერვალს. რექსეპი კომბიმ შეიძლება გაზარდოს პიმოზიდის და თიორიდაზინის დონე</w:t>
      </w:r>
      <w:r w:rsidRPr="00BE4F57">
        <w:rPr>
          <w:rFonts w:ascii="Sylfaen" w:hAnsi="Sylfaen"/>
          <w:sz w:val="24"/>
          <w:szCs w:val="24"/>
          <w:lang w:val="ka-GE"/>
        </w:rPr>
        <w:t>ები</w:t>
      </w:r>
      <w:r w:rsidRPr="00BE4F57">
        <w:rPr>
          <w:rFonts w:ascii="Sylfaen" w:hAnsi="Sylfaen"/>
          <w:sz w:val="24"/>
          <w:szCs w:val="24"/>
        </w:rPr>
        <w:t xml:space="preserve"> CYP2D6 ინჰიბირების გზით. რექსეპი კომბიმ ასევე შეიძლება გაახანგრძლივოს QT ინტერვალი.</w:t>
      </w:r>
    </w:p>
    <w:p w14:paraId="077C3ABA"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sz w:val="24"/>
          <w:szCs w:val="24"/>
        </w:rPr>
        <w:t>არ უნდა იქნას გამოყენებული პიმოზიდთან ერთად, წამლისმიერი ურთიერთქმედების ან QTc ინტერვალის გახანგრძლივების რისკის გამო (იხ</w:t>
      </w:r>
      <w:r w:rsidRPr="00BE4F57">
        <w:rPr>
          <w:rFonts w:ascii="Sylfaen" w:hAnsi="Sylfaen"/>
          <w:sz w:val="24"/>
          <w:szCs w:val="24"/>
          <w:lang w:val="ka-GE"/>
        </w:rPr>
        <w:t>ილეთ</w:t>
      </w:r>
      <w:r w:rsidRPr="00BE4F57">
        <w:rPr>
          <w:rFonts w:ascii="Sylfaen" w:hAnsi="Sylfaen"/>
          <w:sz w:val="24"/>
          <w:szCs w:val="24"/>
        </w:rPr>
        <w:t xml:space="preserve"> </w:t>
      </w:r>
      <w:r w:rsidRPr="00BE4F57">
        <w:rPr>
          <w:rFonts w:ascii="Sylfaen" w:hAnsi="Sylfaen"/>
          <w:sz w:val="24"/>
          <w:szCs w:val="24"/>
          <w:lang w:val="ka-GE"/>
        </w:rPr>
        <w:t>ნაწილები</w:t>
      </w:r>
      <w:r w:rsidRPr="00BE4F57">
        <w:rPr>
          <w:rFonts w:ascii="Sylfaen" w:hAnsi="Sylfaen"/>
          <w:sz w:val="24"/>
          <w:szCs w:val="24"/>
        </w:rPr>
        <w:t xml:space="preserve"> 4.4 და 4.5).</w:t>
      </w:r>
    </w:p>
    <w:p w14:paraId="43E5B3BB" w14:textId="77777777" w:rsidR="008B1423" w:rsidRPr="00BE4F57" w:rsidRDefault="008B1423" w:rsidP="00A14CA6">
      <w:pPr>
        <w:pStyle w:val="ListParagraph"/>
        <w:numPr>
          <w:ilvl w:val="0"/>
          <w:numId w:val="31"/>
        </w:numPr>
        <w:spacing w:after="0" w:line="240" w:lineRule="auto"/>
        <w:ind w:left="0"/>
        <w:jc w:val="both"/>
        <w:rPr>
          <w:rFonts w:ascii="Sylfaen" w:hAnsi="Sylfaen"/>
          <w:sz w:val="24"/>
          <w:szCs w:val="24"/>
        </w:rPr>
      </w:pPr>
      <w:r w:rsidRPr="00BE4F57">
        <w:rPr>
          <w:rFonts w:ascii="Sylfaen" w:hAnsi="Sylfaen"/>
          <w:sz w:val="24"/>
          <w:szCs w:val="24"/>
        </w:rPr>
        <w:t xml:space="preserve">არ უნდა იქნას გამოყენებული თიორიდაზინთან ერთად, QTc ინტერვალის გახანგრძლივების ან პლაზმაში თიორიდაზინის დონის მომატების პოტენციალის გამო. თიორიდაზინი არ უნდა იქნას </w:t>
      </w:r>
      <w:r w:rsidRPr="00BE4F57">
        <w:rPr>
          <w:rFonts w:ascii="Sylfaen" w:hAnsi="Sylfaen"/>
          <w:sz w:val="24"/>
          <w:szCs w:val="24"/>
        </w:rPr>
        <w:lastRenderedPageBreak/>
        <w:t xml:space="preserve">გამოყენებული </w:t>
      </w:r>
      <w:r w:rsidRPr="00BE4F57">
        <w:rPr>
          <w:rFonts w:ascii="Sylfaen" w:hAnsi="Sylfaen"/>
          <w:sz w:val="24"/>
          <w:szCs w:val="24"/>
          <w:lang w:val="ka-GE"/>
        </w:rPr>
        <w:t>რექსეპი კომბის</w:t>
      </w:r>
      <w:r w:rsidRPr="00BE4F57">
        <w:rPr>
          <w:rFonts w:ascii="Sylfaen" w:hAnsi="Sylfaen"/>
          <w:sz w:val="24"/>
          <w:szCs w:val="24"/>
        </w:rPr>
        <w:t xml:space="preserve"> შეწყვეტიდან 5 კვირის განმავლობაში (იხ</w:t>
      </w:r>
      <w:r w:rsidRPr="00BE4F57">
        <w:rPr>
          <w:rFonts w:ascii="Sylfaen" w:hAnsi="Sylfaen"/>
          <w:sz w:val="24"/>
          <w:szCs w:val="24"/>
          <w:lang w:val="ka-GE"/>
        </w:rPr>
        <w:t>ილეთ</w:t>
      </w:r>
      <w:r w:rsidRPr="00BE4F57">
        <w:rPr>
          <w:rFonts w:ascii="Sylfaen" w:hAnsi="Sylfaen"/>
          <w:sz w:val="24"/>
          <w:szCs w:val="24"/>
        </w:rPr>
        <w:t xml:space="preserve"> </w:t>
      </w:r>
      <w:r w:rsidRPr="00BE4F57">
        <w:rPr>
          <w:rFonts w:ascii="Sylfaen" w:hAnsi="Sylfaen"/>
          <w:sz w:val="24"/>
          <w:szCs w:val="24"/>
          <w:lang w:val="ka-GE"/>
        </w:rPr>
        <w:t>ნაწილები</w:t>
      </w:r>
      <w:r w:rsidRPr="00BE4F57">
        <w:rPr>
          <w:rFonts w:ascii="Sylfaen" w:hAnsi="Sylfaen"/>
          <w:sz w:val="24"/>
          <w:szCs w:val="24"/>
        </w:rPr>
        <w:t xml:space="preserve"> 4.4 და 4.5).</w:t>
      </w:r>
    </w:p>
    <w:p w14:paraId="5E2CF5AF" w14:textId="77777777" w:rsidR="008B1423" w:rsidRPr="00BE4F57" w:rsidRDefault="008B1423" w:rsidP="00A14CA6">
      <w:pPr>
        <w:spacing w:after="0" w:line="240" w:lineRule="auto"/>
        <w:jc w:val="both"/>
        <w:rPr>
          <w:rFonts w:ascii="Sylfaen" w:hAnsi="Sylfaen"/>
          <w:sz w:val="24"/>
          <w:szCs w:val="24"/>
        </w:rPr>
      </w:pPr>
    </w:p>
    <w:p w14:paraId="7DDA11D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4.4. განსაკუთრებული გაფრთხილებები გამოყენებისას და სიფრთხილის ზომები </w:t>
      </w:r>
    </w:p>
    <w:p w14:paraId="31EC3C9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გაფრთხილება: სუიციდურობა და ანტიდეპრესანტული პრეპარატები და სიკვდილიანობის ზრდა დემენციასთან დაკავშირებული ფსიქოზის მქონე ხანდაზმულ პაციენტებში</w:t>
      </w:r>
    </w:p>
    <w:p w14:paraId="4EDCC5D1" w14:textId="77777777" w:rsidR="008B1423" w:rsidRPr="00BE4F57" w:rsidRDefault="008B1423" w:rsidP="00A14CA6">
      <w:pPr>
        <w:spacing w:after="0" w:line="240" w:lineRule="auto"/>
        <w:jc w:val="both"/>
        <w:rPr>
          <w:rFonts w:ascii="Sylfaen" w:hAnsi="Sylfaen"/>
          <w:sz w:val="24"/>
          <w:szCs w:val="24"/>
          <w:lang w:val="ka-GE"/>
        </w:rPr>
      </w:pPr>
    </w:p>
    <w:p w14:paraId="069DCAC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სუიციდურობა და ანტიდეპრესანტული პრეპარატები — ანტიდეპრესანტები პლაცებოსთან შედარებით ზრდიდნენ სუიციდური აზროვნებისა და ქცევის რისკს ბავშვებში, მოზარდებსა და ახალგაზრდებში დიდი დეპრესიული აშლილობისა და სხვა ფსიქიატრიული აშლილობების მოკლევადიან კვლევებში. ყველამ, ვინც განიხილავს რექსეპი კომბის ან სხვა ანტიდეპრესანტების გამოყენებას ბავშვთან, მოზარდთან ან ახალგაზრდა მოზრდილთან, უნდა დააბალანსოს ეს რისკი კლინიკურ საჭიროებასთან. მოკლევადიანმა კვლევებმა არ აჩვენა სუიციდურობის რისკის ზრდა ანტიდეპრესანტების გამოყენებისას პლაცებოსთან შედარებით 24 წელზე უფროსი ასაკის მოზრდილებში; რისკი მცირდებოდა პლაცებოსთან შედარებით ანტიდეპრესანტების გამოყენებისას 65 წლის და უფროსი ასაკის მოზრდილებში. დეპრესია და ზოგიერთი სხვა ფსიქიატრიული დარღვევა თავისთავად ასოცირდება სუიციდის რისკის ზრდასთან. ყველა ასაკის პაციენტი, რომელიც იწყებს ანტიდეპრესანტულ თერაპიას, უნდა იმყოფებოდეს სათანადო მონიტორინგის და საფუძვლიანი დაკვირვების ქვეშ კლინიკური გაუარესების, სუიციდური აზროვნების ან ქცევის უჩვეულო ცვლილებების გამოსავლენად. ოჯახები და მომვლელები უნდა იყვნენ გაფრთხილებულნი საფუძვლიანი დაკვირვების და ექიმთან კომუნიკაციის აუცილებლობის შესახებ. რექსეპი კომბი არ უნდა გამოიყენებოდეს 10 წლამდე ასაკის პედიატრიულ პაციენტებში (იხილეთ ნაწილი 4.4. განსაკუთრებული გაფრთხილებები გამოყენებისას და სიფრთხილის ზომები და ნაწილი დამატებითი ინფორმაცია განსაკუთრებული პოპულაციებისთვის). </w:t>
      </w:r>
    </w:p>
    <w:p w14:paraId="6E7904B0" w14:textId="77777777" w:rsidR="008B1423" w:rsidRPr="00BE4F57" w:rsidRDefault="008B1423" w:rsidP="00A14CA6">
      <w:pPr>
        <w:spacing w:after="0" w:line="240" w:lineRule="auto"/>
        <w:jc w:val="both"/>
        <w:rPr>
          <w:rFonts w:ascii="Sylfaen" w:hAnsi="Sylfaen"/>
          <w:sz w:val="24"/>
          <w:szCs w:val="24"/>
          <w:lang w:val="ka-GE"/>
        </w:rPr>
      </w:pPr>
    </w:p>
    <w:p w14:paraId="33B5D05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მომატებული სიკვდილიანობა დემენციასთან დაკავშირებული ფსიქოზის მქონე ხანდაზმულ პაციენტებში — დემენციასთან დაკავშირებული ფსიქოზის მქონე ხანდაზმული პაციენტები, რომლებიც მკურნალობენ ანტიფსიქოზური პრეპარატებით, იმყოფებიან სიკვდილის მომატებული რისკის ქვეს. 17 პლაცებო-კონტროლირებადი კვლევის ანალიზმა, ძირითადად ატიპიური ანტიფსიქოზური პრეპარატების მიმღებ პაციენტებში, გამოავლინა სიკვდილის რისკი მედიკამენტის მიმღებ პაციენტებში, რომელიც 1.6- 1.7-ჯერ მაღალი იყო პლაცებოთი ნამკურნალებ პაციენტებში სიკვდილის რისკთან შედარებით; მედიკამენტის მიმღებ პაციენტებში სიკვდილის მაჩვენებელი დაახლოებით 4.5% იყო, პლაცებოს ჯგუფში დაახლოებით 2.6%-თან შედარებით. მიუხედავად იმისა, რომ სიკვდილის მიზეზები განსხვავებული იყო, სიკვდილიანობის უდიდესი ნაწილი, როგორც ჩანს, გულ-სისხლძარღვთა (მაგ., გულის უკმარისობა, უეცარი სიკვდილი) ან ინფექციური (მაგ., პნევმონია) ხასიათის იყო. დაკვირვებითი კვლევები ვარაუდობენ, რომ ატიპიური ანტიფსიქოზური პრეპარატების მსგავსად, ტრადიციული ანტიფსიქოზური პრეპარატებით მკურნალობამ შეიძლება გაზარდოს სიკვდილიანობა. დემენციასთან დაკავშირებული ფსიქოზის მქონე პაციენტების სამკურნალოდ რექსეპი კომბის გამოყენება არ არის დამტკიცებული.</w:t>
      </w:r>
    </w:p>
    <w:p w14:paraId="6105A158" w14:textId="77777777" w:rsidR="008B1423" w:rsidRPr="00BE4F57" w:rsidRDefault="008B1423" w:rsidP="00A14CA6">
      <w:pPr>
        <w:spacing w:after="0" w:line="240" w:lineRule="auto"/>
        <w:jc w:val="both"/>
        <w:rPr>
          <w:rFonts w:ascii="Sylfaen" w:hAnsi="Sylfaen"/>
          <w:b/>
          <w:sz w:val="24"/>
          <w:szCs w:val="24"/>
          <w:lang w:val="ka-GE"/>
        </w:rPr>
      </w:pPr>
    </w:p>
    <w:p w14:paraId="300B98B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კლინიკური გაუარესება და სუიციდის რისკი ბავშვებში, მოზარდებში და ახალგაზრდა მოზრდილებში</w:t>
      </w:r>
    </w:p>
    <w:p w14:paraId="47EE85F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დიდი დეპრესიული აშლილობის მქონე პაციენტებში, როგორც მოზრდილებში, ასევე ბავშვებში, შეიძლება განვითარდეს დეპრესიის გაუარესება და/ან სუიციდური იდეებისა და ქცევის (სუიციდურობა) გამოვლენა ან ქცევის უჩვეულო ცვლილებები, მიუხედავად იმისა, იღებენ თუ არა </w:t>
      </w:r>
      <w:r w:rsidRPr="00BE4F57">
        <w:rPr>
          <w:rFonts w:ascii="Sylfaen" w:hAnsi="Sylfaen"/>
          <w:sz w:val="24"/>
          <w:szCs w:val="24"/>
          <w:lang w:val="ka-GE"/>
        </w:rPr>
        <w:lastRenderedPageBreak/>
        <w:t>ისინი ანტიდეპრესანტებს, და ეს რისკი შეიძლება შენარჩუნდეს მნიშვნელოვანი რემისიის მიღწევამდე. სუიციდი დეპრესიისა და გარკვეული სხვა ფსიქიატრიული დარღვევების ცნობილი რისკია და ეს დარღვევები თავად სუიციდის ყველაზე ძლიერი პროგნოზირების ფაქტორებია. თუმცა, ანტიდეპრესანტები შეიძლება თამაშობდნენ როლს დეპრესიის გაუარესებისა და სუიციდურობის გამოწვევაში გარკვეულ პაციენტებში მკურნალობის ადრეულ ეტაპებზე. ანტიდეპრესანტული პრეპარატების (SSRI-ები და სხვა) მოკლევადიანი პლაცებო-კონტროლირებადი კვლევების გაერთიანებულმა ანალიზმა აჩვენა, რომ ეს პრეპარატები ზრდის სუიციდური აზროვნებისა და ქცევის რისკს დიდი დეპრესიული აშლილობისა და სხვა ფსიქიატრიული დარღვევების მქონე ბავშვებში, მოზარდებსა და ახალგაზრდა მოზრდილებში (18-დან 24 წლამდე). მოკლევადიანმა კვლევებმა არ აჩვენა სუიციდურობის რისკის ზრდა ანტიდეპრესანტების გამოყენებისას პლაცებოსთან შედარებით 24 წელზე უფროსი ასაკის მოზრდილებში; შემცირება დაფიქსირდა ანტიდეპრესანტების გამოყენებისას პლაცებოსთან შედარებით 65 წლის და უფროსი ასაკის მოზრდილებში.</w:t>
      </w:r>
    </w:p>
    <w:p w14:paraId="24961446" w14:textId="77777777" w:rsidR="008B1423" w:rsidRPr="00BE4F57" w:rsidRDefault="008B1423" w:rsidP="00A14CA6">
      <w:pPr>
        <w:spacing w:after="0" w:line="240" w:lineRule="auto"/>
        <w:jc w:val="both"/>
        <w:rPr>
          <w:rFonts w:ascii="Sylfaen" w:hAnsi="Sylfaen"/>
          <w:sz w:val="24"/>
          <w:szCs w:val="24"/>
          <w:lang w:val="ka-GE"/>
        </w:rPr>
      </w:pPr>
    </w:p>
    <w:p w14:paraId="2C94761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პლაცებო-კონტროლირებადი კვლევების გაერთიანებული ანალიზი, რომელშიც მონაწილეობდნენ დიდი დეპრესიის, ობსესიურ-კომპულსიური აშლილობის (OCD) ან სხვა ფსიქიატრიული აშლილობების მქონე ბავშვები და მოზარდები, მოიცავდა მთლიანობაში 24 მოკლევადიან კვლევას, რომლებშიც გამოყენებული იყო 9 ანტიდეპრესანტი 4400-ზე მეტ პაციენტში. პლაცებო-კონტროლირებადი კვლევების გაერთიანებული ანალიზი, რომლებშიც მონაწილეობდნენ MDD-ის ან სხვა ფსიქიატრიული აშლილობის მქონე მოზრდილები, მოიცავდა მთლიანობაში 295 მოკლევადიან კვლევას (საშუალო ხანგრძლივობა 2 თვე), რომლებშიც გამოყენებული იყო 11 ანტიდეპრესანტი 77,000-ზე მეტ პაციენტში.</w:t>
      </w:r>
    </w:p>
    <w:p w14:paraId="5683B7E2" w14:textId="77777777" w:rsidR="008B1423" w:rsidRPr="00BE4F57" w:rsidRDefault="008B1423" w:rsidP="00A14CA6">
      <w:pPr>
        <w:spacing w:after="0" w:line="240" w:lineRule="auto"/>
        <w:jc w:val="both"/>
        <w:rPr>
          <w:rFonts w:ascii="Sylfaen" w:hAnsi="Sylfaen"/>
          <w:sz w:val="24"/>
          <w:szCs w:val="24"/>
          <w:lang w:val="ka-GE"/>
        </w:rPr>
      </w:pPr>
    </w:p>
    <w:p w14:paraId="16323D4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პრეპარატებს შორის აღინიშნებოდა სუიციდურობის რისკის მნიშვნელოვანი ვარიაცია, მაგრამ თითქმის ყველა შესწავლილი პრეპარატის შემთხვევაში ახალგაზრდა პაციენტებში ზრდის ტენდენცია შეინიშნებოდა. სუიციდურობის აბსოლუტური რისკის მხრივ განსხვავებები იყო სხვადასხვა ჩვენების მიხედვით, ყველაზე მაღალი სიხშირით დიდი დეპრესიული აშლილობის დროს. რისკის ეს განსხვავებები (პრეპარატსა და პლაცებოს შორის სხვაობა სუიციდური იდეების შემთხვევების რაოდენობაში მკურნალობაზე მყოფ 1000 პაციენტზე) წარმოდგენილია ცხრილში 1.</w:t>
      </w:r>
    </w:p>
    <w:p w14:paraId="2065C761" w14:textId="77777777" w:rsidR="008B1423" w:rsidRPr="00BE4F57" w:rsidRDefault="008B1423" w:rsidP="00A14CA6">
      <w:pPr>
        <w:spacing w:after="0" w:line="240" w:lineRule="auto"/>
        <w:jc w:val="both"/>
        <w:rPr>
          <w:rFonts w:ascii="Sylfaen" w:hAnsi="Sylfaen"/>
          <w:sz w:val="24"/>
          <w:szCs w:val="24"/>
          <w:lang w:val="ka-GE"/>
        </w:rPr>
      </w:pPr>
    </w:p>
    <w:p w14:paraId="7B9E8E0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 სუიციდური მიდრეკილება 1000 ნამკურნლებ პაციენტზე</w:t>
      </w:r>
    </w:p>
    <w:p w14:paraId="0CBABE4B" w14:textId="77777777" w:rsidR="008B1423" w:rsidRPr="00BE4F57" w:rsidRDefault="008B1423" w:rsidP="00A14CA6">
      <w:pPr>
        <w:spacing w:after="0" w:line="240" w:lineRule="auto"/>
        <w:jc w:val="both"/>
        <w:rPr>
          <w:rFonts w:ascii="Sylfaen" w:hAnsi="Sylfaen"/>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4788"/>
      </w:tblGrid>
      <w:tr w:rsidR="008B1423" w:rsidRPr="00BE4F57" w14:paraId="590F3B07" w14:textId="77777777" w:rsidTr="007C600F">
        <w:tc>
          <w:tcPr>
            <w:tcW w:w="3510" w:type="dxa"/>
          </w:tcPr>
          <w:p w14:paraId="7322F58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ასაკობრივი დიაპაზონი</w:t>
            </w:r>
          </w:p>
        </w:tc>
        <w:tc>
          <w:tcPr>
            <w:tcW w:w="4788" w:type="dxa"/>
          </w:tcPr>
          <w:p w14:paraId="1F31EAF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პრეპარატსა და პლაცებოს შორის სხვაობა სუიციდური შემთხვევების რაოდენობაში 1000 ნამკურნალებ პაციენტზე</w:t>
            </w:r>
          </w:p>
        </w:tc>
      </w:tr>
      <w:tr w:rsidR="008B1423" w:rsidRPr="00BE4F57" w14:paraId="4CDCAC2D" w14:textId="77777777" w:rsidTr="007C600F">
        <w:tc>
          <w:tcPr>
            <w:tcW w:w="3510" w:type="dxa"/>
          </w:tcPr>
          <w:p w14:paraId="385851B6" w14:textId="77777777" w:rsidR="008B1423" w:rsidRPr="00BE4F57" w:rsidRDefault="008B1423" w:rsidP="00A14CA6">
            <w:pPr>
              <w:spacing w:after="0" w:line="240" w:lineRule="auto"/>
              <w:jc w:val="both"/>
              <w:rPr>
                <w:rFonts w:ascii="Sylfaen" w:hAnsi="Sylfaen"/>
                <w:sz w:val="24"/>
                <w:szCs w:val="24"/>
                <w:lang w:val="ka-GE"/>
              </w:rPr>
            </w:pPr>
          </w:p>
        </w:tc>
        <w:tc>
          <w:tcPr>
            <w:tcW w:w="4788" w:type="dxa"/>
          </w:tcPr>
          <w:p w14:paraId="2F43889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ზრდა პლაცებოსთან შედარებით</w:t>
            </w:r>
          </w:p>
        </w:tc>
      </w:tr>
      <w:tr w:rsidR="008B1423" w:rsidRPr="00BE4F57" w14:paraId="74E02A50" w14:textId="77777777" w:rsidTr="007C600F">
        <w:tc>
          <w:tcPr>
            <w:tcW w:w="3510" w:type="dxa"/>
          </w:tcPr>
          <w:p w14:paraId="48C61C9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&lt;18</w:t>
            </w:r>
          </w:p>
        </w:tc>
        <w:tc>
          <w:tcPr>
            <w:tcW w:w="4788" w:type="dxa"/>
          </w:tcPr>
          <w:p w14:paraId="7343389F"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დამატებითი</w:t>
            </w:r>
            <w:r w:rsidRPr="00BE4F57">
              <w:rPr>
                <w:rFonts w:ascii="Sylfaen" w:hAnsi="Sylfaen"/>
                <w:sz w:val="24"/>
                <w:szCs w:val="24"/>
              </w:rPr>
              <w:t xml:space="preserve"> 14 </w:t>
            </w:r>
            <w:r w:rsidRPr="00BE4F57">
              <w:rPr>
                <w:rFonts w:ascii="Sylfaen" w:hAnsi="Sylfaen" w:cs="Sylfaen"/>
                <w:sz w:val="24"/>
                <w:szCs w:val="24"/>
              </w:rPr>
              <w:t>შემთხვევა</w:t>
            </w:r>
          </w:p>
        </w:tc>
      </w:tr>
      <w:tr w:rsidR="008B1423" w:rsidRPr="00BE4F57" w14:paraId="373674BA" w14:textId="77777777" w:rsidTr="007C600F">
        <w:tc>
          <w:tcPr>
            <w:tcW w:w="3510" w:type="dxa"/>
          </w:tcPr>
          <w:p w14:paraId="56C4375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18-24</w:t>
            </w:r>
          </w:p>
        </w:tc>
        <w:tc>
          <w:tcPr>
            <w:tcW w:w="4788" w:type="dxa"/>
          </w:tcPr>
          <w:p w14:paraId="408B3329"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დამატებითი</w:t>
            </w:r>
            <w:r w:rsidRPr="00BE4F57">
              <w:rPr>
                <w:rFonts w:ascii="Sylfaen" w:hAnsi="Sylfaen"/>
                <w:sz w:val="24"/>
                <w:szCs w:val="24"/>
              </w:rPr>
              <w:t xml:space="preserve"> 5 </w:t>
            </w:r>
            <w:r w:rsidRPr="00BE4F57">
              <w:rPr>
                <w:rFonts w:ascii="Sylfaen" w:hAnsi="Sylfaen" w:cs="Sylfaen"/>
                <w:sz w:val="24"/>
                <w:szCs w:val="24"/>
              </w:rPr>
              <w:t>შემთხვევა</w:t>
            </w:r>
          </w:p>
        </w:tc>
      </w:tr>
      <w:tr w:rsidR="008B1423" w:rsidRPr="00BE4F57" w14:paraId="20019A3F" w14:textId="77777777" w:rsidTr="007C600F">
        <w:tc>
          <w:tcPr>
            <w:tcW w:w="3510" w:type="dxa"/>
          </w:tcPr>
          <w:p w14:paraId="3F28CC53" w14:textId="77777777" w:rsidR="008B1423" w:rsidRPr="00BE4F57" w:rsidRDefault="008B1423" w:rsidP="00A14CA6">
            <w:pPr>
              <w:spacing w:after="0" w:line="240" w:lineRule="auto"/>
              <w:rPr>
                <w:rFonts w:ascii="Sylfaen" w:hAnsi="Sylfaen"/>
                <w:sz w:val="24"/>
                <w:szCs w:val="24"/>
              </w:rPr>
            </w:pPr>
          </w:p>
        </w:tc>
        <w:tc>
          <w:tcPr>
            <w:tcW w:w="4788" w:type="dxa"/>
          </w:tcPr>
          <w:p w14:paraId="1B33744E"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შემცირება</w:t>
            </w:r>
            <w:r w:rsidRPr="00BE4F57">
              <w:rPr>
                <w:rFonts w:ascii="Sylfaen" w:hAnsi="Sylfaen" w:cs="Sylfaen"/>
                <w:sz w:val="24"/>
                <w:szCs w:val="24"/>
                <w:lang w:val="ka-GE"/>
              </w:rPr>
              <w:t xml:space="preserve"> </w:t>
            </w:r>
            <w:r w:rsidRPr="00BE4F57">
              <w:rPr>
                <w:rFonts w:ascii="Sylfaen" w:hAnsi="Sylfaen" w:cs="Sylfaen"/>
                <w:sz w:val="24"/>
                <w:szCs w:val="24"/>
              </w:rPr>
              <w:t>პლაცებოსთან</w:t>
            </w:r>
            <w:r w:rsidRPr="00BE4F57">
              <w:rPr>
                <w:rFonts w:ascii="Sylfaen" w:hAnsi="Sylfaen"/>
                <w:sz w:val="24"/>
                <w:szCs w:val="24"/>
              </w:rPr>
              <w:t xml:space="preserve"> </w:t>
            </w:r>
            <w:r w:rsidRPr="00BE4F57">
              <w:rPr>
                <w:rFonts w:ascii="Sylfaen" w:hAnsi="Sylfaen" w:cs="Sylfaen"/>
                <w:sz w:val="24"/>
                <w:szCs w:val="24"/>
              </w:rPr>
              <w:t>შედარებით</w:t>
            </w:r>
            <w:r w:rsidRPr="00BE4F57">
              <w:rPr>
                <w:rFonts w:ascii="Sylfaen" w:hAnsi="Sylfaen"/>
                <w:sz w:val="24"/>
                <w:szCs w:val="24"/>
              </w:rPr>
              <w:t xml:space="preserve"> </w:t>
            </w:r>
          </w:p>
        </w:tc>
      </w:tr>
      <w:tr w:rsidR="008B1423" w:rsidRPr="00BE4F57" w14:paraId="0414749F" w14:textId="77777777" w:rsidTr="007C600F">
        <w:tc>
          <w:tcPr>
            <w:tcW w:w="3510" w:type="dxa"/>
          </w:tcPr>
          <w:p w14:paraId="7887286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25-64</w:t>
            </w:r>
          </w:p>
        </w:tc>
        <w:tc>
          <w:tcPr>
            <w:tcW w:w="4788" w:type="dxa"/>
          </w:tcPr>
          <w:p w14:paraId="74268049"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 xml:space="preserve">1 </w:t>
            </w:r>
            <w:r w:rsidRPr="00BE4F57">
              <w:rPr>
                <w:rFonts w:ascii="Sylfaen" w:hAnsi="Sylfaen" w:cs="Sylfaen"/>
                <w:sz w:val="24"/>
                <w:szCs w:val="24"/>
              </w:rPr>
              <w:t>შემთხვევით</w:t>
            </w:r>
            <w:r w:rsidRPr="00BE4F57">
              <w:rPr>
                <w:rFonts w:ascii="Sylfaen" w:hAnsi="Sylfaen"/>
                <w:sz w:val="24"/>
                <w:szCs w:val="24"/>
              </w:rPr>
              <w:t xml:space="preserve"> </w:t>
            </w:r>
            <w:r w:rsidRPr="00BE4F57">
              <w:rPr>
                <w:rFonts w:ascii="Sylfaen" w:hAnsi="Sylfaen" w:cs="Sylfaen"/>
                <w:sz w:val="24"/>
                <w:szCs w:val="24"/>
              </w:rPr>
              <w:t>ნაკლები</w:t>
            </w:r>
          </w:p>
        </w:tc>
      </w:tr>
      <w:tr w:rsidR="008B1423" w:rsidRPr="00BE4F57" w14:paraId="10E5ABA7" w14:textId="77777777" w:rsidTr="007C600F">
        <w:tc>
          <w:tcPr>
            <w:tcW w:w="3510" w:type="dxa"/>
          </w:tcPr>
          <w:p w14:paraId="1FCAB43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≥65</w:t>
            </w:r>
          </w:p>
        </w:tc>
        <w:tc>
          <w:tcPr>
            <w:tcW w:w="4788" w:type="dxa"/>
          </w:tcPr>
          <w:p w14:paraId="3E710550"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lang w:val="ka-GE"/>
              </w:rPr>
              <w:t xml:space="preserve">6 </w:t>
            </w:r>
            <w:r w:rsidRPr="00BE4F57">
              <w:rPr>
                <w:rFonts w:ascii="Sylfaen" w:hAnsi="Sylfaen" w:cs="Sylfaen"/>
                <w:sz w:val="24"/>
                <w:szCs w:val="24"/>
              </w:rPr>
              <w:t>შემთხვევით</w:t>
            </w:r>
            <w:r w:rsidRPr="00BE4F57">
              <w:rPr>
                <w:rFonts w:ascii="Sylfaen" w:hAnsi="Sylfaen"/>
                <w:sz w:val="24"/>
                <w:szCs w:val="24"/>
              </w:rPr>
              <w:t xml:space="preserve"> </w:t>
            </w:r>
            <w:r w:rsidRPr="00BE4F57">
              <w:rPr>
                <w:rFonts w:ascii="Sylfaen" w:hAnsi="Sylfaen" w:cs="Sylfaen"/>
                <w:sz w:val="24"/>
                <w:szCs w:val="24"/>
              </w:rPr>
              <w:t>ნაკლები</w:t>
            </w:r>
          </w:p>
        </w:tc>
      </w:tr>
    </w:tbl>
    <w:p w14:paraId="55F6D41F" w14:textId="77777777" w:rsidR="008B1423" w:rsidRPr="00BE4F57" w:rsidRDefault="008B1423" w:rsidP="00A14CA6">
      <w:pPr>
        <w:spacing w:after="0" w:line="240" w:lineRule="auto"/>
        <w:jc w:val="both"/>
        <w:rPr>
          <w:rFonts w:ascii="Sylfaen" w:hAnsi="Sylfaen"/>
          <w:sz w:val="24"/>
          <w:szCs w:val="24"/>
          <w:lang w:val="ka-GE"/>
        </w:rPr>
      </w:pPr>
    </w:p>
    <w:p w14:paraId="79349AC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პედიატრიულ კვლევებში სუიციდის შემთხვევები არ დაფიქსირებულა. მოზრდილთა კვლევებში აღინიშნა სუიციდის შემთხვევები, მაგრამ ეს რიცხვი საკმარისი არ იყო პრეპარატის სუიციდზე ზემოქმედების შესახებ რაიმე დასკვნის გასაკეთებლად.</w:t>
      </w:r>
    </w:p>
    <w:p w14:paraId="7222A53F" w14:textId="77777777" w:rsidR="008B1423" w:rsidRPr="00BE4F57" w:rsidRDefault="008B1423" w:rsidP="00A14CA6">
      <w:pPr>
        <w:spacing w:after="0" w:line="240" w:lineRule="auto"/>
        <w:jc w:val="both"/>
        <w:rPr>
          <w:rFonts w:ascii="Sylfaen" w:hAnsi="Sylfaen"/>
          <w:sz w:val="24"/>
          <w:szCs w:val="24"/>
          <w:lang w:val="ka-GE"/>
        </w:rPr>
      </w:pPr>
    </w:p>
    <w:p w14:paraId="362A63E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უცნობია, ვრცელდება თუ არა სუიციდურობის რისკი ხანგრძლივ გამოყენებაზე, ანუ რამდენიმე თვეზე ხანგრძლივ პერიოდზე. თუმცა, დეპრესიის მქონე მოზრდილებში ჩატარებული შემანარჩუნებელი თერაპიის პლაცებო-კონტროლირებადი კვლევებიდან არსებობს მნიშვნელოვანი მტკიცებულება, რომ ანტიდეპრესანტების გამოყენებამ შეიძლება შეაფერხოს დეპრესიის რეციდივი.</w:t>
      </w:r>
    </w:p>
    <w:p w14:paraId="1346DB0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ყველა პაციენტი, რომელიც მკურნალობს ანტიდეპრესანტებით ნებისმიერი ჩვენების გამო, უნდა იმყოფებოდეს სათანადო მონიტორინგის ქვეშ და საფუძვლიანად კონტროლდებოდეს კლინიკური გაუარესების, სუიციდური მიდრეკილების და ქცევის უჩვეულო ცვლილებების გამოსავლენად, განსაკუთრებით მედიკამენტოზური თერაპიის კურსის პირველი რამდენიმე თვის განმავლობაში ან დოზის ცვლილების დროს (ზრდის ან შემცირების დროს).</w:t>
      </w:r>
    </w:p>
    <w:p w14:paraId="204C592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შემდეგი სიმპტომები: შფოთვა, აგზნება, პანიკური შეტევები, უძილობა, გაღიზიანება, მტრული განწყობა, აგრესიულობა, იმპულსურობა, აკათიზია (ფსიქომოტორული მოუსვენრობა), ჰიპომანია და მანია, აღინიშნა მოზრდილ და პედიატრიულ პაციენტებში, რომლებიც მკურნალობენ ანტიდეპრესანტებით დიდი დეპრესიული აშლილობის, ასევე სხვა ჩვენებების არსებობის გამო, როგორც ფსიქიატრიული, ასევე არაფსიქიატრიული. მიუხედავად იმისა, რომ ასეთი სიმპტომების გამოვლენასა და დეპრესიის გაუარესებას და/ან სუიციდური იმპულსების წარმოქმნას შორის მიზეზ–შედეგობრივი კავშირი დადგენილი არ არის, არსებობს საშიშროება, რომ ასეთი სიმპტომები შეიძლება წარმოადგენდეს სუიციდური მიდრეკილების წინამორბედებს.</w:t>
      </w:r>
    </w:p>
    <w:p w14:paraId="2C060CCF" w14:textId="77777777" w:rsidR="008B1423" w:rsidRPr="00BE4F57" w:rsidRDefault="008B1423" w:rsidP="00A14CA6">
      <w:pPr>
        <w:spacing w:after="0" w:line="240" w:lineRule="auto"/>
        <w:jc w:val="both"/>
        <w:rPr>
          <w:rFonts w:ascii="Sylfaen" w:hAnsi="Sylfaen"/>
          <w:sz w:val="24"/>
          <w:szCs w:val="24"/>
          <w:lang w:val="ka-GE"/>
        </w:rPr>
      </w:pPr>
    </w:p>
    <w:p w14:paraId="7F26258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უნდა განიხილებოდეს თერაპიული რეჟიმის შეცვლა, მათ შორის მედიკამენტების მიღების შესაძლო შეწყვეტა, იმ პაციენტებში, რომელთა დეპრესია მუდმივად უარესდება, ან რომლებსაც აღენიშნებათ სუიციდური მიდრეკილება ან სიმპტომები, რომლებიც შეიძლება იყოს დეპრესიის ან სუიციდური მიდრეკილების გაუარესების წინამორბედი, განსაკუთრებით თუ ეს სიმპტომები მძიმეა, უეცრად იწყება ან არ მიეკუთვნება პაციენტის მიმდინარე სიმპტომებს.</w:t>
      </w:r>
    </w:p>
    <w:p w14:paraId="757AC56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თუ მიღებულია გადაწყვეტილება მკურნალობის შეწყვეტის შესახებ, მედიკამენტის დოზა უნდა შემცირდეს თანდათანობით, რაც შეიძლება სწრაფად, მაგრამ იმის გათვალისწინებით, რომ უეცარი შეწყვეტა შეიძლება დაკავშირებული იყოს გარკვეულ სიმპტომებთან (იხილეთ ნაწილი 4.4. განსაკუთრებული გაფრთხილებები გამოყენებისას და უსაფრთხოების ზომები).</w:t>
      </w:r>
    </w:p>
    <w:p w14:paraId="01F4932F" w14:textId="77777777" w:rsidR="008B1423" w:rsidRPr="00BE4F57" w:rsidRDefault="008B1423" w:rsidP="00A14CA6">
      <w:pPr>
        <w:spacing w:after="0" w:line="240" w:lineRule="auto"/>
        <w:jc w:val="both"/>
        <w:rPr>
          <w:rFonts w:ascii="Sylfaen" w:hAnsi="Sylfaen"/>
          <w:sz w:val="24"/>
          <w:szCs w:val="24"/>
          <w:lang w:val="ka-GE"/>
        </w:rPr>
      </w:pPr>
    </w:p>
    <w:p w14:paraId="1EBF288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პაციენტების ოჯახები და მომვლელები, რომლებიც მკურნალობენ ანტიდეპრესანტებით დიდი დეპრესიული აშლილობის ან სხვა ჩვენებების, როგორც ფსიქიატრიული, ასევე არაფსიქიატრიული, არსებობის გამო, უნდა იყვნენ გაფრთხილებულნი პაციენტების მონიტორინგის აუცილებლობის შესახებ აგზნების, გაღიზიანების, ქცევის უჩვეულო ცვლილებების და ზემოთ აღწერილი სხვა სიმპტომების, ასევე სუიციდური მიდრეკილების გამოვლენის გამო და ასეთი სიმპტომების დაუყოვნებლივ შეტყობინების თაობაზე ჯანდაცვის სპეციალისტებისთვის. ასეთი მონიტორინგი უნდა მოიცავდეს ოჯახებისა და მომვლელების მიერ ყოველდღიურ დაკვირვებას. რექსეპი კომბის რეცეპტები უნდა გაიცეს კაფსულების უმცირეს რაოდენობაზე, პაციენტის სათანადო მართვის შესაბამისად, დოზის გადაჭარბების რისკის შესამცირებლად.</w:t>
      </w:r>
    </w:p>
    <w:p w14:paraId="26835EB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უნდა აღინიშნოს, რომ რექსეპი კომბი არ არის დამტკიცებული პედიატრიულ პოპულაციაში რაიმე ჩვენების გამო სამკურნალოდ გამოსაყენებლად (იხილეთ დამატებითი ინფორმაცია განსაკუთრებული პოპულაციებისთვის).</w:t>
      </w:r>
    </w:p>
    <w:p w14:paraId="18D5C437" w14:textId="77777777" w:rsidR="008B1423" w:rsidRPr="00BE4F57" w:rsidRDefault="008B1423" w:rsidP="00A14CA6">
      <w:pPr>
        <w:spacing w:after="0" w:line="240" w:lineRule="auto"/>
        <w:jc w:val="both"/>
        <w:rPr>
          <w:rFonts w:ascii="Sylfaen" w:hAnsi="Sylfaen"/>
          <w:sz w:val="24"/>
          <w:szCs w:val="24"/>
          <w:lang w:val="ka-GE"/>
        </w:rPr>
      </w:pPr>
    </w:p>
    <w:p w14:paraId="5BD51FC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დემენციასთან დაკავშირებული ფსიქოზის მქონე ხანდაზმული პაციენტები</w:t>
      </w:r>
    </w:p>
    <w:p w14:paraId="1A30550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u w:val="single"/>
          <w:lang w:val="ka-GE"/>
        </w:rPr>
        <w:t>მომატებული სიკვდილიანობა</w:t>
      </w:r>
      <w:r w:rsidRPr="00BE4F57">
        <w:rPr>
          <w:rFonts w:ascii="Sylfaen" w:hAnsi="Sylfaen"/>
          <w:sz w:val="24"/>
          <w:szCs w:val="24"/>
          <w:lang w:val="ka-GE"/>
        </w:rPr>
        <w:t xml:space="preserve"> </w:t>
      </w:r>
      <w:r w:rsidRPr="00BE4F57">
        <w:rPr>
          <w:rFonts w:ascii="Sylfaen" w:hAnsi="Sylfaen"/>
          <w:b/>
          <w:sz w:val="24"/>
          <w:szCs w:val="24"/>
          <w:lang w:val="ka-GE"/>
        </w:rPr>
        <w:t xml:space="preserve">— დემენციასთან დაკავშირებული ფსიქოზის მქონე ხანდაზმულ პაციენტებს, რომლებიც ანტიფსიქოზური პრეპარატებით მკურნალობენ, სიკვდილის მომატებული რისკის ქვეშ იმყოფებიან. რექსეპი კომბი არ არის დამტკიცებული დემენციასთან დაკავშირებული </w:t>
      </w:r>
      <w:r w:rsidRPr="00BE4F57">
        <w:rPr>
          <w:rFonts w:ascii="Sylfaen" w:hAnsi="Sylfaen"/>
          <w:b/>
          <w:sz w:val="24"/>
          <w:szCs w:val="24"/>
          <w:lang w:val="ka-GE"/>
        </w:rPr>
        <w:lastRenderedPageBreak/>
        <w:t>ფსიქოზის მქონე პაციენტების სამკურნალოდ (იხილეთ ნაწილი 4.4. განსაკუთრებული გაფრთხილებები გამოყენებისას და უსაფრთხოების ზომები).</w:t>
      </w:r>
    </w:p>
    <w:p w14:paraId="4B39E70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დემენციასთან დაკავშირებული ფსიქოზის მქონე ხანდაზმული პაციენტების ოლანზაპინის პლაცებო-კონტროლირებად კლინიკურ კვლევებში, ოლანზაპინით ნამკურნალებ პაციენტებში სიკვდილის შემთხვევები მნიშვნელოვნად მაღალი იყო პლაცებოთი ნამკურნალებ პაციენტებთან შედარებით (3.5% შედარებით 1.5%-თან, შესაბამისად).</w:t>
      </w:r>
    </w:p>
    <w:p w14:paraId="07618F7B" w14:textId="77777777" w:rsidR="008B1423" w:rsidRPr="00BE4F57" w:rsidRDefault="008B1423" w:rsidP="00A14CA6">
      <w:pPr>
        <w:spacing w:after="0" w:line="240" w:lineRule="auto"/>
        <w:jc w:val="both"/>
        <w:rPr>
          <w:rFonts w:ascii="Sylfaen" w:hAnsi="Sylfaen"/>
          <w:sz w:val="24"/>
          <w:szCs w:val="24"/>
          <w:lang w:val="ka-GE"/>
        </w:rPr>
      </w:pPr>
    </w:p>
    <w:p w14:paraId="44CA062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u w:val="single"/>
          <w:lang w:val="ka-GE"/>
        </w:rPr>
        <w:t>დემენციასთან დაკავშირებული ფსიქოზის დროს ანტიფსიქოზური საშუალებების გამოყენების მეტაანალიზი</w:t>
      </w:r>
      <w:r w:rsidRPr="00BE4F57">
        <w:rPr>
          <w:rFonts w:ascii="Sylfaen" w:hAnsi="Sylfaen"/>
          <w:sz w:val="24"/>
          <w:szCs w:val="24"/>
          <w:lang w:val="ka-GE"/>
        </w:rPr>
        <w:t xml:space="preserve"> - დემენციასთან დაკავშირებული ფსიქოზის მქონე ხანდაზმულ პაციენტებს, რომლებიც ანტიფსიქოზურ პრეპარატებს იღებენ, იმყოფებიან სიკვდილის მომატებული რისკის ქვეშ. 17 პლაცებო-კონტროლირებადი კვლევის (საშუალო ხანგრძლივობა 10 კვირა) ანალიზმა, უმეტესად ატიპიურ ანტიფსიქოზურ მედიკამენტებზე მყოფ პაციენტებში, აჩვენა, რომ სიკვდილის რისკი მედიკამენტით ნამკურნალებ პაციენტებში 1.6-1.7-ჯერ აღემატებოდა პლაცებოთი ნამკურნალებ პაციენტებში არსებულ სიკვდილის რისკს. ტიპიური 10-კვირიანი კონტროლირებადი კვლევის დროს, პრეპარატით ნამკურნალებ პაციენტებში სიკვდილიანობის მაჩვენებელი დაახლოებით 4.5% იყო, დაახლოებით 2.6%-თან შედარებით პლაცებოს ჯგუფში. მიუხედავად იმისა, რომ სიკვდილის მიზეზები განსხვავებული იყო, სიკვდილიანობის უმეტესი ნაწილი გამოწვეული იყო გულ-სისხლძარღვთა (მაგ. გულის უკმარისობა, უეცარი სიკვდილი) ან ინფექციური (მაგ. პნევმონია) მიზეზებით. დაკვირვებითმა კვლევებმა აჩვენა, რომ ატიპიური ანტიფსიქოზური პრეპარატების მსგავსად, ტრადიციული ანტიფსიქოზური პრეპარატებით მკურნალობამ შეიძლება გაზარდოს სიკვდილიანობა. გაურკვეველია, რამდენად შეიძლება დაკვირვებით კვლევებში, რომლებიც მოწმობს სიკვდილიანობის მომატების შესახებ, დასკვნები მივაწეროთ ანტიფსიქოზურ მედიკამენტებს და არა პაციენტების ზოგიერთ მახასიათებლებს. ოლანზაპინისა და ფლუოქსეტინის კომბინაციის გამოყენება არ არის დამტკიცებული დემენციასთან დაკავშირებული ფსიქოზის მქონე პაციენტების სამკურნალოდ (იხილეთ ნაწილი 4.5.).</w:t>
      </w:r>
    </w:p>
    <w:p w14:paraId="155BB16F" w14:textId="77777777" w:rsidR="008B1423" w:rsidRPr="00BE4F57" w:rsidRDefault="008B1423" w:rsidP="00A14CA6">
      <w:pPr>
        <w:spacing w:after="0" w:line="240" w:lineRule="auto"/>
        <w:jc w:val="both"/>
        <w:rPr>
          <w:rFonts w:ascii="Sylfaen" w:hAnsi="Sylfaen"/>
          <w:sz w:val="24"/>
          <w:szCs w:val="24"/>
          <w:lang w:val="ka-GE"/>
        </w:rPr>
      </w:pPr>
    </w:p>
    <w:p w14:paraId="79B2B4E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u w:val="single"/>
          <w:lang w:val="ka-GE"/>
        </w:rPr>
        <w:t>ცერებროვასკულური გვერდითი მოვლენები, მათ შორის ინსულტი</w:t>
      </w:r>
      <w:r w:rsidRPr="00BE4F57">
        <w:rPr>
          <w:rFonts w:ascii="Sylfaen" w:hAnsi="Sylfaen"/>
          <w:sz w:val="24"/>
          <w:szCs w:val="24"/>
          <w:lang w:val="ka-GE"/>
        </w:rPr>
        <w:t xml:space="preserve"> — ცერებროვასკულური გვერდითი მოვლენები (მაგ., ინსულტი, გარდამავალი იშემიური შეტევა), მათ შორის ფატალური შედეგი, დაფიქსირდა ოლანზაპინის კლინიკურ კვლევებში დემენციასთან დაკავშირებული ფსიქოზის მქონე ხანდაზმულ პაციენტებში. პლაცებო-კონტროლირებად კვლევებში აღინიშნა ცერებროვასკულური გვერდითი მოვლენების მნიშვნელოვნად მაღალი სიხშირე ოლანზაპინით ნამკურნალებ პაციენტებში პლაცებოს მიმღებ პაციენტებთან შედარებით. ოლანზაპინი და ოლანზაპინისა და ფლუოქსეტინის კომბინაცია არ არის დამტკიცებული დემენციასთან დაკავშირებული ფსიქოზის მქონე პაციენტების სამკურნალოდ.</w:t>
      </w:r>
    </w:p>
    <w:p w14:paraId="57D404D9" w14:textId="77777777" w:rsidR="008B1423" w:rsidRPr="00BE4F57" w:rsidRDefault="008B1423" w:rsidP="00A14CA6">
      <w:pPr>
        <w:spacing w:after="0" w:line="240" w:lineRule="auto"/>
        <w:jc w:val="both"/>
        <w:rPr>
          <w:rFonts w:ascii="Sylfaen" w:hAnsi="Sylfaen"/>
          <w:sz w:val="24"/>
          <w:szCs w:val="24"/>
          <w:lang w:val="ka-GE"/>
        </w:rPr>
      </w:pPr>
    </w:p>
    <w:p w14:paraId="7BCAD25E"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ნეიროლეფსიური ავთვისებიანი სინდრომი (NMS)</w:t>
      </w:r>
    </w:p>
    <w:p w14:paraId="2EF562A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ანტიფსიქოზური პრეპარატების, მათ შორის ოლანზაპინის, მიღებასთან დაკავშირებით აღწერილია პოტენციურად ფატალური სიმპტომების კომპლექსი, რომელსაც ზოგჯერ NMS-ს უწოდებენ. NMS-ის კლინიკური გამოვლინებებია ჰიპერპირექსია, კუნთების რიგიდულობა, ფსიქიკური მდგომარეობის ცვლილება და ავტონომიური არასტაბილურობის ნიშნები (არარეგულარული პულსი ან არტერიული წნევა, ტაქიკარდია, ოფლიანობა და გულის დისრითმია). დამატებითი ნიშნები შეიძლება მოიცავდეს კრეატინინფოსფოკინაზას მომატებას, მიოგლობინურიას (რაბდომიოლიზი) და თირკმლის მწვავე უკმარისობას.</w:t>
      </w:r>
    </w:p>
    <w:p w14:paraId="16D74A8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ამ სინდრომის მქონე პაციენტების დიაგნოსტიკური შეფასება რთულია. დიაგნოზის დასმისას მნიშვნელოვანია გამოვრიცხოთ შემთხვევები, როდესაც კლინიკური სურათი მოიცავს როგორც სერიოზულ სამედიცინო დაავადებას (მაგ., პნევმონია, სისტემური ინფექცია და ა.შ.), ასევე </w:t>
      </w:r>
      <w:r w:rsidRPr="00BE4F57">
        <w:rPr>
          <w:rFonts w:ascii="Sylfaen" w:hAnsi="Sylfaen"/>
          <w:sz w:val="24"/>
          <w:szCs w:val="24"/>
          <w:lang w:val="ka-GE"/>
        </w:rPr>
        <w:lastRenderedPageBreak/>
        <w:t>არანამკურნალებ ან არასაკმარისად ნამკურნალებ ექსტრაპირამიდულ ნიშნებსა და სიმპტომებს (EPS). დიფერენციალური დიაგნოზის სხვა მნიშვნელოვანი გასათვალისწინებელი ფაქტორებია ცენტრალური ანტიქოლინერგული ტოქსიკურობა, სითბური დარტყმა, წამლისმიერი ცხელება და ცენტრალური ნერვული სისტემის პირველადი პათოლოგია. NMS-ის მართვა უნდა მოიცავდეს: 1) ანტიფსიქოზური პრეპარატების და სხვა პრეპარატების, რომლებიც არ არის აუცილებელი თანმხლები თერაპიისთვის, დაუყოვნებლივ შეწყვეტას, 2) ინტენსიურ სიმპტომურ მკურნალობას და სამედიცინო მონიტორინგს და 3) ნებისმიერი თანმხლები სერიოზული სამედიცინო პრობლემის მკურნალობას, რომლისთვისაც ხელმისაწვდომია მკურნალობის სპეციფიკური მეთოდები. NMS–ის სპეციფიკური ფარმაკოლოგიური მკურნალობის რეჟიმების შესახებ ერთიანი შეთანხმება არ არსებობს.</w:t>
      </w:r>
    </w:p>
    <w:p w14:paraId="5C5237E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თუ NMS–ისგან გამოჯანმრთელების შემდეგ პაციენტს სჭირდება ანტიფსიქოზური პრეპარატით მკურნალობა, პაციენტი უნდა იმყოფებოდეს საფუძვლიანი მონიტორინგის ქვეშ, რადგან აღწერილია NMS–ის რეციდივები (იხილეთ ნაწილი 4.4. განსაკუთრებული გაფრთხილებები გამოყენებისას და უსაფრთხოების ზომები).</w:t>
      </w:r>
    </w:p>
    <w:p w14:paraId="5936F76C" w14:textId="77777777" w:rsidR="008B1423" w:rsidRPr="00BE4F57" w:rsidRDefault="008B1423" w:rsidP="00A14CA6">
      <w:pPr>
        <w:spacing w:after="0" w:line="240" w:lineRule="auto"/>
        <w:jc w:val="both"/>
        <w:rPr>
          <w:rFonts w:ascii="Sylfaen" w:hAnsi="Sylfaen"/>
          <w:sz w:val="24"/>
          <w:szCs w:val="24"/>
          <w:lang w:val="ka-GE"/>
        </w:rPr>
      </w:pPr>
    </w:p>
    <w:p w14:paraId="2CBEE30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წამლისმიერი რეაქცია ეოზინოფილიითა და სისტემური სიმპტომებით (DRESS)</w:t>
      </w:r>
    </w:p>
    <w:p w14:paraId="3218092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ზემოქმედებისას აღწერილია წამლისმიერი რეაქცია ეოზინოფილიითა და სისტემური სიმპტომებით (DRESS). DRESS შეიძლება გამოვლინდეს კანის რეაქციით (მაგალითად, გამონაყარი ან ექსფოლიატიური დერმატიტი), ეოზინოფილიით, ცხელებით და/ან ლიმფადენოპათიით სისტემური გართულებებით, როგორიცაა ჰეპატიტი, ნეფრიტი, პნევმონიტი, მიოკარდიტი და/ან პერიკარდიტი. DRESS ზოგჯერ იწვევს ფატალურ შედეგს. შეწყვიტეთ რექსეპი კომბის გამოყენება, თუ არსებობს ეჭვი DRESS–ზე.</w:t>
      </w:r>
    </w:p>
    <w:p w14:paraId="5F245BA2" w14:textId="77777777" w:rsidR="008B1423" w:rsidRPr="00BE4F57" w:rsidRDefault="008B1423" w:rsidP="00A14CA6">
      <w:pPr>
        <w:spacing w:after="0" w:line="240" w:lineRule="auto"/>
        <w:jc w:val="both"/>
        <w:rPr>
          <w:rFonts w:ascii="Sylfaen" w:hAnsi="Sylfaen"/>
          <w:sz w:val="24"/>
          <w:szCs w:val="24"/>
          <w:lang w:val="ka-GE"/>
        </w:rPr>
      </w:pPr>
    </w:p>
    <w:p w14:paraId="10DC4BB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მეტაბოლური ცვლილებები</w:t>
      </w:r>
    </w:p>
    <w:p w14:paraId="6E517A9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ატიპიური ანტიფსიქოზური პრეპარატები დაკავშირებულია მეტაბოლურ ცვლილებებთან, როგორიცაა ჰიპერგლიკემია, დისლიპიდემია და წონის მატება. მეტაბოლური ცვლილებები შეიძლება დაკავშირებული იყოს გულ-სისხლძარღვთა/ცერებროვასკულური რისკის ზრდასთან. ოლანზაპინის სპეციფიკური მეტაბოლური პროფილი წარმოდგენილია ქვემოთ.</w:t>
      </w:r>
    </w:p>
    <w:p w14:paraId="46D95EF4" w14:textId="77777777" w:rsidR="008B1423" w:rsidRPr="00BE4F57" w:rsidRDefault="008B1423" w:rsidP="00A14CA6">
      <w:pPr>
        <w:spacing w:after="0" w:line="240" w:lineRule="auto"/>
        <w:jc w:val="both"/>
        <w:rPr>
          <w:rFonts w:ascii="Sylfaen" w:hAnsi="Sylfaen"/>
          <w:sz w:val="24"/>
          <w:szCs w:val="24"/>
          <w:lang w:val="ka-GE"/>
        </w:rPr>
      </w:pPr>
    </w:p>
    <w:p w14:paraId="1C1C9DF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ჰიპერგლიკემია</w:t>
      </w:r>
    </w:p>
    <w:p w14:paraId="10E4F91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მოზრდილები - ექიმებმა უნდა გაითვალისწინონ რისკები და სარგებელი რექსეპი კომბის დანიშვნისას იმ პაციენტებისთვის, რომლებსაც აქვთ შაქრიანი დიაბეტის დიაგნოზი ან სისხლში გლუკოზის დონის ზღვრულად მომატების რისკი (უზმოზე 100-126 მგ/დლ, ჭამის შემდეგ 140-200 მგ/დლ). პაციენტები, რომლებიც იღებენ რექსეპი კომბის, რეგულარულად უნდა იმყოფებოდნენ გლუკოზის კონტროლის გაუარესების გამო მონიტორინგის ქვეშ. პაციენტებმა, რომლებიც იწყებენ მკურნალობას რექსეპი კომბით, უნდა ჩაიტარონ უზმოზე სისხლში გლუკოზის დონის ტესტირება მკურნალობის დასაწყისში და პერიოდულად მკურნალობის დროს. ნებისმიერი პაციენტი, რომელიც მკურნალობს ატიპიური ანტიფსიქოზური საშუალებებით უნდა გაკონტროლდეს ჰიპერგლიკემიის სიმპტომების, მათ შორის პოლიდიფსიის, პოლიურიის, პოლიფაგიის და სისუსტის, არსებობაზე. პაციენტებში, რომლებსაც ატიპიური ანტიფსიქოზური საშუალებებით მკურნალობის დროს განუვითარდათ ჰიპერგლიკემიის სიმპტომები, უნდა განისაზღვროს სისხლში გლუკოზის დონე უზმოზე. ზოგიერთ შემთხვევაში, ატიპიური ანტიფსიქოზური საშუალებების შეწყვეტის შემდეგ ჰიპერგლიკემია გაქრა; თუმცა, ზოგიერთ პაციენტს დასჭირდა ანტიდიაბეტური მკურნალობის გაგრძელება საეჭვო პრეპარატის შეწყვეტის მიუხედავად.</w:t>
      </w:r>
    </w:p>
    <w:p w14:paraId="3B3440C5" w14:textId="77777777" w:rsidR="008B1423" w:rsidRPr="00BE4F57" w:rsidRDefault="008B1423" w:rsidP="00A14CA6">
      <w:pPr>
        <w:spacing w:after="0" w:line="240" w:lineRule="auto"/>
        <w:jc w:val="both"/>
        <w:rPr>
          <w:rFonts w:ascii="Sylfaen" w:hAnsi="Sylfaen"/>
          <w:sz w:val="24"/>
          <w:szCs w:val="24"/>
          <w:lang w:val="ka-GE"/>
        </w:rPr>
      </w:pPr>
    </w:p>
    <w:p w14:paraId="5EA58A8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პაციენტებში, რომლებიც მკურნალობდნენ ატიპიური ანტიფსიქოზური საშუალებებით, მათ შორის მხოლოდ ოლანზაპინით, და ასევე ფლუოქსეტინთან ერთად მიღებული ოლანზაპინით, </w:t>
      </w:r>
      <w:r w:rsidRPr="00BE4F57">
        <w:rPr>
          <w:rFonts w:ascii="Sylfaen" w:hAnsi="Sylfaen"/>
          <w:sz w:val="24"/>
          <w:szCs w:val="24"/>
          <w:lang w:val="ka-GE"/>
        </w:rPr>
        <w:lastRenderedPageBreak/>
        <w:t xml:space="preserve">აღინიშნა ჰიპერგლიკემია, ზოგიერთ შემთხვევაში გამოხატული და ასოცირებული კეტოაციდოზთან ან ჰიპეროსმოლურ კომასთან ან სიკვდილთან,. ატიპიური ანტიფსიქოზური საშუალებების გამოყენებასა და გლუკოზის დონის დარღვევებს შორის ურთიერთკავშირის შეფასებას ართულებს შიზოფრენიით დაავადებულ პაციენტებში ფონური შაქრიანი დიაბეტის განვითარების რისკის გაზრდის შესაძლებლობა და ზოგად პოპულაციაში შაქრიანი დიაბეტის შემთხვევების ზრდა. </w:t>
      </w:r>
      <w:r w:rsidRPr="00BE4F57">
        <w:rPr>
          <w:rFonts w:ascii="Sylfaen" w:hAnsi="Sylfaen" w:cs="Sylfaen"/>
          <w:sz w:val="24"/>
          <w:szCs w:val="24"/>
          <w:lang w:val="ka-GE"/>
        </w:rPr>
        <w:t>ეპიდემიოლოგიური</w:t>
      </w:r>
      <w:r w:rsidRPr="00BE4F57">
        <w:rPr>
          <w:sz w:val="24"/>
          <w:szCs w:val="24"/>
          <w:lang w:val="ka-GE"/>
        </w:rPr>
        <w:t xml:space="preserve"> </w:t>
      </w:r>
      <w:r w:rsidRPr="00BE4F57">
        <w:rPr>
          <w:rFonts w:ascii="Sylfaen" w:hAnsi="Sylfaen" w:cs="Sylfaen"/>
          <w:sz w:val="24"/>
          <w:szCs w:val="24"/>
          <w:lang w:val="ka-GE"/>
        </w:rPr>
        <w:t>კვლევები</w:t>
      </w:r>
      <w:r w:rsidRPr="00BE4F57">
        <w:rPr>
          <w:sz w:val="24"/>
          <w:szCs w:val="24"/>
          <w:lang w:val="ka-GE"/>
        </w:rPr>
        <w:t xml:space="preserve"> </w:t>
      </w:r>
      <w:r w:rsidRPr="00BE4F57">
        <w:rPr>
          <w:rFonts w:ascii="Sylfaen" w:hAnsi="Sylfaen" w:cs="Sylfaen"/>
          <w:sz w:val="24"/>
          <w:szCs w:val="24"/>
          <w:lang w:val="ka-GE"/>
        </w:rPr>
        <w:t>მიუთითებს</w:t>
      </w:r>
      <w:r w:rsidRPr="00BE4F57">
        <w:rPr>
          <w:sz w:val="24"/>
          <w:szCs w:val="24"/>
          <w:lang w:val="ka-GE"/>
        </w:rPr>
        <w:t xml:space="preserve">, </w:t>
      </w:r>
      <w:r w:rsidRPr="00BE4F57">
        <w:rPr>
          <w:rFonts w:ascii="Sylfaen" w:hAnsi="Sylfaen" w:cs="Sylfaen"/>
          <w:sz w:val="24"/>
          <w:szCs w:val="24"/>
          <w:lang w:val="ka-GE"/>
        </w:rPr>
        <w:t>რომ</w:t>
      </w:r>
      <w:r w:rsidRPr="00BE4F57">
        <w:rPr>
          <w:sz w:val="24"/>
          <w:szCs w:val="24"/>
          <w:lang w:val="ka-GE"/>
        </w:rPr>
        <w:t xml:space="preserve"> </w:t>
      </w:r>
      <w:r w:rsidRPr="00BE4F57">
        <w:rPr>
          <w:rFonts w:ascii="Sylfaen" w:hAnsi="Sylfaen" w:cs="Sylfaen"/>
          <w:sz w:val="24"/>
          <w:szCs w:val="24"/>
          <w:lang w:val="ka-GE"/>
        </w:rPr>
        <w:t>ატიპიური</w:t>
      </w:r>
      <w:r w:rsidRPr="00BE4F57">
        <w:rPr>
          <w:sz w:val="24"/>
          <w:szCs w:val="24"/>
          <w:lang w:val="ka-GE"/>
        </w:rPr>
        <w:t xml:space="preserve"> </w:t>
      </w:r>
      <w:r w:rsidRPr="00BE4F57">
        <w:rPr>
          <w:rFonts w:ascii="Sylfaen" w:hAnsi="Sylfaen" w:cs="Sylfaen"/>
          <w:sz w:val="24"/>
          <w:szCs w:val="24"/>
          <w:lang w:val="ka-GE"/>
        </w:rPr>
        <w:t>ანტიფსიქოზური საშუალებებით</w:t>
      </w:r>
      <w:r w:rsidRPr="00BE4F57">
        <w:rPr>
          <w:sz w:val="24"/>
          <w:szCs w:val="24"/>
          <w:lang w:val="ka-GE"/>
        </w:rPr>
        <w:t xml:space="preserve"> </w:t>
      </w:r>
      <w:r w:rsidRPr="00BE4F57">
        <w:rPr>
          <w:rFonts w:ascii="Sylfaen" w:hAnsi="Sylfaen" w:cs="Sylfaen"/>
          <w:sz w:val="24"/>
          <w:szCs w:val="24"/>
          <w:lang w:val="ka-GE"/>
        </w:rPr>
        <w:t>მკურნალობისას</w:t>
      </w:r>
      <w:r w:rsidRPr="00BE4F57">
        <w:rPr>
          <w:sz w:val="24"/>
          <w:szCs w:val="24"/>
          <w:lang w:val="ka-GE"/>
        </w:rPr>
        <w:t xml:space="preserve"> </w:t>
      </w:r>
      <w:r w:rsidRPr="00BE4F57">
        <w:rPr>
          <w:rFonts w:ascii="Sylfaen" w:hAnsi="Sylfaen" w:cs="Sylfaen"/>
          <w:sz w:val="24"/>
          <w:szCs w:val="24"/>
          <w:lang w:val="ka-GE"/>
        </w:rPr>
        <w:t>პაციენტებში</w:t>
      </w:r>
      <w:r w:rsidRPr="00BE4F57">
        <w:rPr>
          <w:sz w:val="24"/>
          <w:szCs w:val="24"/>
          <w:lang w:val="ka-GE"/>
        </w:rPr>
        <w:t xml:space="preserve"> </w:t>
      </w:r>
      <w:r w:rsidRPr="00BE4F57">
        <w:rPr>
          <w:rFonts w:ascii="Sylfaen" w:hAnsi="Sylfaen" w:cs="Sylfaen"/>
          <w:sz w:val="24"/>
          <w:szCs w:val="24"/>
          <w:lang w:val="ka-GE"/>
        </w:rPr>
        <w:t>იზრდება</w:t>
      </w:r>
      <w:r w:rsidRPr="00BE4F57">
        <w:rPr>
          <w:sz w:val="24"/>
          <w:szCs w:val="24"/>
          <w:lang w:val="ka-GE"/>
        </w:rPr>
        <w:t xml:space="preserve"> </w:t>
      </w:r>
      <w:r w:rsidRPr="00BE4F57">
        <w:rPr>
          <w:rFonts w:ascii="Sylfaen" w:hAnsi="Sylfaen"/>
          <w:sz w:val="24"/>
          <w:szCs w:val="24"/>
          <w:lang w:val="ka-GE"/>
        </w:rPr>
        <w:t xml:space="preserve">გადაუდებელი </w:t>
      </w:r>
      <w:r w:rsidRPr="00BE4F57">
        <w:rPr>
          <w:rFonts w:ascii="Sylfaen" w:hAnsi="Sylfaen" w:cs="Sylfaen"/>
          <w:sz w:val="24"/>
          <w:szCs w:val="24"/>
          <w:lang w:val="ka-GE"/>
        </w:rPr>
        <w:t>მკურნალობის</w:t>
      </w:r>
      <w:r w:rsidRPr="00BE4F57">
        <w:rPr>
          <w:sz w:val="24"/>
          <w:szCs w:val="24"/>
          <w:lang w:val="ka-GE"/>
        </w:rPr>
        <w:t xml:space="preserve"> </w:t>
      </w:r>
      <w:r w:rsidRPr="00BE4F57">
        <w:rPr>
          <w:rFonts w:ascii="Sylfaen" w:hAnsi="Sylfaen" w:cs="Sylfaen"/>
          <w:sz w:val="24"/>
          <w:szCs w:val="24"/>
          <w:lang w:val="ka-GE"/>
        </w:rPr>
        <w:t>დროს</w:t>
      </w:r>
      <w:r w:rsidRPr="00BE4F57">
        <w:rPr>
          <w:sz w:val="24"/>
          <w:szCs w:val="24"/>
          <w:lang w:val="ka-GE"/>
        </w:rPr>
        <w:t xml:space="preserve"> </w:t>
      </w:r>
      <w:r w:rsidRPr="00BE4F57">
        <w:rPr>
          <w:rFonts w:ascii="Sylfaen" w:hAnsi="Sylfaen" w:cs="Sylfaen"/>
          <w:sz w:val="24"/>
          <w:szCs w:val="24"/>
          <w:lang w:val="ka-GE"/>
        </w:rPr>
        <w:t>განვითარებული</w:t>
      </w:r>
      <w:r w:rsidRPr="00BE4F57">
        <w:rPr>
          <w:sz w:val="24"/>
          <w:szCs w:val="24"/>
          <w:lang w:val="ka-GE"/>
        </w:rPr>
        <w:t xml:space="preserve"> </w:t>
      </w:r>
      <w:r w:rsidRPr="00BE4F57">
        <w:rPr>
          <w:rFonts w:ascii="Sylfaen" w:hAnsi="Sylfaen" w:cs="Sylfaen"/>
          <w:sz w:val="24"/>
          <w:szCs w:val="24"/>
          <w:lang w:val="ka-GE"/>
        </w:rPr>
        <w:t>ჰიპერგლიკემიასთან</w:t>
      </w:r>
      <w:r w:rsidRPr="00BE4F57">
        <w:rPr>
          <w:sz w:val="24"/>
          <w:szCs w:val="24"/>
          <w:lang w:val="ka-GE"/>
        </w:rPr>
        <w:t xml:space="preserve"> </w:t>
      </w:r>
      <w:r w:rsidRPr="00BE4F57">
        <w:rPr>
          <w:rFonts w:ascii="Sylfaen" w:hAnsi="Sylfaen" w:cs="Sylfaen"/>
          <w:sz w:val="24"/>
          <w:szCs w:val="24"/>
          <w:lang w:val="ka-GE"/>
        </w:rPr>
        <w:t>დაკავშირებული</w:t>
      </w:r>
      <w:r w:rsidRPr="00BE4F57">
        <w:rPr>
          <w:sz w:val="24"/>
          <w:szCs w:val="24"/>
          <w:lang w:val="ka-GE"/>
        </w:rPr>
        <w:t xml:space="preserve"> </w:t>
      </w:r>
      <w:r w:rsidRPr="00BE4F57">
        <w:rPr>
          <w:rFonts w:ascii="Sylfaen" w:hAnsi="Sylfaen" w:cs="Sylfaen"/>
          <w:sz w:val="24"/>
          <w:szCs w:val="24"/>
          <w:lang w:val="ka-GE"/>
        </w:rPr>
        <w:t>არასასურველი</w:t>
      </w:r>
      <w:r w:rsidRPr="00BE4F57">
        <w:rPr>
          <w:sz w:val="24"/>
          <w:szCs w:val="24"/>
          <w:lang w:val="ka-GE"/>
        </w:rPr>
        <w:t xml:space="preserve"> </w:t>
      </w:r>
      <w:r w:rsidRPr="00BE4F57">
        <w:rPr>
          <w:rFonts w:ascii="Sylfaen" w:hAnsi="Sylfaen" w:cs="Sylfaen"/>
          <w:sz w:val="24"/>
          <w:szCs w:val="24"/>
          <w:lang w:val="ka-GE"/>
        </w:rPr>
        <w:t>რეაქციების</w:t>
      </w:r>
      <w:r w:rsidRPr="00BE4F57">
        <w:rPr>
          <w:sz w:val="24"/>
          <w:szCs w:val="24"/>
          <w:lang w:val="ka-GE"/>
        </w:rPr>
        <w:t xml:space="preserve"> </w:t>
      </w:r>
      <w:r w:rsidRPr="00BE4F57">
        <w:rPr>
          <w:rFonts w:ascii="Sylfaen" w:hAnsi="Sylfaen" w:cs="Sylfaen"/>
          <w:sz w:val="24"/>
          <w:szCs w:val="24"/>
          <w:lang w:val="ka-GE"/>
        </w:rPr>
        <w:t>რისკი</w:t>
      </w:r>
      <w:r w:rsidRPr="00BE4F57">
        <w:rPr>
          <w:sz w:val="24"/>
          <w:szCs w:val="24"/>
          <w:lang w:val="ka-GE"/>
        </w:rPr>
        <w:t>.</w:t>
      </w:r>
      <w:r w:rsidRPr="00BE4F57">
        <w:rPr>
          <w:rFonts w:ascii="Sylfaen" w:hAnsi="Sylfaen"/>
          <w:sz w:val="24"/>
          <w:szCs w:val="24"/>
          <w:lang w:val="ka-GE"/>
        </w:rPr>
        <w:t xml:space="preserve"> </w:t>
      </w:r>
      <w:r w:rsidRPr="00BE4F57">
        <w:rPr>
          <w:rFonts w:ascii="Sylfaen" w:hAnsi="Sylfaen" w:cs="Sylfaen"/>
          <w:sz w:val="24"/>
          <w:szCs w:val="24"/>
          <w:lang w:val="ka-GE"/>
        </w:rPr>
        <w:t>მიუხედავად</w:t>
      </w:r>
      <w:r w:rsidRPr="00BE4F57">
        <w:rPr>
          <w:sz w:val="24"/>
          <w:szCs w:val="24"/>
          <w:lang w:val="ka-GE"/>
        </w:rPr>
        <w:t xml:space="preserve"> </w:t>
      </w:r>
      <w:r w:rsidRPr="00BE4F57">
        <w:rPr>
          <w:rFonts w:ascii="Sylfaen" w:hAnsi="Sylfaen" w:cs="Sylfaen"/>
          <w:sz w:val="24"/>
          <w:szCs w:val="24"/>
          <w:lang w:val="ka-GE"/>
        </w:rPr>
        <w:t>იმისა</w:t>
      </w:r>
      <w:r w:rsidRPr="00BE4F57">
        <w:rPr>
          <w:sz w:val="24"/>
          <w:szCs w:val="24"/>
          <w:lang w:val="ka-GE"/>
        </w:rPr>
        <w:t xml:space="preserve">, </w:t>
      </w:r>
      <w:r w:rsidRPr="00BE4F57">
        <w:rPr>
          <w:rFonts w:ascii="Sylfaen" w:hAnsi="Sylfaen" w:cs="Sylfaen"/>
          <w:sz w:val="24"/>
          <w:szCs w:val="24"/>
          <w:lang w:val="ka-GE"/>
        </w:rPr>
        <w:t>რომ</w:t>
      </w:r>
      <w:r w:rsidRPr="00BE4F57">
        <w:rPr>
          <w:sz w:val="24"/>
          <w:szCs w:val="24"/>
          <w:lang w:val="ka-GE"/>
        </w:rPr>
        <w:t xml:space="preserve"> </w:t>
      </w:r>
      <w:r w:rsidRPr="00BE4F57">
        <w:rPr>
          <w:rFonts w:ascii="Sylfaen" w:hAnsi="Sylfaen" w:cs="Sylfaen"/>
          <w:sz w:val="24"/>
          <w:szCs w:val="24"/>
          <w:lang w:val="ka-GE"/>
        </w:rPr>
        <w:t>ფარდობითი</w:t>
      </w:r>
      <w:r w:rsidRPr="00BE4F57">
        <w:rPr>
          <w:sz w:val="24"/>
          <w:szCs w:val="24"/>
          <w:lang w:val="ka-GE"/>
        </w:rPr>
        <w:t xml:space="preserve"> </w:t>
      </w:r>
      <w:r w:rsidRPr="00BE4F57">
        <w:rPr>
          <w:rFonts w:ascii="Sylfaen" w:hAnsi="Sylfaen" w:cs="Sylfaen"/>
          <w:sz w:val="24"/>
          <w:szCs w:val="24"/>
          <w:lang w:val="ka-GE"/>
        </w:rPr>
        <w:t>რისკის</w:t>
      </w:r>
      <w:r w:rsidRPr="00BE4F57">
        <w:rPr>
          <w:sz w:val="24"/>
          <w:szCs w:val="24"/>
          <w:lang w:val="ka-GE"/>
        </w:rPr>
        <w:t xml:space="preserve"> </w:t>
      </w:r>
      <w:r w:rsidRPr="00BE4F57">
        <w:rPr>
          <w:rFonts w:ascii="Sylfaen" w:hAnsi="Sylfaen" w:cs="Sylfaen"/>
          <w:sz w:val="24"/>
          <w:szCs w:val="24"/>
          <w:lang w:val="ka-GE"/>
        </w:rPr>
        <w:t>შეფასებები</w:t>
      </w:r>
      <w:r w:rsidRPr="00BE4F57">
        <w:rPr>
          <w:sz w:val="24"/>
          <w:szCs w:val="24"/>
          <w:lang w:val="ka-GE"/>
        </w:rPr>
        <w:t xml:space="preserve"> </w:t>
      </w:r>
      <w:r w:rsidRPr="00BE4F57">
        <w:rPr>
          <w:rFonts w:ascii="Sylfaen" w:hAnsi="Sylfaen" w:cs="Sylfaen"/>
          <w:sz w:val="24"/>
          <w:szCs w:val="24"/>
          <w:lang w:val="ka-GE"/>
        </w:rPr>
        <w:t>არაერთგვაროვანია</w:t>
      </w:r>
      <w:r w:rsidRPr="00BE4F57">
        <w:rPr>
          <w:sz w:val="24"/>
          <w:szCs w:val="24"/>
          <w:lang w:val="ka-GE"/>
        </w:rPr>
        <w:t xml:space="preserve">, </w:t>
      </w:r>
      <w:r w:rsidRPr="00BE4F57">
        <w:rPr>
          <w:rFonts w:ascii="Sylfaen" w:hAnsi="Sylfaen" w:cs="Sylfaen"/>
          <w:sz w:val="24"/>
          <w:szCs w:val="24"/>
          <w:lang w:val="ka-GE"/>
        </w:rPr>
        <w:t>ატიპიურ</w:t>
      </w:r>
      <w:r w:rsidRPr="00BE4F57">
        <w:rPr>
          <w:sz w:val="24"/>
          <w:szCs w:val="24"/>
          <w:lang w:val="ka-GE"/>
        </w:rPr>
        <w:t xml:space="preserve"> </w:t>
      </w:r>
      <w:r w:rsidRPr="00BE4F57">
        <w:rPr>
          <w:rFonts w:ascii="Sylfaen" w:hAnsi="Sylfaen" w:cs="Sylfaen"/>
          <w:sz w:val="24"/>
          <w:szCs w:val="24"/>
          <w:lang w:val="ka-GE"/>
        </w:rPr>
        <w:t>ანტიფსიქოზურ საშუალებებსა</w:t>
      </w:r>
      <w:r w:rsidRPr="00BE4F57">
        <w:rPr>
          <w:sz w:val="24"/>
          <w:szCs w:val="24"/>
          <w:lang w:val="ka-GE"/>
        </w:rPr>
        <w:t xml:space="preserve"> </w:t>
      </w:r>
      <w:r w:rsidRPr="00BE4F57">
        <w:rPr>
          <w:rFonts w:ascii="Sylfaen" w:hAnsi="Sylfaen" w:cs="Sylfaen"/>
          <w:sz w:val="24"/>
          <w:szCs w:val="24"/>
          <w:lang w:val="ka-GE"/>
        </w:rPr>
        <w:t>და</w:t>
      </w:r>
      <w:r w:rsidRPr="00BE4F57">
        <w:rPr>
          <w:sz w:val="24"/>
          <w:szCs w:val="24"/>
          <w:lang w:val="ka-GE"/>
        </w:rPr>
        <w:t xml:space="preserve"> </w:t>
      </w:r>
      <w:r w:rsidRPr="00BE4F57">
        <w:rPr>
          <w:rFonts w:ascii="Sylfaen" w:hAnsi="Sylfaen" w:cs="Sylfaen"/>
          <w:sz w:val="24"/>
          <w:szCs w:val="24"/>
          <w:lang w:val="ka-GE"/>
        </w:rPr>
        <w:t>გლუკოზის</w:t>
      </w:r>
      <w:r w:rsidRPr="00BE4F57">
        <w:rPr>
          <w:sz w:val="24"/>
          <w:szCs w:val="24"/>
          <w:lang w:val="ka-GE"/>
        </w:rPr>
        <w:t xml:space="preserve"> </w:t>
      </w:r>
      <w:r w:rsidRPr="00BE4F57">
        <w:rPr>
          <w:rFonts w:ascii="Sylfaen" w:hAnsi="Sylfaen" w:cs="Sylfaen"/>
          <w:sz w:val="24"/>
          <w:szCs w:val="24"/>
          <w:lang w:val="ka-GE"/>
        </w:rPr>
        <w:t>დონის</w:t>
      </w:r>
      <w:r w:rsidRPr="00BE4F57">
        <w:rPr>
          <w:sz w:val="24"/>
          <w:szCs w:val="24"/>
          <w:lang w:val="ka-GE"/>
        </w:rPr>
        <w:t xml:space="preserve"> </w:t>
      </w:r>
      <w:r w:rsidRPr="00BE4F57">
        <w:rPr>
          <w:rFonts w:ascii="Sylfaen" w:hAnsi="Sylfaen" w:cs="Sylfaen"/>
          <w:sz w:val="24"/>
          <w:szCs w:val="24"/>
          <w:lang w:val="ka-GE"/>
        </w:rPr>
        <w:t>მატებას</w:t>
      </w:r>
      <w:r w:rsidRPr="00BE4F57">
        <w:rPr>
          <w:sz w:val="24"/>
          <w:szCs w:val="24"/>
          <w:lang w:val="ka-GE"/>
        </w:rPr>
        <w:t xml:space="preserve"> </w:t>
      </w:r>
      <w:r w:rsidRPr="00BE4F57">
        <w:rPr>
          <w:rFonts w:ascii="Sylfaen" w:hAnsi="Sylfaen" w:cs="Sylfaen"/>
          <w:sz w:val="24"/>
          <w:szCs w:val="24"/>
          <w:lang w:val="ka-GE"/>
        </w:rPr>
        <w:t>შორის</w:t>
      </w:r>
      <w:r w:rsidRPr="00BE4F57">
        <w:rPr>
          <w:sz w:val="24"/>
          <w:szCs w:val="24"/>
          <w:lang w:val="ka-GE"/>
        </w:rPr>
        <w:t xml:space="preserve"> </w:t>
      </w:r>
      <w:r w:rsidRPr="00BE4F57">
        <w:rPr>
          <w:rFonts w:ascii="Sylfaen" w:hAnsi="Sylfaen" w:cs="Sylfaen"/>
          <w:sz w:val="24"/>
          <w:szCs w:val="24"/>
          <w:lang w:val="ka-GE"/>
        </w:rPr>
        <w:t>კავშირი</w:t>
      </w:r>
      <w:r w:rsidRPr="00BE4F57">
        <w:rPr>
          <w:sz w:val="24"/>
          <w:szCs w:val="24"/>
          <w:lang w:val="ka-GE"/>
        </w:rPr>
        <w:t xml:space="preserve">, </w:t>
      </w:r>
      <w:r w:rsidRPr="00BE4F57">
        <w:rPr>
          <w:rFonts w:ascii="Sylfaen" w:hAnsi="Sylfaen" w:cs="Sylfaen"/>
          <w:sz w:val="24"/>
          <w:szCs w:val="24"/>
          <w:lang w:val="ka-GE"/>
        </w:rPr>
        <w:t>როგორც</w:t>
      </w:r>
      <w:r w:rsidRPr="00BE4F57">
        <w:rPr>
          <w:sz w:val="24"/>
          <w:szCs w:val="24"/>
          <w:lang w:val="ka-GE"/>
        </w:rPr>
        <w:t xml:space="preserve"> </w:t>
      </w:r>
      <w:r w:rsidRPr="00BE4F57">
        <w:rPr>
          <w:rFonts w:ascii="Sylfaen" w:hAnsi="Sylfaen" w:cs="Sylfaen"/>
          <w:sz w:val="24"/>
          <w:szCs w:val="24"/>
          <w:lang w:val="ka-GE"/>
        </w:rPr>
        <w:t>ჩანს</w:t>
      </w:r>
      <w:r w:rsidRPr="00BE4F57">
        <w:rPr>
          <w:sz w:val="24"/>
          <w:szCs w:val="24"/>
          <w:lang w:val="ka-GE"/>
        </w:rPr>
        <w:t xml:space="preserve">, </w:t>
      </w:r>
      <w:r w:rsidRPr="00BE4F57">
        <w:rPr>
          <w:rFonts w:ascii="Sylfaen" w:hAnsi="Sylfaen" w:cs="Sylfaen"/>
          <w:sz w:val="24"/>
          <w:szCs w:val="24"/>
          <w:lang w:val="ka-GE"/>
        </w:rPr>
        <w:t>განლაგებულია</w:t>
      </w:r>
      <w:r w:rsidRPr="00BE4F57">
        <w:rPr>
          <w:sz w:val="24"/>
          <w:szCs w:val="24"/>
          <w:lang w:val="ka-GE"/>
        </w:rPr>
        <w:t xml:space="preserve"> </w:t>
      </w:r>
      <w:r w:rsidRPr="00BE4F57">
        <w:rPr>
          <w:rFonts w:ascii="Sylfaen" w:hAnsi="Sylfaen" w:cs="Sylfaen"/>
          <w:sz w:val="24"/>
          <w:szCs w:val="24"/>
          <w:lang w:val="ka-GE"/>
        </w:rPr>
        <w:t>უწყვეტ</w:t>
      </w:r>
      <w:r w:rsidRPr="00BE4F57">
        <w:rPr>
          <w:sz w:val="24"/>
          <w:szCs w:val="24"/>
          <w:lang w:val="ka-GE"/>
        </w:rPr>
        <w:t xml:space="preserve"> </w:t>
      </w:r>
      <w:r w:rsidRPr="00BE4F57">
        <w:rPr>
          <w:rFonts w:ascii="Sylfaen" w:hAnsi="Sylfaen" w:cs="Sylfaen"/>
          <w:sz w:val="24"/>
          <w:szCs w:val="24"/>
          <w:lang w:val="ka-GE"/>
        </w:rPr>
        <w:t>სპექტრში</w:t>
      </w:r>
      <w:r w:rsidRPr="00BE4F57">
        <w:rPr>
          <w:sz w:val="24"/>
          <w:szCs w:val="24"/>
          <w:lang w:val="ka-GE"/>
        </w:rPr>
        <w:t xml:space="preserve">, </w:t>
      </w:r>
      <w:r w:rsidRPr="00BE4F57">
        <w:rPr>
          <w:rFonts w:ascii="Sylfaen" w:hAnsi="Sylfaen" w:cs="Sylfaen"/>
          <w:sz w:val="24"/>
          <w:szCs w:val="24"/>
          <w:lang w:val="ka-GE"/>
        </w:rPr>
        <w:t>ხოლო</w:t>
      </w:r>
      <w:r w:rsidRPr="00BE4F57">
        <w:rPr>
          <w:sz w:val="24"/>
          <w:szCs w:val="24"/>
          <w:lang w:val="ka-GE"/>
        </w:rPr>
        <w:t xml:space="preserve"> </w:t>
      </w:r>
      <w:r w:rsidRPr="00BE4F57">
        <w:rPr>
          <w:rFonts w:ascii="Sylfaen" w:hAnsi="Sylfaen" w:cs="Sylfaen"/>
          <w:sz w:val="24"/>
          <w:szCs w:val="24"/>
          <w:lang w:val="ka-GE"/>
        </w:rPr>
        <w:t>ოლანზაპინს</w:t>
      </w:r>
      <w:r w:rsidRPr="00BE4F57">
        <w:rPr>
          <w:sz w:val="24"/>
          <w:szCs w:val="24"/>
          <w:lang w:val="ka-GE"/>
        </w:rPr>
        <w:t xml:space="preserve">, </w:t>
      </w:r>
      <w:r w:rsidRPr="00BE4F57">
        <w:rPr>
          <w:rFonts w:ascii="Sylfaen" w:hAnsi="Sylfaen" w:cs="Sylfaen"/>
          <w:sz w:val="24"/>
          <w:szCs w:val="24"/>
          <w:lang w:val="ka-GE"/>
        </w:rPr>
        <w:t>სავარაუდოდ</w:t>
      </w:r>
      <w:r w:rsidRPr="00BE4F57">
        <w:rPr>
          <w:sz w:val="24"/>
          <w:szCs w:val="24"/>
          <w:lang w:val="ka-GE"/>
        </w:rPr>
        <w:t xml:space="preserve">, </w:t>
      </w:r>
      <w:r w:rsidRPr="00BE4F57">
        <w:rPr>
          <w:rFonts w:ascii="Sylfaen" w:hAnsi="Sylfaen" w:cs="Sylfaen"/>
          <w:sz w:val="24"/>
          <w:szCs w:val="24"/>
          <w:lang w:val="ka-GE"/>
        </w:rPr>
        <w:t>უფრო</w:t>
      </w:r>
      <w:r w:rsidRPr="00BE4F57">
        <w:rPr>
          <w:sz w:val="24"/>
          <w:szCs w:val="24"/>
          <w:lang w:val="ka-GE"/>
        </w:rPr>
        <w:t xml:space="preserve"> </w:t>
      </w:r>
      <w:r w:rsidRPr="00BE4F57">
        <w:rPr>
          <w:rFonts w:ascii="Sylfaen" w:hAnsi="Sylfaen" w:cs="Sylfaen"/>
          <w:sz w:val="24"/>
          <w:szCs w:val="24"/>
          <w:lang w:val="ka-GE"/>
        </w:rPr>
        <w:t>ძლიერი</w:t>
      </w:r>
      <w:r w:rsidRPr="00BE4F57">
        <w:rPr>
          <w:sz w:val="24"/>
          <w:szCs w:val="24"/>
          <w:lang w:val="ka-GE"/>
        </w:rPr>
        <w:t xml:space="preserve"> </w:t>
      </w:r>
      <w:r w:rsidRPr="00BE4F57">
        <w:rPr>
          <w:rFonts w:ascii="Sylfaen" w:hAnsi="Sylfaen" w:cs="Sylfaen"/>
          <w:sz w:val="24"/>
          <w:szCs w:val="24"/>
          <w:lang w:val="ka-GE"/>
        </w:rPr>
        <w:t>კავშირი</w:t>
      </w:r>
      <w:r w:rsidRPr="00BE4F57">
        <w:rPr>
          <w:sz w:val="24"/>
          <w:szCs w:val="24"/>
          <w:lang w:val="ka-GE"/>
        </w:rPr>
        <w:t xml:space="preserve"> </w:t>
      </w:r>
      <w:r w:rsidRPr="00BE4F57">
        <w:rPr>
          <w:rFonts w:ascii="Sylfaen" w:hAnsi="Sylfaen" w:cs="Sylfaen"/>
          <w:sz w:val="24"/>
          <w:szCs w:val="24"/>
          <w:lang w:val="ka-GE"/>
        </w:rPr>
        <w:t>აქვს</w:t>
      </w:r>
      <w:r w:rsidRPr="00BE4F57">
        <w:rPr>
          <w:sz w:val="24"/>
          <w:szCs w:val="24"/>
          <w:lang w:val="ka-GE"/>
        </w:rPr>
        <w:t xml:space="preserve"> </w:t>
      </w:r>
      <w:r w:rsidRPr="00BE4F57">
        <w:rPr>
          <w:rFonts w:ascii="Sylfaen" w:hAnsi="Sylfaen" w:cs="Sylfaen"/>
          <w:sz w:val="24"/>
          <w:szCs w:val="24"/>
          <w:lang w:val="ka-GE"/>
        </w:rPr>
        <w:t>გლუკოზის</w:t>
      </w:r>
      <w:r w:rsidRPr="00BE4F57">
        <w:rPr>
          <w:sz w:val="24"/>
          <w:szCs w:val="24"/>
          <w:lang w:val="ka-GE"/>
        </w:rPr>
        <w:t xml:space="preserve"> </w:t>
      </w:r>
      <w:r w:rsidRPr="00BE4F57">
        <w:rPr>
          <w:rFonts w:ascii="Sylfaen" w:hAnsi="Sylfaen" w:cs="Sylfaen"/>
          <w:sz w:val="24"/>
          <w:szCs w:val="24"/>
          <w:lang w:val="ka-GE"/>
        </w:rPr>
        <w:t>დონის</w:t>
      </w:r>
      <w:r w:rsidRPr="00BE4F57">
        <w:rPr>
          <w:sz w:val="24"/>
          <w:szCs w:val="24"/>
          <w:lang w:val="ka-GE"/>
        </w:rPr>
        <w:t xml:space="preserve"> </w:t>
      </w:r>
      <w:r w:rsidRPr="00BE4F57">
        <w:rPr>
          <w:rFonts w:ascii="Sylfaen" w:hAnsi="Sylfaen" w:cs="Sylfaen"/>
          <w:sz w:val="24"/>
          <w:szCs w:val="24"/>
          <w:lang w:val="ka-GE"/>
        </w:rPr>
        <w:t>მატებასთან</w:t>
      </w:r>
      <w:r w:rsidRPr="00BE4F57">
        <w:rPr>
          <w:sz w:val="24"/>
          <w:szCs w:val="24"/>
          <w:lang w:val="ka-GE"/>
        </w:rPr>
        <w:t xml:space="preserve">, </w:t>
      </w:r>
      <w:r w:rsidRPr="00BE4F57">
        <w:rPr>
          <w:rFonts w:ascii="Sylfaen" w:hAnsi="Sylfaen" w:cs="Sylfaen"/>
          <w:sz w:val="24"/>
          <w:szCs w:val="24"/>
          <w:lang w:val="ka-GE"/>
        </w:rPr>
        <w:t>ვიდრე</w:t>
      </w:r>
      <w:r w:rsidRPr="00BE4F57">
        <w:rPr>
          <w:sz w:val="24"/>
          <w:szCs w:val="24"/>
          <w:lang w:val="ka-GE"/>
        </w:rPr>
        <w:t xml:space="preserve"> </w:t>
      </w:r>
      <w:r w:rsidRPr="00BE4F57">
        <w:rPr>
          <w:rFonts w:ascii="Sylfaen" w:hAnsi="Sylfaen" w:cs="Sylfaen"/>
          <w:sz w:val="24"/>
          <w:szCs w:val="24"/>
          <w:lang w:val="ka-GE"/>
        </w:rPr>
        <w:t>ზოგიერთ</w:t>
      </w:r>
      <w:r w:rsidRPr="00BE4F57">
        <w:rPr>
          <w:sz w:val="24"/>
          <w:szCs w:val="24"/>
          <w:lang w:val="ka-GE"/>
        </w:rPr>
        <w:t xml:space="preserve"> </w:t>
      </w:r>
      <w:r w:rsidRPr="00BE4F57">
        <w:rPr>
          <w:rFonts w:ascii="Sylfaen" w:hAnsi="Sylfaen" w:cs="Sylfaen"/>
          <w:sz w:val="24"/>
          <w:szCs w:val="24"/>
          <w:lang w:val="ka-GE"/>
        </w:rPr>
        <w:t>სხვა</w:t>
      </w:r>
      <w:r w:rsidRPr="00BE4F57">
        <w:rPr>
          <w:sz w:val="24"/>
          <w:szCs w:val="24"/>
          <w:lang w:val="ka-GE"/>
        </w:rPr>
        <w:t xml:space="preserve"> </w:t>
      </w:r>
      <w:r w:rsidRPr="00BE4F57">
        <w:rPr>
          <w:rFonts w:ascii="Sylfaen" w:hAnsi="Sylfaen" w:cs="Sylfaen"/>
          <w:sz w:val="24"/>
          <w:szCs w:val="24"/>
          <w:lang w:val="ka-GE"/>
        </w:rPr>
        <w:t>ატიპიურ</w:t>
      </w:r>
      <w:r w:rsidRPr="00BE4F57">
        <w:rPr>
          <w:sz w:val="24"/>
          <w:szCs w:val="24"/>
          <w:lang w:val="ka-GE"/>
        </w:rPr>
        <w:t xml:space="preserve"> </w:t>
      </w:r>
      <w:r w:rsidRPr="00BE4F57">
        <w:rPr>
          <w:rFonts w:ascii="Sylfaen" w:hAnsi="Sylfaen" w:cs="Sylfaen"/>
          <w:sz w:val="24"/>
          <w:szCs w:val="24"/>
          <w:lang w:val="ka-GE"/>
        </w:rPr>
        <w:t>ანტიფსიქოზურ საშუალებას</w:t>
      </w:r>
      <w:r w:rsidRPr="00BE4F57">
        <w:rPr>
          <w:sz w:val="24"/>
          <w:szCs w:val="24"/>
          <w:lang w:val="ka-GE"/>
        </w:rPr>
        <w:t>.</w:t>
      </w:r>
    </w:p>
    <w:p w14:paraId="0FBF2E8A" w14:textId="77777777" w:rsidR="008B1423" w:rsidRPr="00BE4F57" w:rsidRDefault="008B1423" w:rsidP="00A14CA6">
      <w:pPr>
        <w:pStyle w:val="NormalWeb"/>
        <w:spacing w:before="0" w:beforeAutospacing="0" w:after="0" w:afterAutospacing="0"/>
        <w:rPr>
          <w:rFonts w:ascii="Sylfaen" w:hAnsi="Sylfaen" w:cs="Sylfaen"/>
          <w:lang w:val="ka-GE"/>
        </w:rPr>
      </w:pPr>
    </w:p>
    <w:p w14:paraId="34691609" w14:textId="77777777" w:rsidR="008B1423" w:rsidRPr="00BE4F57" w:rsidRDefault="008B1423" w:rsidP="00A14CA6">
      <w:pPr>
        <w:pStyle w:val="NormalWeb"/>
        <w:spacing w:before="0" w:beforeAutospacing="0" w:after="0" w:afterAutospacing="0"/>
        <w:jc w:val="both"/>
        <w:rPr>
          <w:rFonts w:ascii="Sylfaen" w:hAnsi="Sylfaen"/>
          <w:lang w:val="ka-GE"/>
        </w:rPr>
      </w:pPr>
      <w:r w:rsidRPr="00BE4F57">
        <w:rPr>
          <w:rFonts w:ascii="Sylfaen" w:hAnsi="Sylfaen" w:cs="Sylfaen"/>
          <w:lang w:val="ka-GE"/>
        </w:rPr>
        <w:t>კლინიკური</w:t>
      </w:r>
      <w:r w:rsidRPr="00BE4F57">
        <w:rPr>
          <w:rFonts w:ascii="Sylfaen" w:hAnsi="Sylfaen"/>
          <w:lang w:val="ka-GE"/>
        </w:rPr>
        <w:t xml:space="preserve"> </w:t>
      </w:r>
      <w:r w:rsidRPr="00BE4F57">
        <w:rPr>
          <w:rFonts w:ascii="Sylfaen" w:hAnsi="Sylfaen" w:cs="Sylfaen"/>
          <w:lang w:val="ka-GE"/>
        </w:rPr>
        <w:t>ანტიფსიქოზური</w:t>
      </w:r>
      <w:r w:rsidRPr="00BE4F57">
        <w:rPr>
          <w:rFonts w:ascii="Sylfaen" w:hAnsi="Sylfaen"/>
          <w:lang w:val="ka-GE"/>
        </w:rPr>
        <w:t xml:space="preserve"> </w:t>
      </w:r>
      <w:r w:rsidRPr="00BE4F57">
        <w:rPr>
          <w:rFonts w:ascii="Sylfaen" w:hAnsi="Sylfaen" w:cs="Sylfaen"/>
          <w:lang w:val="ka-GE"/>
        </w:rPr>
        <w:t>ინტერვენციის</w:t>
      </w:r>
      <w:r w:rsidRPr="00BE4F57">
        <w:rPr>
          <w:rFonts w:ascii="Sylfaen" w:hAnsi="Sylfaen"/>
          <w:lang w:val="ka-GE"/>
        </w:rPr>
        <w:t xml:space="preserve"> </w:t>
      </w:r>
      <w:r w:rsidRPr="00BE4F57">
        <w:rPr>
          <w:rFonts w:ascii="Sylfaen" w:hAnsi="Sylfaen" w:cs="Sylfaen"/>
          <w:lang w:val="ka-GE"/>
        </w:rPr>
        <w:t>ეფექტიანობის</w:t>
      </w:r>
      <w:r w:rsidRPr="00BE4F57">
        <w:rPr>
          <w:rFonts w:ascii="Sylfaen" w:hAnsi="Sylfaen"/>
          <w:lang w:val="ka-GE"/>
        </w:rPr>
        <w:t xml:space="preserve"> </w:t>
      </w:r>
      <w:r w:rsidRPr="00BE4F57">
        <w:rPr>
          <w:rFonts w:ascii="Sylfaen" w:hAnsi="Sylfaen" w:cs="Sylfaen"/>
          <w:lang w:val="ka-GE"/>
        </w:rPr>
        <w:t>კვლევის</w:t>
      </w:r>
      <w:r w:rsidRPr="00BE4F57">
        <w:rPr>
          <w:rFonts w:ascii="Sylfaen" w:hAnsi="Sylfaen"/>
          <w:lang w:val="ka-GE"/>
        </w:rPr>
        <w:t xml:space="preserve"> (CATIE) I </w:t>
      </w:r>
      <w:r w:rsidRPr="00BE4F57">
        <w:rPr>
          <w:rFonts w:ascii="Sylfaen" w:hAnsi="Sylfaen" w:cs="Sylfaen"/>
          <w:lang w:val="ka-GE"/>
        </w:rPr>
        <w:t>ფაზაში</w:t>
      </w:r>
      <w:r w:rsidRPr="00BE4F57">
        <w:rPr>
          <w:rFonts w:ascii="Sylfaen" w:hAnsi="Sylfaen"/>
          <w:lang w:val="ka-GE"/>
        </w:rPr>
        <w:t xml:space="preserve"> (</w:t>
      </w:r>
      <w:r w:rsidRPr="00BE4F57">
        <w:rPr>
          <w:rFonts w:ascii="Sylfaen" w:hAnsi="Sylfaen" w:cs="Sylfaen"/>
          <w:lang w:val="ka-GE"/>
        </w:rPr>
        <w:t>ექსპოზიციის</w:t>
      </w:r>
      <w:r w:rsidRPr="00BE4F57">
        <w:rPr>
          <w:rFonts w:ascii="Sylfaen" w:hAnsi="Sylfaen"/>
          <w:lang w:val="ka-GE"/>
        </w:rPr>
        <w:t xml:space="preserve"> </w:t>
      </w:r>
      <w:r w:rsidRPr="00BE4F57">
        <w:rPr>
          <w:rFonts w:ascii="Sylfaen" w:hAnsi="Sylfaen" w:cs="Sylfaen"/>
          <w:lang w:val="ka-GE"/>
        </w:rPr>
        <w:t>მედიანური</w:t>
      </w:r>
      <w:r w:rsidRPr="00BE4F57">
        <w:rPr>
          <w:rFonts w:ascii="Sylfaen" w:hAnsi="Sylfaen"/>
          <w:lang w:val="ka-GE"/>
        </w:rPr>
        <w:t xml:space="preserve"> </w:t>
      </w:r>
      <w:r w:rsidRPr="00BE4F57">
        <w:rPr>
          <w:rFonts w:ascii="Sylfaen" w:hAnsi="Sylfaen" w:cs="Sylfaen"/>
          <w:lang w:val="ka-GE"/>
        </w:rPr>
        <w:t xml:space="preserve">დრო – </w:t>
      </w:r>
      <w:r w:rsidRPr="00BE4F57">
        <w:rPr>
          <w:rFonts w:ascii="Sylfaen" w:hAnsi="Sylfaen"/>
          <w:lang w:val="ka-GE"/>
        </w:rPr>
        <w:t xml:space="preserve">9.2 </w:t>
      </w:r>
      <w:r w:rsidRPr="00BE4F57">
        <w:rPr>
          <w:rFonts w:ascii="Sylfaen" w:hAnsi="Sylfaen" w:cs="Sylfaen"/>
          <w:lang w:val="ka-GE"/>
        </w:rPr>
        <w:t>თვე</w:t>
      </w:r>
      <w:r w:rsidRPr="00BE4F57">
        <w:rPr>
          <w:rFonts w:ascii="Sylfaen" w:hAnsi="Sylfaen"/>
          <w:lang w:val="ka-GE"/>
        </w:rPr>
        <w:t xml:space="preserve">) </w:t>
      </w:r>
      <w:r w:rsidRPr="00BE4F57">
        <w:rPr>
          <w:rFonts w:ascii="Sylfaen" w:hAnsi="Sylfaen" w:cs="Sylfaen"/>
          <w:lang w:val="ka-GE"/>
        </w:rPr>
        <w:t>ოლანზაპინით</w:t>
      </w:r>
      <w:r w:rsidRPr="00BE4F57">
        <w:rPr>
          <w:rFonts w:ascii="Sylfaen" w:hAnsi="Sylfaen"/>
          <w:lang w:val="ka-GE"/>
        </w:rPr>
        <w:t xml:space="preserve"> ნამკურნალებ </w:t>
      </w:r>
      <w:r w:rsidRPr="00BE4F57">
        <w:rPr>
          <w:rFonts w:ascii="Sylfaen" w:hAnsi="Sylfaen" w:cs="Sylfaen"/>
          <w:lang w:val="ka-GE"/>
        </w:rPr>
        <w:t>პაციენტებში</w:t>
      </w:r>
      <w:r w:rsidRPr="00BE4F57">
        <w:rPr>
          <w:rFonts w:ascii="Sylfaen" w:hAnsi="Sylfaen"/>
          <w:lang w:val="ka-GE"/>
        </w:rPr>
        <w:t xml:space="preserve"> </w:t>
      </w:r>
      <w:r w:rsidRPr="00BE4F57">
        <w:rPr>
          <w:rFonts w:ascii="Sylfaen" w:hAnsi="Sylfaen" w:cs="Sylfaen"/>
          <w:lang w:val="ka-GE"/>
        </w:rPr>
        <w:t>დაფიქსირდა</w:t>
      </w:r>
      <w:r w:rsidRPr="00BE4F57">
        <w:rPr>
          <w:rFonts w:ascii="Sylfaen" w:hAnsi="Sylfaen"/>
          <w:lang w:val="ka-GE"/>
        </w:rPr>
        <w:t xml:space="preserve"> </w:t>
      </w:r>
      <w:r w:rsidRPr="00BE4F57">
        <w:rPr>
          <w:rFonts w:ascii="Sylfaen" w:hAnsi="Sylfaen" w:cs="Sylfaen"/>
          <w:lang w:val="ka-GE"/>
        </w:rPr>
        <w:t>სისხლში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დონის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სისხლის</w:t>
      </w:r>
      <w:r w:rsidRPr="00BE4F57">
        <w:rPr>
          <w:rFonts w:ascii="Sylfaen" w:hAnsi="Sylfaen"/>
          <w:lang w:val="ka-GE"/>
        </w:rPr>
        <w:t xml:space="preserve"> </w:t>
      </w:r>
      <w:r w:rsidRPr="00BE4F57">
        <w:rPr>
          <w:rFonts w:ascii="Sylfaen" w:hAnsi="Sylfaen" w:cs="Sylfaen"/>
          <w:lang w:val="ka-GE"/>
        </w:rPr>
        <w:t>შრატში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როგორც</w:t>
      </w:r>
      <w:r w:rsidRPr="00BE4F57">
        <w:rPr>
          <w:rFonts w:ascii="Sylfaen" w:hAnsi="Sylfaen"/>
          <w:lang w:val="ka-GE"/>
        </w:rPr>
        <w:t xml:space="preserve"> </w:t>
      </w:r>
      <w:r w:rsidRPr="00BE4F57">
        <w:rPr>
          <w:rFonts w:ascii="Sylfaen" w:hAnsi="Sylfaen" w:cs="Sylfaen"/>
          <w:lang w:val="ka-GE"/>
        </w:rPr>
        <w:t>უზმოზე</w:t>
      </w:r>
      <w:r w:rsidRPr="00BE4F57">
        <w:rPr>
          <w:rFonts w:ascii="Sylfaen" w:hAnsi="Sylfaen"/>
          <w:lang w:val="ka-GE"/>
        </w:rPr>
        <w:t xml:space="preserve">, </w:t>
      </w:r>
      <w:r w:rsidRPr="00BE4F57">
        <w:rPr>
          <w:rFonts w:ascii="Sylfaen" w:hAnsi="Sylfaen" w:cs="Sylfaen"/>
          <w:lang w:val="ka-GE"/>
        </w:rPr>
        <w:t>ისე</w:t>
      </w:r>
      <w:r w:rsidRPr="00BE4F57">
        <w:rPr>
          <w:rFonts w:ascii="Sylfaen" w:hAnsi="Sylfaen"/>
          <w:lang w:val="ka-GE"/>
        </w:rPr>
        <w:t xml:space="preserve"> </w:t>
      </w:r>
      <w:r w:rsidRPr="00BE4F57">
        <w:rPr>
          <w:rFonts w:ascii="Sylfaen" w:hAnsi="Sylfaen" w:cs="Sylfaen"/>
          <w:lang w:val="ka-GE"/>
        </w:rPr>
        <w:t>კვების</w:t>
      </w:r>
      <w:r w:rsidRPr="00BE4F57">
        <w:rPr>
          <w:rFonts w:ascii="Sylfaen" w:hAnsi="Sylfaen"/>
          <w:lang w:val="ka-GE"/>
        </w:rPr>
        <w:t xml:space="preserve"> </w:t>
      </w:r>
      <w:r w:rsidRPr="00BE4F57">
        <w:rPr>
          <w:rFonts w:ascii="Sylfaen" w:hAnsi="Sylfaen" w:cs="Sylfaen"/>
          <w:lang w:val="ka-GE"/>
        </w:rPr>
        <w:t>შემდეგ</w:t>
      </w:r>
      <w:r w:rsidRPr="00BE4F57">
        <w:rPr>
          <w:rFonts w:ascii="Sylfaen" w:hAnsi="Sylfaen"/>
          <w:lang w:val="ka-GE"/>
        </w:rPr>
        <w:t xml:space="preserve"> </w:t>
      </w:r>
      <w:r w:rsidRPr="00BE4F57">
        <w:rPr>
          <w:rFonts w:ascii="Sylfaen" w:hAnsi="Sylfaen" w:cs="Sylfaen"/>
          <w:lang w:val="ka-GE"/>
        </w:rPr>
        <w:t>აღებულ</w:t>
      </w:r>
      <w:r w:rsidRPr="00BE4F57">
        <w:rPr>
          <w:rFonts w:ascii="Sylfaen" w:hAnsi="Sylfaen"/>
          <w:lang w:val="ka-GE"/>
        </w:rPr>
        <w:t xml:space="preserve"> </w:t>
      </w:r>
      <w:r w:rsidRPr="00BE4F57">
        <w:rPr>
          <w:rFonts w:ascii="Sylfaen" w:hAnsi="Sylfaen" w:cs="Sylfaen"/>
          <w:lang w:val="ka-GE"/>
        </w:rPr>
        <w:t>ნიმუშებში</w:t>
      </w:r>
      <w:r w:rsidRPr="00BE4F57">
        <w:rPr>
          <w:rFonts w:ascii="Sylfaen" w:hAnsi="Sylfaen"/>
          <w:lang w:val="ka-GE"/>
        </w:rPr>
        <w:t xml:space="preserve">) </w:t>
      </w:r>
      <w:r w:rsidRPr="00BE4F57">
        <w:rPr>
          <w:rFonts w:ascii="Sylfaen" w:hAnsi="Sylfaen" w:cs="Sylfaen"/>
          <w:lang w:val="ka-GE"/>
        </w:rPr>
        <w:t>საწყის</w:t>
      </w:r>
      <w:r w:rsidRPr="00BE4F57">
        <w:rPr>
          <w:rFonts w:ascii="Sylfaen" w:hAnsi="Sylfaen"/>
          <w:lang w:val="ka-GE"/>
        </w:rPr>
        <w:t xml:space="preserve"> </w:t>
      </w:r>
      <w:r w:rsidRPr="00BE4F57">
        <w:rPr>
          <w:rFonts w:ascii="Sylfaen" w:hAnsi="Sylfaen" w:cs="Sylfaen"/>
          <w:lang w:val="ka-GE"/>
        </w:rPr>
        <w:t>დონესა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ორი</w:t>
      </w:r>
      <w:r w:rsidRPr="00BE4F57">
        <w:rPr>
          <w:rFonts w:ascii="Sylfaen" w:hAnsi="Sylfaen"/>
          <w:lang w:val="ka-GE"/>
        </w:rPr>
        <w:t xml:space="preserve"> </w:t>
      </w:r>
      <w:r w:rsidRPr="00BE4F57">
        <w:rPr>
          <w:rFonts w:ascii="Sylfaen" w:hAnsi="Sylfaen" w:cs="Sylfaen"/>
          <w:lang w:val="ka-GE"/>
        </w:rPr>
        <w:t>ყველაზე</w:t>
      </w:r>
      <w:r w:rsidRPr="00BE4F57">
        <w:rPr>
          <w:rFonts w:ascii="Sylfaen" w:hAnsi="Sylfaen"/>
          <w:lang w:val="ka-GE"/>
        </w:rPr>
        <w:t xml:space="preserve"> </w:t>
      </w:r>
      <w:r w:rsidRPr="00BE4F57">
        <w:rPr>
          <w:rFonts w:ascii="Sylfaen" w:hAnsi="Sylfaen" w:cs="Sylfaen"/>
          <w:lang w:val="ka-GE"/>
        </w:rPr>
        <w:t>მაღალი</w:t>
      </w:r>
      <w:r w:rsidRPr="00BE4F57">
        <w:rPr>
          <w:rFonts w:ascii="Sylfaen" w:hAnsi="Sylfaen"/>
          <w:lang w:val="ka-GE"/>
        </w:rPr>
        <w:t xml:space="preserve"> </w:t>
      </w:r>
      <w:r w:rsidRPr="00BE4F57">
        <w:rPr>
          <w:rFonts w:ascii="Sylfaen" w:hAnsi="Sylfaen" w:cs="Sylfaen"/>
          <w:lang w:val="ka-GE"/>
        </w:rPr>
        <w:t>შრატის კონცენტრაციის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მნიშვნელობას</w:t>
      </w:r>
      <w:r w:rsidRPr="00BE4F57">
        <w:rPr>
          <w:rFonts w:ascii="Sylfaen" w:hAnsi="Sylfaen"/>
          <w:lang w:val="ka-GE"/>
        </w:rPr>
        <w:t xml:space="preserve"> </w:t>
      </w:r>
      <w:r w:rsidRPr="00BE4F57">
        <w:rPr>
          <w:rFonts w:ascii="Sylfaen" w:hAnsi="Sylfaen" w:cs="Sylfaen"/>
          <w:lang w:val="ka-GE"/>
        </w:rPr>
        <w:t>შორის</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15.0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w:t>
      </w:r>
    </w:p>
    <w:p w14:paraId="3E7F300F" w14:textId="77777777" w:rsidR="008B1423" w:rsidRPr="00BE4F57" w:rsidRDefault="008B1423" w:rsidP="00A14CA6">
      <w:pPr>
        <w:pStyle w:val="NormalWeb"/>
        <w:spacing w:before="0" w:beforeAutospacing="0" w:after="0" w:afterAutospacing="0"/>
        <w:jc w:val="both"/>
        <w:rPr>
          <w:rFonts w:ascii="Sylfaen" w:hAnsi="Sylfaen"/>
          <w:lang w:val="ka-GE"/>
        </w:rPr>
      </w:pPr>
    </w:p>
    <w:p w14:paraId="306392A8" w14:textId="77777777" w:rsidR="008B1423" w:rsidRPr="00BE4F57" w:rsidRDefault="008B1423" w:rsidP="00A14CA6">
      <w:pPr>
        <w:pStyle w:val="NormalWeb"/>
        <w:spacing w:before="0" w:beforeAutospacing="0" w:after="0" w:afterAutospacing="0"/>
        <w:jc w:val="both"/>
        <w:rPr>
          <w:rFonts w:ascii="Sylfaen" w:hAnsi="Sylfaen"/>
          <w:lang w:val="ka-GE"/>
        </w:rPr>
      </w:pPr>
      <w:r w:rsidRPr="00BE4F57">
        <w:rPr>
          <w:rFonts w:ascii="Sylfaen" w:hAnsi="Sylfaen" w:cs="Sylfaen"/>
          <w:lang w:val="ka-GE"/>
        </w:rPr>
        <w:t>ჯანმრთელი</w:t>
      </w:r>
      <w:r w:rsidRPr="00BE4F57">
        <w:rPr>
          <w:rFonts w:ascii="Sylfaen" w:hAnsi="Sylfaen"/>
          <w:lang w:val="ka-GE"/>
        </w:rPr>
        <w:t xml:space="preserve"> </w:t>
      </w:r>
      <w:r w:rsidRPr="00BE4F57">
        <w:rPr>
          <w:rFonts w:ascii="Sylfaen" w:hAnsi="Sylfaen" w:cs="Sylfaen"/>
          <w:lang w:val="ka-GE"/>
        </w:rPr>
        <w:t>მოხალისეების</w:t>
      </w:r>
      <w:r w:rsidRPr="00BE4F57">
        <w:rPr>
          <w:rFonts w:ascii="Sylfaen" w:hAnsi="Sylfaen"/>
          <w:lang w:val="ka-GE"/>
        </w:rPr>
        <w:t xml:space="preserve"> </w:t>
      </w:r>
      <w:r w:rsidRPr="00BE4F57">
        <w:rPr>
          <w:rFonts w:ascii="Sylfaen" w:hAnsi="Sylfaen" w:cs="Sylfaen"/>
          <w:lang w:val="ka-GE"/>
        </w:rPr>
        <w:t>კვლევაში</w:t>
      </w:r>
      <w:r w:rsidRPr="00BE4F57">
        <w:rPr>
          <w:rFonts w:ascii="Sylfaen" w:hAnsi="Sylfaen"/>
          <w:lang w:val="ka-GE"/>
        </w:rPr>
        <w:t xml:space="preserve">, </w:t>
      </w:r>
      <w:r w:rsidRPr="00BE4F57">
        <w:rPr>
          <w:rFonts w:ascii="Sylfaen" w:hAnsi="Sylfaen" w:cs="Sylfaen"/>
          <w:lang w:val="ka-GE"/>
        </w:rPr>
        <w:t>სუბიექტებს</w:t>
      </w:r>
      <w:r w:rsidRPr="00BE4F57">
        <w:rPr>
          <w:rFonts w:ascii="Sylfaen" w:hAnsi="Sylfaen"/>
          <w:lang w:val="ka-GE"/>
        </w:rPr>
        <w:t xml:space="preserve"> (N=22), </w:t>
      </w:r>
      <w:r w:rsidRPr="00BE4F57">
        <w:rPr>
          <w:rFonts w:ascii="Sylfaen" w:hAnsi="Sylfaen" w:cs="Sylfaen"/>
          <w:lang w:val="ka-GE"/>
        </w:rPr>
        <w:t>რომლებიც</w:t>
      </w:r>
      <w:r w:rsidRPr="00BE4F57">
        <w:rPr>
          <w:rFonts w:ascii="Sylfaen" w:hAnsi="Sylfaen"/>
          <w:lang w:val="ka-GE"/>
        </w:rPr>
        <w:t xml:space="preserve"> </w:t>
      </w:r>
      <w:r w:rsidRPr="00BE4F57">
        <w:rPr>
          <w:rFonts w:ascii="Sylfaen" w:hAnsi="Sylfaen" w:cs="Sylfaen"/>
          <w:lang w:val="ka-GE"/>
        </w:rPr>
        <w:t>ოლანზაპინს</w:t>
      </w:r>
      <w:r w:rsidRPr="00BE4F57">
        <w:rPr>
          <w:rFonts w:ascii="Sylfaen" w:hAnsi="Sylfaen"/>
          <w:lang w:val="ka-GE"/>
        </w:rPr>
        <w:t xml:space="preserve"> </w:t>
      </w:r>
      <w:r w:rsidRPr="00BE4F57">
        <w:rPr>
          <w:rFonts w:ascii="Sylfaen" w:hAnsi="Sylfaen" w:cs="Sylfaen"/>
          <w:lang w:val="ka-GE"/>
        </w:rPr>
        <w:t>იღებდნენ</w:t>
      </w:r>
      <w:r w:rsidRPr="00BE4F57">
        <w:rPr>
          <w:rFonts w:ascii="Sylfaen" w:hAnsi="Sylfaen"/>
          <w:lang w:val="ka-GE"/>
        </w:rPr>
        <w:t xml:space="preserve"> 3 </w:t>
      </w:r>
      <w:r w:rsidRPr="00BE4F57">
        <w:rPr>
          <w:rFonts w:ascii="Sylfaen" w:hAnsi="Sylfaen" w:cs="Sylfaen"/>
          <w:lang w:val="ka-GE"/>
        </w:rPr>
        <w:t>კვირის</w:t>
      </w:r>
      <w:r w:rsidRPr="00BE4F57">
        <w:rPr>
          <w:rFonts w:ascii="Sylfaen" w:hAnsi="Sylfaen"/>
          <w:lang w:val="ka-GE"/>
        </w:rPr>
        <w:t xml:space="preserve"> </w:t>
      </w:r>
      <w:r w:rsidRPr="00BE4F57">
        <w:rPr>
          <w:rFonts w:ascii="Sylfaen" w:hAnsi="Sylfaen" w:cs="Sylfaen"/>
          <w:lang w:val="ka-GE"/>
        </w:rPr>
        <w:t>განმავლობაში</w:t>
      </w:r>
      <w:r w:rsidRPr="00BE4F57">
        <w:rPr>
          <w:rFonts w:ascii="Sylfaen" w:hAnsi="Sylfaen"/>
          <w:lang w:val="ka-GE"/>
        </w:rPr>
        <w:t xml:space="preserve">, </w:t>
      </w:r>
      <w:r w:rsidRPr="00BE4F57">
        <w:rPr>
          <w:rFonts w:ascii="Sylfaen" w:hAnsi="Sylfaen" w:cs="Sylfaen"/>
          <w:lang w:val="ka-GE"/>
        </w:rPr>
        <w:t>უზმოზე</w:t>
      </w:r>
      <w:r w:rsidRPr="00BE4F57">
        <w:rPr>
          <w:rFonts w:ascii="Sylfaen" w:hAnsi="Sylfaen"/>
          <w:lang w:val="ka-GE"/>
        </w:rPr>
        <w:t xml:space="preserve"> </w:t>
      </w:r>
      <w:r w:rsidRPr="00BE4F57">
        <w:rPr>
          <w:rFonts w:ascii="Sylfaen" w:hAnsi="Sylfaen" w:cs="Sylfaen"/>
          <w:lang w:val="ka-GE"/>
        </w:rPr>
        <w:t>სისხლში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საწყის</w:t>
      </w:r>
      <w:r w:rsidRPr="00BE4F57">
        <w:rPr>
          <w:rFonts w:ascii="Sylfaen" w:hAnsi="Sylfaen"/>
          <w:lang w:val="ka-GE"/>
        </w:rPr>
        <w:t xml:space="preserve"> </w:t>
      </w:r>
      <w:r w:rsidRPr="00BE4F57">
        <w:rPr>
          <w:rFonts w:ascii="Sylfaen" w:hAnsi="Sylfaen" w:cs="Sylfaen"/>
          <w:lang w:val="ka-GE"/>
        </w:rPr>
        <w:t>მაჩვენებელთან</w:t>
      </w:r>
      <w:r w:rsidRPr="00BE4F57">
        <w:rPr>
          <w:rFonts w:ascii="Sylfaen" w:hAnsi="Sylfaen"/>
          <w:lang w:val="ka-GE"/>
        </w:rPr>
        <w:t xml:space="preserve"> </w:t>
      </w:r>
      <w:r w:rsidRPr="00BE4F57">
        <w:rPr>
          <w:rFonts w:ascii="Sylfaen" w:hAnsi="Sylfaen" w:cs="Sylfaen"/>
          <w:lang w:val="ka-GE"/>
        </w:rPr>
        <w:t>შედარებით</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2.3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w:t>
      </w:r>
      <w:r w:rsidRPr="00BE4F57">
        <w:rPr>
          <w:rFonts w:ascii="Sylfaen" w:hAnsi="Sylfaen" w:cs="Sylfaen"/>
          <w:lang w:val="ka-GE"/>
        </w:rPr>
        <w:t>ს</w:t>
      </w:r>
      <w:r w:rsidRPr="00BE4F57">
        <w:rPr>
          <w:rFonts w:ascii="Sylfaen" w:hAnsi="Sylfaen"/>
          <w:lang w:val="ka-GE"/>
        </w:rPr>
        <w:t xml:space="preserve">. </w:t>
      </w:r>
      <w:r w:rsidRPr="00BE4F57">
        <w:rPr>
          <w:rFonts w:ascii="Sylfaen" w:hAnsi="Sylfaen" w:cs="Sylfaen"/>
          <w:lang w:val="ka-GE"/>
        </w:rPr>
        <w:t>პლაცებოს</w:t>
      </w:r>
      <w:r w:rsidRPr="00BE4F57">
        <w:rPr>
          <w:rFonts w:ascii="Sylfaen" w:hAnsi="Sylfaen"/>
          <w:lang w:val="ka-GE"/>
        </w:rPr>
        <w:t xml:space="preserve"> </w:t>
      </w:r>
      <w:r w:rsidRPr="00BE4F57">
        <w:rPr>
          <w:rFonts w:ascii="Sylfaen" w:hAnsi="Sylfaen" w:cs="Sylfaen"/>
          <w:lang w:val="ka-GE"/>
        </w:rPr>
        <w:t>მიმღებ</w:t>
      </w:r>
      <w:r w:rsidRPr="00BE4F57">
        <w:rPr>
          <w:rFonts w:ascii="Sylfaen" w:hAnsi="Sylfaen"/>
          <w:lang w:val="ka-GE"/>
        </w:rPr>
        <w:t xml:space="preserve"> </w:t>
      </w:r>
      <w:r w:rsidRPr="00BE4F57">
        <w:rPr>
          <w:rFonts w:ascii="Sylfaen" w:hAnsi="Sylfaen" w:cs="Sylfaen"/>
          <w:lang w:val="ka-GE"/>
        </w:rPr>
        <w:t>სუბიექტებში</w:t>
      </w:r>
      <w:r w:rsidRPr="00BE4F57">
        <w:rPr>
          <w:rFonts w:ascii="Sylfaen" w:hAnsi="Sylfaen"/>
          <w:lang w:val="ka-GE"/>
        </w:rPr>
        <w:t xml:space="preserve"> (N=19) </w:t>
      </w:r>
      <w:r w:rsidRPr="00BE4F57">
        <w:rPr>
          <w:rFonts w:ascii="Sylfaen" w:hAnsi="Sylfaen" w:cs="Sylfaen"/>
          <w:lang w:val="ka-GE"/>
        </w:rPr>
        <w:t>უზმოზე</w:t>
      </w:r>
      <w:r w:rsidRPr="00BE4F57">
        <w:rPr>
          <w:rFonts w:ascii="Sylfaen" w:hAnsi="Sylfaen"/>
          <w:lang w:val="ka-GE"/>
        </w:rPr>
        <w:t xml:space="preserve"> </w:t>
      </w:r>
      <w:r w:rsidRPr="00BE4F57">
        <w:rPr>
          <w:rFonts w:ascii="Sylfaen" w:hAnsi="Sylfaen" w:cs="Sylfaen"/>
          <w:lang w:val="ka-GE"/>
        </w:rPr>
        <w:t>სისხლში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საწყის</w:t>
      </w:r>
      <w:r w:rsidRPr="00BE4F57">
        <w:rPr>
          <w:rFonts w:ascii="Sylfaen" w:hAnsi="Sylfaen"/>
          <w:lang w:val="ka-GE"/>
        </w:rPr>
        <w:t xml:space="preserve"> </w:t>
      </w:r>
      <w:r w:rsidRPr="00BE4F57">
        <w:rPr>
          <w:rFonts w:ascii="Sylfaen" w:hAnsi="Sylfaen" w:cs="Sylfaen"/>
          <w:lang w:val="ka-GE"/>
        </w:rPr>
        <w:t>მაჩვენებელთან</w:t>
      </w:r>
      <w:r w:rsidRPr="00BE4F57">
        <w:rPr>
          <w:rFonts w:ascii="Sylfaen" w:hAnsi="Sylfaen"/>
          <w:lang w:val="ka-GE"/>
        </w:rPr>
        <w:t xml:space="preserve"> </w:t>
      </w:r>
      <w:r w:rsidRPr="00BE4F57">
        <w:rPr>
          <w:rFonts w:ascii="Sylfaen" w:hAnsi="Sylfaen" w:cs="Sylfaen"/>
          <w:lang w:val="ka-GE"/>
        </w:rPr>
        <w:t>შედარებით</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0.34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w:t>
      </w:r>
      <w:r w:rsidRPr="00BE4F57">
        <w:rPr>
          <w:rFonts w:ascii="Sylfaen" w:hAnsi="Sylfaen" w:cs="Sylfaen"/>
          <w:lang w:val="ka-GE"/>
        </w:rPr>
        <w:t>ს</w:t>
      </w:r>
      <w:r w:rsidRPr="00BE4F57">
        <w:rPr>
          <w:rFonts w:ascii="Sylfaen" w:hAnsi="Sylfaen"/>
          <w:lang w:val="ka-GE"/>
        </w:rPr>
        <w:t>.</w:t>
      </w:r>
    </w:p>
    <w:p w14:paraId="76FDFD63" w14:textId="77777777" w:rsidR="008B1423" w:rsidRPr="00BE4F57" w:rsidRDefault="008B1423" w:rsidP="00A14CA6">
      <w:pPr>
        <w:pStyle w:val="NormalWeb"/>
        <w:spacing w:before="0" w:beforeAutospacing="0" w:after="0" w:afterAutospacing="0"/>
        <w:jc w:val="both"/>
        <w:rPr>
          <w:rFonts w:ascii="Sylfaen" w:hAnsi="Sylfaen"/>
          <w:lang w:val="ka-GE"/>
        </w:rPr>
      </w:pPr>
      <w:r w:rsidRPr="00BE4F57">
        <w:rPr>
          <w:rFonts w:ascii="Sylfaen" w:hAnsi="Sylfaen"/>
          <w:lang w:val="ka-GE"/>
        </w:rPr>
        <w:t xml:space="preserve">7 </w:t>
      </w:r>
      <w:r w:rsidRPr="00BE4F57">
        <w:rPr>
          <w:rFonts w:ascii="Sylfaen" w:hAnsi="Sylfaen" w:cs="Sylfaen"/>
          <w:lang w:val="ka-GE"/>
        </w:rPr>
        <w:t>კონტროლირებადი</w:t>
      </w:r>
      <w:r w:rsidRPr="00BE4F57">
        <w:rPr>
          <w:rFonts w:ascii="Sylfaen" w:hAnsi="Sylfaen"/>
          <w:lang w:val="ka-GE"/>
        </w:rPr>
        <w:t xml:space="preserve"> </w:t>
      </w:r>
      <w:r w:rsidRPr="00BE4F57">
        <w:rPr>
          <w:rFonts w:ascii="Sylfaen" w:hAnsi="Sylfaen" w:cs="Sylfaen"/>
          <w:lang w:val="ka-GE"/>
        </w:rPr>
        <w:t>კლინიკური</w:t>
      </w:r>
      <w:r w:rsidRPr="00BE4F57">
        <w:rPr>
          <w:rFonts w:ascii="Sylfaen" w:hAnsi="Sylfaen"/>
          <w:lang w:val="ka-GE"/>
        </w:rPr>
        <w:t xml:space="preserve"> </w:t>
      </w:r>
      <w:r w:rsidRPr="00BE4F57">
        <w:rPr>
          <w:rFonts w:ascii="Sylfaen" w:hAnsi="Sylfaen" w:cs="Sylfaen"/>
          <w:lang w:val="ka-GE"/>
        </w:rPr>
        <w:t>კვლევის</w:t>
      </w:r>
      <w:r w:rsidRPr="00BE4F57">
        <w:rPr>
          <w:rFonts w:ascii="Sylfaen" w:hAnsi="Sylfaen"/>
          <w:lang w:val="ka-GE"/>
        </w:rPr>
        <w:t xml:space="preserve"> </w:t>
      </w:r>
      <w:r w:rsidRPr="00BE4F57">
        <w:rPr>
          <w:rFonts w:ascii="Sylfaen" w:hAnsi="Sylfaen" w:cs="Sylfaen"/>
          <w:lang w:val="ka-GE"/>
        </w:rPr>
        <w:t>ანალიზში</w:t>
      </w:r>
      <w:r w:rsidRPr="00BE4F57">
        <w:rPr>
          <w:rFonts w:ascii="Sylfaen" w:hAnsi="Sylfaen"/>
          <w:lang w:val="ka-GE"/>
        </w:rPr>
        <w:t xml:space="preserve">, </w:t>
      </w:r>
      <w:r w:rsidRPr="00BE4F57">
        <w:rPr>
          <w:rFonts w:ascii="Sylfaen" w:hAnsi="Sylfaen" w:cs="Sylfaen"/>
          <w:lang w:val="ka-GE"/>
        </w:rPr>
        <w:t>მათ</w:t>
      </w:r>
      <w:r w:rsidRPr="00BE4F57">
        <w:rPr>
          <w:rFonts w:ascii="Sylfaen" w:hAnsi="Sylfaen"/>
          <w:lang w:val="ka-GE"/>
        </w:rPr>
        <w:t xml:space="preserve"> </w:t>
      </w:r>
      <w:r w:rsidRPr="00BE4F57">
        <w:rPr>
          <w:rFonts w:ascii="Sylfaen" w:hAnsi="Sylfaen" w:cs="Sylfaen"/>
          <w:lang w:val="ka-GE"/>
        </w:rPr>
        <w:t>შორის</w:t>
      </w:r>
      <w:r w:rsidRPr="00BE4F57">
        <w:rPr>
          <w:rFonts w:ascii="Sylfaen" w:hAnsi="Sylfaen"/>
          <w:lang w:val="ka-GE"/>
        </w:rPr>
        <w:t xml:space="preserve"> 2 </w:t>
      </w:r>
      <w:r w:rsidRPr="00BE4F57">
        <w:rPr>
          <w:rFonts w:ascii="Sylfaen" w:hAnsi="Sylfaen" w:cs="Sylfaen"/>
          <w:lang w:val="ka-GE"/>
        </w:rPr>
        <w:t>პლაცებო–კონტროლირებადი</w:t>
      </w:r>
      <w:r w:rsidRPr="00BE4F57">
        <w:rPr>
          <w:rFonts w:ascii="Sylfaen" w:hAnsi="Sylfaen"/>
          <w:lang w:val="ka-GE"/>
        </w:rPr>
        <w:t xml:space="preserve"> </w:t>
      </w:r>
      <w:r w:rsidRPr="00BE4F57">
        <w:rPr>
          <w:rFonts w:ascii="Sylfaen" w:hAnsi="Sylfaen" w:cs="Sylfaen"/>
          <w:lang w:val="ka-GE"/>
        </w:rPr>
        <w:t>კვლევის</w:t>
      </w:r>
      <w:r w:rsidRPr="00BE4F57">
        <w:rPr>
          <w:rFonts w:ascii="Sylfaen" w:hAnsi="Sylfaen"/>
          <w:lang w:val="ka-GE"/>
        </w:rPr>
        <w:t xml:space="preserve"> </w:t>
      </w:r>
      <w:r w:rsidRPr="00BE4F57">
        <w:rPr>
          <w:rFonts w:ascii="Sylfaen" w:hAnsi="Sylfaen" w:cs="Sylfaen"/>
          <w:lang w:val="ka-GE"/>
        </w:rPr>
        <w:t>მკურნალობის</w:t>
      </w:r>
      <w:r w:rsidRPr="00BE4F57">
        <w:rPr>
          <w:rFonts w:ascii="Sylfaen" w:hAnsi="Sylfaen"/>
          <w:lang w:val="ka-GE"/>
        </w:rPr>
        <w:t xml:space="preserve"> </w:t>
      </w:r>
      <w:r w:rsidRPr="00BE4F57">
        <w:rPr>
          <w:rFonts w:ascii="Sylfaen" w:hAnsi="Sylfaen" w:cs="Sylfaen"/>
          <w:lang w:val="ka-GE"/>
        </w:rPr>
        <w:t>ხანგრძლივობით</w:t>
      </w:r>
      <w:r w:rsidRPr="00BE4F57">
        <w:rPr>
          <w:rFonts w:ascii="Sylfaen" w:hAnsi="Sylfaen"/>
          <w:lang w:val="ka-GE"/>
        </w:rPr>
        <w:t xml:space="preserve"> 12 </w:t>
      </w:r>
      <w:r w:rsidRPr="00BE4F57">
        <w:rPr>
          <w:rFonts w:ascii="Sylfaen" w:hAnsi="Sylfaen" w:cs="Sylfaen"/>
          <w:lang w:val="ka-GE"/>
        </w:rPr>
        <w:t>კვირამდე</w:t>
      </w:r>
      <w:r w:rsidRPr="00BE4F57">
        <w:rPr>
          <w:rFonts w:ascii="Sylfaen" w:hAnsi="Sylfaen"/>
          <w:lang w:val="ka-GE"/>
        </w:rPr>
        <w:t xml:space="preserve">, </w:t>
      </w:r>
      <w:r w:rsidRPr="00BE4F57">
        <w:rPr>
          <w:rFonts w:ascii="Sylfaen" w:hAnsi="Sylfaen" w:cs="Sylfaen"/>
          <w:lang w:val="ka-GE"/>
        </w:rPr>
        <w:t>ოლანზაპინისა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ფლუოქსეტინის</w:t>
      </w:r>
      <w:r w:rsidRPr="00BE4F57">
        <w:rPr>
          <w:rFonts w:ascii="Sylfaen" w:hAnsi="Sylfaen"/>
          <w:lang w:val="ka-GE"/>
        </w:rPr>
        <w:t xml:space="preserve"> </w:t>
      </w:r>
      <w:r w:rsidRPr="00BE4F57">
        <w:rPr>
          <w:rFonts w:ascii="Sylfaen" w:hAnsi="Sylfaen" w:cs="Sylfaen"/>
          <w:lang w:val="ka-GE"/>
        </w:rPr>
        <w:t>კომბინაცია</w:t>
      </w:r>
      <w:r w:rsidRPr="00BE4F57">
        <w:rPr>
          <w:rFonts w:ascii="Sylfaen" w:hAnsi="Sylfaen"/>
          <w:lang w:val="ka-GE"/>
        </w:rPr>
        <w:t xml:space="preserve"> </w:t>
      </w:r>
      <w:r w:rsidRPr="00BE4F57">
        <w:rPr>
          <w:rFonts w:ascii="Sylfaen" w:hAnsi="Sylfaen" w:cs="Sylfaen"/>
          <w:lang w:val="ka-GE"/>
        </w:rPr>
        <w:t>ასოცირებული</w:t>
      </w:r>
      <w:r w:rsidRPr="00BE4F57">
        <w:rPr>
          <w:rFonts w:ascii="Sylfaen" w:hAnsi="Sylfaen"/>
          <w:lang w:val="ka-GE"/>
        </w:rPr>
        <w:t xml:space="preserve"> </w:t>
      </w:r>
      <w:r w:rsidRPr="00BE4F57">
        <w:rPr>
          <w:rFonts w:ascii="Sylfaen" w:hAnsi="Sylfaen" w:cs="Sylfaen"/>
          <w:lang w:val="ka-GE"/>
        </w:rPr>
        <w:t>იყო</w:t>
      </w:r>
      <w:r w:rsidRPr="00BE4F57">
        <w:rPr>
          <w:rFonts w:ascii="Sylfaen" w:hAnsi="Sylfaen"/>
          <w:lang w:val="ka-GE"/>
        </w:rPr>
        <w:t xml:space="preserve"> </w:t>
      </w:r>
      <w:r w:rsidRPr="00BE4F57">
        <w:rPr>
          <w:rFonts w:ascii="Sylfaen" w:hAnsi="Sylfaen" w:cs="Sylfaen"/>
          <w:lang w:val="ka-GE"/>
        </w:rPr>
        <w:t>რანდომული გლუკოზის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ცვლილების</w:t>
      </w:r>
      <w:r w:rsidRPr="00BE4F57">
        <w:rPr>
          <w:rFonts w:ascii="Sylfaen" w:hAnsi="Sylfaen"/>
          <w:lang w:val="ka-GE"/>
        </w:rPr>
        <w:t xml:space="preserve"> </w:t>
      </w:r>
      <w:r w:rsidRPr="00BE4F57">
        <w:rPr>
          <w:rFonts w:ascii="Sylfaen" w:hAnsi="Sylfaen" w:cs="Sylfaen"/>
          <w:lang w:val="ka-GE"/>
        </w:rPr>
        <w:t>უფრო</w:t>
      </w:r>
      <w:r w:rsidRPr="00BE4F57">
        <w:rPr>
          <w:rFonts w:ascii="Sylfaen" w:hAnsi="Sylfaen"/>
          <w:lang w:val="ka-GE"/>
        </w:rPr>
        <w:t xml:space="preserve"> </w:t>
      </w:r>
      <w:r w:rsidRPr="00BE4F57">
        <w:rPr>
          <w:rFonts w:ascii="Sylfaen" w:hAnsi="Sylfaen" w:cs="Sylfaen"/>
          <w:lang w:val="ka-GE"/>
        </w:rPr>
        <w:t>დიდ</w:t>
      </w:r>
      <w:r w:rsidRPr="00BE4F57">
        <w:rPr>
          <w:rFonts w:ascii="Sylfaen" w:hAnsi="Sylfaen"/>
          <w:lang w:val="ka-GE"/>
        </w:rPr>
        <w:t xml:space="preserve"> </w:t>
      </w:r>
      <w:r w:rsidRPr="00BE4F57">
        <w:rPr>
          <w:rFonts w:ascii="Sylfaen" w:hAnsi="Sylfaen" w:cs="Sylfaen"/>
          <w:lang w:val="ka-GE"/>
        </w:rPr>
        <w:t>მატებასთან</w:t>
      </w:r>
      <w:r w:rsidRPr="00BE4F57">
        <w:rPr>
          <w:rFonts w:ascii="Sylfaen" w:hAnsi="Sylfaen"/>
          <w:lang w:val="ka-GE"/>
        </w:rPr>
        <w:t xml:space="preserve"> </w:t>
      </w:r>
      <w:r w:rsidRPr="00BE4F57">
        <w:rPr>
          <w:rFonts w:ascii="Sylfaen" w:hAnsi="Sylfaen" w:cs="Sylfaen"/>
          <w:lang w:val="ka-GE"/>
        </w:rPr>
        <w:t>პლაცებოსთან</w:t>
      </w:r>
      <w:r w:rsidRPr="00BE4F57">
        <w:rPr>
          <w:rFonts w:ascii="Sylfaen" w:hAnsi="Sylfaen"/>
          <w:lang w:val="ka-GE"/>
        </w:rPr>
        <w:t xml:space="preserve"> </w:t>
      </w:r>
      <w:r w:rsidRPr="00BE4F57">
        <w:rPr>
          <w:rFonts w:ascii="Sylfaen" w:hAnsi="Sylfaen" w:cs="Sylfaen"/>
          <w:lang w:val="ka-GE"/>
        </w:rPr>
        <w:t>შედარებით</w:t>
      </w:r>
      <w:r w:rsidRPr="00BE4F57">
        <w:rPr>
          <w:rFonts w:ascii="Sylfaen" w:hAnsi="Sylfaen"/>
          <w:lang w:val="ka-GE"/>
        </w:rPr>
        <w:t xml:space="preserve"> (+8.65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 xml:space="preserve"> </w:t>
      </w:r>
      <w:r w:rsidRPr="00BE4F57">
        <w:rPr>
          <w:rFonts w:ascii="Sylfaen" w:hAnsi="Sylfaen" w:cs="Sylfaen"/>
          <w:lang w:val="ka-GE"/>
        </w:rPr>
        <w:t>შედარებით</w:t>
      </w:r>
      <w:r w:rsidRPr="00BE4F57">
        <w:rPr>
          <w:rFonts w:ascii="Sylfaen" w:hAnsi="Sylfaen"/>
          <w:lang w:val="ka-GE"/>
        </w:rPr>
        <w:t xml:space="preserve"> −3.86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დლ–თან</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ცვლილებების</w:t>
      </w:r>
      <w:r w:rsidRPr="00BE4F57">
        <w:rPr>
          <w:rFonts w:ascii="Sylfaen" w:hAnsi="Sylfaen"/>
          <w:lang w:val="ka-GE"/>
        </w:rPr>
        <w:t xml:space="preserve"> მხრივ </w:t>
      </w:r>
      <w:r w:rsidRPr="00BE4F57">
        <w:rPr>
          <w:rFonts w:ascii="Sylfaen" w:hAnsi="Sylfaen" w:cs="Sylfaen"/>
          <w:lang w:val="ka-GE"/>
        </w:rPr>
        <w:t>განსხვავება</w:t>
      </w:r>
      <w:r w:rsidRPr="00BE4F57">
        <w:rPr>
          <w:rFonts w:ascii="Sylfaen" w:hAnsi="Sylfaen"/>
          <w:lang w:val="ka-GE"/>
        </w:rPr>
        <w:t xml:space="preserve"> </w:t>
      </w:r>
      <w:r w:rsidRPr="00BE4F57">
        <w:rPr>
          <w:rFonts w:ascii="Sylfaen" w:hAnsi="Sylfaen" w:cs="Sylfaen"/>
          <w:lang w:val="ka-GE"/>
        </w:rPr>
        <w:t>ოლანზაპინის</w:t>
      </w:r>
      <w:r w:rsidRPr="00BE4F57">
        <w:rPr>
          <w:rFonts w:ascii="Sylfaen" w:hAnsi="Sylfaen"/>
          <w:lang w:val="ka-GE"/>
        </w:rPr>
        <w:t xml:space="preserve"> და </w:t>
      </w:r>
      <w:r w:rsidRPr="00BE4F57">
        <w:rPr>
          <w:rFonts w:ascii="Sylfaen" w:hAnsi="Sylfaen" w:cs="Sylfaen"/>
          <w:lang w:val="ka-GE"/>
        </w:rPr>
        <w:t>ფლუოქსეტინის</w:t>
      </w:r>
      <w:r w:rsidRPr="00BE4F57">
        <w:rPr>
          <w:rFonts w:ascii="Sylfaen" w:hAnsi="Sylfaen"/>
          <w:lang w:val="ka-GE"/>
        </w:rPr>
        <w:t xml:space="preserve"> </w:t>
      </w:r>
      <w:r w:rsidRPr="00BE4F57">
        <w:rPr>
          <w:rFonts w:ascii="Sylfaen" w:hAnsi="Sylfaen" w:cs="Sylfaen"/>
          <w:lang w:val="ka-GE"/>
        </w:rPr>
        <w:t>კომბინაციასა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პლაცებოს</w:t>
      </w:r>
      <w:r w:rsidRPr="00BE4F57">
        <w:rPr>
          <w:rFonts w:ascii="Sylfaen" w:hAnsi="Sylfaen"/>
          <w:lang w:val="ka-GE"/>
        </w:rPr>
        <w:t xml:space="preserve"> </w:t>
      </w:r>
      <w:r w:rsidRPr="00BE4F57">
        <w:rPr>
          <w:rFonts w:ascii="Sylfaen" w:hAnsi="Sylfaen" w:cs="Sylfaen"/>
          <w:lang w:val="ka-GE"/>
        </w:rPr>
        <w:t>შორის</w:t>
      </w:r>
      <w:r w:rsidRPr="00BE4F57">
        <w:rPr>
          <w:rFonts w:ascii="Sylfaen" w:hAnsi="Sylfaen"/>
          <w:lang w:val="ka-GE"/>
        </w:rPr>
        <w:t xml:space="preserve"> </w:t>
      </w:r>
      <w:r w:rsidRPr="00BE4F57">
        <w:rPr>
          <w:rFonts w:ascii="Sylfaen" w:hAnsi="Sylfaen" w:cs="Sylfaen"/>
          <w:lang w:val="ka-GE"/>
        </w:rPr>
        <w:t>უფრო</w:t>
      </w:r>
      <w:r w:rsidRPr="00BE4F57">
        <w:rPr>
          <w:rFonts w:ascii="Sylfaen" w:hAnsi="Sylfaen"/>
          <w:lang w:val="ka-GE"/>
        </w:rPr>
        <w:t xml:space="preserve"> </w:t>
      </w:r>
      <w:r w:rsidRPr="00BE4F57">
        <w:rPr>
          <w:rFonts w:ascii="Sylfaen" w:hAnsi="Sylfaen" w:cs="Sylfaen"/>
          <w:lang w:val="ka-GE"/>
        </w:rPr>
        <w:t>მეტად</w:t>
      </w:r>
      <w:r w:rsidRPr="00BE4F57">
        <w:rPr>
          <w:rFonts w:ascii="Sylfaen" w:hAnsi="Sylfaen"/>
          <w:lang w:val="ka-GE"/>
        </w:rPr>
        <w:t xml:space="preserve"> </w:t>
      </w:r>
      <w:r w:rsidRPr="00BE4F57">
        <w:rPr>
          <w:rFonts w:ascii="Sylfaen" w:hAnsi="Sylfaen" w:cs="Sylfaen"/>
          <w:lang w:val="ka-GE"/>
        </w:rPr>
        <w:t>გამოხატული</w:t>
      </w:r>
      <w:r w:rsidRPr="00BE4F57">
        <w:rPr>
          <w:rFonts w:ascii="Sylfaen" w:hAnsi="Sylfaen"/>
          <w:lang w:val="ka-GE"/>
        </w:rPr>
        <w:t xml:space="preserve"> </w:t>
      </w:r>
      <w:r w:rsidRPr="00BE4F57">
        <w:rPr>
          <w:rFonts w:ascii="Sylfaen" w:hAnsi="Sylfaen" w:cs="Sylfaen"/>
          <w:lang w:val="ka-GE"/>
        </w:rPr>
        <w:t>იყო</w:t>
      </w:r>
      <w:r w:rsidRPr="00BE4F57">
        <w:rPr>
          <w:rFonts w:ascii="Sylfaen" w:hAnsi="Sylfaen"/>
          <w:lang w:val="ka-GE"/>
        </w:rPr>
        <w:t xml:space="preserve"> </w:t>
      </w:r>
      <w:r w:rsidRPr="00BE4F57">
        <w:rPr>
          <w:rFonts w:ascii="Sylfaen" w:hAnsi="Sylfaen" w:cs="Sylfaen"/>
          <w:lang w:val="ka-GE"/>
        </w:rPr>
        <w:t>იმ</w:t>
      </w:r>
      <w:r w:rsidRPr="00BE4F57">
        <w:rPr>
          <w:rFonts w:ascii="Sylfaen" w:hAnsi="Sylfaen"/>
          <w:lang w:val="ka-GE"/>
        </w:rPr>
        <w:t xml:space="preserve"> </w:t>
      </w:r>
      <w:r w:rsidRPr="00BE4F57">
        <w:rPr>
          <w:rFonts w:ascii="Sylfaen" w:hAnsi="Sylfaen" w:cs="Sylfaen"/>
          <w:lang w:val="ka-GE"/>
        </w:rPr>
        <w:t>პაციენტებში</w:t>
      </w:r>
      <w:r w:rsidRPr="00BE4F57">
        <w:rPr>
          <w:rFonts w:ascii="Sylfaen" w:hAnsi="Sylfaen"/>
          <w:lang w:val="ka-GE"/>
        </w:rPr>
        <w:t xml:space="preserve">, </w:t>
      </w:r>
      <w:r w:rsidRPr="00BE4F57">
        <w:rPr>
          <w:rFonts w:ascii="Sylfaen" w:hAnsi="Sylfaen" w:cs="Sylfaen"/>
          <w:lang w:val="ka-GE"/>
        </w:rPr>
        <w:t>რომელთაც</w:t>
      </w:r>
      <w:r w:rsidRPr="00BE4F57">
        <w:rPr>
          <w:rFonts w:ascii="Sylfaen" w:hAnsi="Sylfaen"/>
          <w:lang w:val="ka-GE"/>
        </w:rPr>
        <w:t xml:space="preserve"> </w:t>
      </w:r>
      <w:r w:rsidRPr="00BE4F57">
        <w:rPr>
          <w:rFonts w:ascii="Sylfaen" w:hAnsi="Sylfaen" w:cs="Sylfaen"/>
          <w:lang w:val="ka-GE"/>
        </w:rPr>
        <w:t>საწყის</w:t>
      </w:r>
      <w:r w:rsidRPr="00BE4F57">
        <w:rPr>
          <w:rFonts w:ascii="Sylfaen" w:hAnsi="Sylfaen"/>
          <w:lang w:val="ka-GE"/>
        </w:rPr>
        <w:t xml:space="preserve"> </w:t>
      </w:r>
      <w:r w:rsidRPr="00BE4F57">
        <w:rPr>
          <w:rFonts w:ascii="Sylfaen" w:hAnsi="Sylfaen" w:cs="Sylfaen"/>
          <w:lang w:val="ka-GE"/>
        </w:rPr>
        <w:t>ეტაპზე</w:t>
      </w:r>
      <w:r w:rsidRPr="00BE4F57">
        <w:rPr>
          <w:rFonts w:ascii="Sylfaen" w:hAnsi="Sylfaen"/>
          <w:lang w:val="ka-GE"/>
        </w:rPr>
        <w:t xml:space="preserve"> </w:t>
      </w:r>
      <w:r w:rsidRPr="00BE4F57">
        <w:rPr>
          <w:rFonts w:ascii="Sylfaen" w:hAnsi="Sylfaen" w:cs="Sylfaen"/>
          <w:lang w:val="ka-GE"/>
        </w:rPr>
        <w:t>აღენიშნებოდათ</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რეგულაციის</w:t>
      </w:r>
      <w:r w:rsidRPr="00BE4F57">
        <w:rPr>
          <w:rFonts w:ascii="Sylfaen" w:hAnsi="Sylfaen"/>
          <w:lang w:val="ka-GE"/>
        </w:rPr>
        <w:t xml:space="preserve"> </w:t>
      </w:r>
      <w:r w:rsidRPr="00BE4F57">
        <w:rPr>
          <w:rFonts w:ascii="Sylfaen" w:hAnsi="Sylfaen" w:cs="Sylfaen"/>
          <w:lang w:val="ka-GE"/>
        </w:rPr>
        <w:t>დარღვევა</w:t>
      </w:r>
      <w:r w:rsidRPr="00BE4F57">
        <w:rPr>
          <w:rFonts w:ascii="Sylfaen" w:hAnsi="Sylfaen"/>
          <w:lang w:val="ka-GE"/>
        </w:rPr>
        <w:t xml:space="preserve"> (</w:t>
      </w:r>
      <w:r w:rsidRPr="00BE4F57">
        <w:rPr>
          <w:rFonts w:ascii="Sylfaen" w:hAnsi="Sylfaen" w:cs="Sylfaen"/>
          <w:lang w:val="ka-GE"/>
        </w:rPr>
        <w:t>მათ</w:t>
      </w:r>
      <w:r w:rsidRPr="00BE4F57">
        <w:rPr>
          <w:rFonts w:ascii="Sylfaen" w:hAnsi="Sylfaen"/>
          <w:lang w:val="ka-GE"/>
        </w:rPr>
        <w:t xml:space="preserve"> </w:t>
      </w:r>
      <w:r w:rsidRPr="00BE4F57">
        <w:rPr>
          <w:rFonts w:ascii="Sylfaen" w:hAnsi="Sylfaen" w:cs="Sylfaen"/>
          <w:lang w:val="ka-GE"/>
        </w:rPr>
        <w:t>შორის</w:t>
      </w:r>
      <w:r w:rsidRPr="00BE4F57">
        <w:rPr>
          <w:rFonts w:ascii="Sylfaen" w:hAnsi="Sylfaen"/>
          <w:lang w:val="ka-GE"/>
        </w:rPr>
        <w:t xml:space="preserve"> </w:t>
      </w:r>
      <w:r w:rsidRPr="00BE4F57">
        <w:rPr>
          <w:rFonts w:ascii="Sylfaen" w:hAnsi="Sylfaen" w:cs="Sylfaen"/>
          <w:lang w:val="ka-GE"/>
        </w:rPr>
        <w:t>შაქრიანი</w:t>
      </w:r>
      <w:r w:rsidRPr="00BE4F57">
        <w:rPr>
          <w:rFonts w:ascii="Sylfaen" w:hAnsi="Sylfaen"/>
          <w:lang w:val="ka-GE"/>
        </w:rPr>
        <w:t xml:space="preserve"> </w:t>
      </w:r>
      <w:r w:rsidRPr="00BE4F57">
        <w:rPr>
          <w:rFonts w:ascii="Sylfaen" w:hAnsi="Sylfaen" w:cs="Sylfaen"/>
          <w:lang w:val="ka-GE"/>
        </w:rPr>
        <w:t>დიაბეტის</w:t>
      </w:r>
      <w:r w:rsidRPr="00BE4F57">
        <w:rPr>
          <w:rFonts w:ascii="Sylfaen" w:hAnsi="Sylfaen"/>
          <w:lang w:val="ka-GE"/>
        </w:rPr>
        <w:t xml:space="preserve"> </w:t>
      </w:r>
      <w:r w:rsidRPr="00BE4F57">
        <w:rPr>
          <w:rFonts w:ascii="Sylfaen" w:hAnsi="Sylfaen" w:cs="Sylfaen"/>
          <w:lang w:val="ka-GE"/>
        </w:rPr>
        <w:t>ან</w:t>
      </w:r>
      <w:r w:rsidRPr="00BE4F57">
        <w:rPr>
          <w:rFonts w:ascii="Sylfaen" w:hAnsi="Sylfaen"/>
          <w:lang w:val="ka-GE"/>
        </w:rPr>
        <w:t xml:space="preserve"> </w:t>
      </w:r>
      <w:r w:rsidRPr="00BE4F57">
        <w:rPr>
          <w:rFonts w:ascii="Sylfaen" w:hAnsi="Sylfaen" w:cs="Sylfaen"/>
          <w:lang w:val="ka-GE"/>
        </w:rPr>
        <w:t>მასთან</w:t>
      </w:r>
      <w:r w:rsidRPr="00BE4F57">
        <w:rPr>
          <w:rFonts w:ascii="Sylfaen" w:hAnsi="Sylfaen"/>
          <w:lang w:val="ka-GE"/>
        </w:rPr>
        <w:t xml:space="preserve"> </w:t>
      </w:r>
      <w:r w:rsidRPr="00BE4F57">
        <w:rPr>
          <w:rFonts w:ascii="Sylfaen" w:hAnsi="Sylfaen" w:cs="Sylfaen"/>
          <w:lang w:val="ka-GE"/>
        </w:rPr>
        <w:t>დაკავშირებული</w:t>
      </w:r>
      <w:r w:rsidRPr="00BE4F57">
        <w:rPr>
          <w:rFonts w:ascii="Sylfaen" w:hAnsi="Sylfaen"/>
          <w:lang w:val="ka-GE"/>
        </w:rPr>
        <w:t xml:space="preserve"> </w:t>
      </w:r>
      <w:r w:rsidRPr="00BE4F57">
        <w:rPr>
          <w:rFonts w:ascii="Sylfaen" w:hAnsi="Sylfaen" w:cs="Sylfaen"/>
          <w:lang w:val="ka-GE"/>
        </w:rPr>
        <w:t>არასასურველი</w:t>
      </w:r>
      <w:r w:rsidRPr="00BE4F57">
        <w:rPr>
          <w:rFonts w:ascii="Sylfaen" w:hAnsi="Sylfaen"/>
          <w:lang w:val="ka-GE"/>
        </w:rPr>
        <w:t xml:space="preserve"> </w:t>
      </w:r>
      <w:r w:rsidRPr="00BE4F57">
        <w:rPr>
          <w:rFonts w:ascii="Sylfaen" w:hAnsi="Sylfaen" w:cs="Sylfaen"/>
          <w:lang w:val="ka-GE"/>
        </w:rPr>
        <w:t>რეაქციის</w:t>
      </w:r>
      <w:r w:rsidRPr="00BE4F57">
        <w:rPr>
          <w:rFonts w:ascii="Sylfaen" w:hAnsi="Sylfaen"/>
          <w:lang w:val="ka-GE"/>
        </w:rPr>
        <w:t xml:space="preserve"> </w:t>
      </w:r>
      <w:r w:rsidRPr="00BE4F57">
        <w:rPr>
          <w:rFonts w:ascii="Sylfaen" w:hAnsi="Sylfaen" w:cs="Sylfaen"/>
          <w:lang w:val="ka-GE"/>
        </w:rPr>
        <w:t>დიაგნოზის</w:t>
      </w:r>
      <w:r w:rsidRPr="00BE4F57">
        <w:rPr>
          <w:rFonts w:ascii="Sylfaen" w:hAnsi="Sylfaen"/>
          <w:lang w:val="ka-GE"/>
        </w:rPr>
        <w:t xml:space="preserve"> </w:t>
      </w:r>
      <w:r w:rsidRPr="00BE4F57">
        <w:rPr>
          <w:rFonts w:ascii="Sylfaen" w:hAnsi="Sylfaen" w:cs="Sylfaen"/>
          <w:lang w:val="ka-GE"/>
        </w:rPr>
        <w:t>მქონე</w:t>
      </w:r>
      <w:r w:rsidRPr="00BE4F57">
        <w:rPr>
          <w:rFonts w:ascii="Sylfaen" w:hAnsi="Sylfaen"/>
          <w:lang w:val="ka-GE"/>
        </w:rPr>
        <w:t xml:space="preserve"> </w:t>
      </w:r>
      <w:r w:rsidRPr="00BE4F57">
        <w:rPr>
          <w:rFonts w:ascii="Sylfaen" w:hAnsi="Sylfaen" w:cs="Sylfaen"/>
          <w:lang w:val="ka-GE"/>
        </w:rPr>
        <w:t>პაციენტები</w:t>
      </w:r>
      <w:r w:rsidRPr="00BE4F57">
        <w:rPr>
          <w:rFonts w:ascii="Sylfaen" w:hAnsi="Sylfaen"/>
          <w:lang w:val="ka-GE"/>
        </w:rPr>
        <w:t xml:space="preserve">, </w:t>
      </w:r>
      <w:r w:rsidRPr="00BE4F57">
        <w:rPr>
          <w:rFonts w:ascii="Sylfaen" w:hAnsi="Sylfaen" w:cs="Sylfaen"/>
          <w:lang w:val="ka-GE"/>
        </w:rPr>
        <w:t>ანტიდიაბეტური</w:t>
      </w:r>
      <w:r w:rsidRPr="00BE4F57">
        <w:rPr>
          <w:rFonts w:ascii="Sylfaen" w:hAnsi="Sylfaen"/>
          <w:lang w:val="ka-GE"/>
        </w:rPr>
        <w:t xml:space="preserve"> </w:t>
      </w:r>
      <w:r w:rsidRPr="00BE4F57">
        <w:rPr>
          <w:rFonts w:ascii="Sylfaen" w:hAnsi="Sylfaen" w:cs="Sylfaen"/>
          <w:lang w:val="ka-GE"/>
        </w:rPr>
        <w:t>პრეპარატებით</w:t>
      </w:r>
      <w:r w:rsidRPr="00BE4F57">
        <w:rPr>
          <w:rFonts w:ascii="Sylfaen" w:hAnsi="Sylfaen"/>
          <w:lang w:val="ka-GE"/>
        </w:rPr>
        <w:t xml:space="preserve"> </w:t>
      </w:r>
      <w:r w:rsidRPr="00BE4F57">
        <w:rPr>
          <w:rFonts w:ascii="Sylfaen" w:hAnsi="Sylfaen" w:cs="Sylfaen"/>
          <w:lang w:val="ka-GE"/>
        </w:rPr>
        <w:t>მკურნალობაზე</w:t>
      </w:r>
      <w:r w:rsidRPr="00BE4F57">
        <w:rPr>
          <w:rFonts w:ascii="Sylfaen" w:hAnsi="Sylfaen"/>
          <w:lang w:val="ka-GE"/>
        </w:rPr>
        <w:t xml:space="preserve"> </w:t>
      </w:r>
      <w:r w:rsidRPr="00BE4F57">
        <w:rPr>
          <w:rFonts w:ascii="Sylfaen" w:hAnsi="Sylfaen" w:cs="Sylfaen"/>
          <w:lang w:val="ka-GE"/>
        </w:rPr>
        <w:t>მყოფი</w:t>
      </w:r>
      <w:r w:rsidRPr="00BE4F57">
        <w:rPr>
          <w:rFonts w:ascii="Sylfaen" w:hAnsi="Sylfaen"/>
          <w:lang w:val="ka-GE"/>
        </w:rPr>
        <w:t xml:space="preserve"> </w:t>
      </w:r>
      <w:r w:rsidRPr="00BE4F57">
        <w:rPr>
          <w:rFonts w:ascii="Sylfaen" w:hAnsi="Sylfaen" w:cs="Sylfaen"/>
          <w:lang w:val="ka-GE"/>
        </w:rPr>
        <w:t>პაციენტები</w:t>
      </w:r>
      <w:r w:rsidRPr="00BE4F57">
        <w:rPr>
          <w:rFonts w:ascii="Sylfaen" w:hAnsi="Sylfaen"/>
          <w:lang w:val="ka-GE"/>
        </w:rPr>
        <w:t xml:space="preserve">, </w:t>
      </w:r>
      <w:r w:rsidRPr="00BE4F57">
        <w:rPr>
          <w:rFonts w:ascii="Sylfaen" w:hAnsi="Sylfaen" w:cs="Sylfaen"/>
          <w:lang w:val="ka-GE"/>
        </w:rPr>
        <w:t>პაციენტები</w:t>
      </w:r>
      <w:r w:rsidRPr="00BE4F57">
        <w:rPr>
          <w:rFonts w:ascii="Sylfaen" w:hAnsi="Sylfaen"/>
          <w:lang w:val="ka-GE"/>
        </w:rPr>
        <w:t xml:space="preserve">, </w:t>
      </w:r>
      <w:r w:rsidRPr="00BE4F57">
        <w:rPr>
          <w:rFonts w:ascii="Sylfaen" w:hAnsi="Sylfaen" w:cs="Sylfaen"/>
          <w:lang w:val="ka-GE"/>
        </w:rPr>
        <w:t>რომელთაც</w:t>
      </w:r>
      <w:r w:rsidRPr="00BE4F57">
        <w:rPr>
          <w:rFonts w:ascii="Sylfaen" w:hAnsi="Sylfaen"/>
          <w:lang w:val="ka-GE"/>
        </w:rPr>
        <w:t xml:space="preserve"> </w:t>
      </w:r>
      <w:r w:rsidRPr="00BE4F57">
        <w:rPr>
          <w:rFonts w:ascii="Sylfaen" w:hAnsi="Sylfaen" w:cs="Sylfaen"/>
          <w:lang w:val="ka-GE"/>
        </w:rPr>
        <w:t>საწყისი</w:t>
      </w:r>
      <w:r w:rsidRPr="00BE4F57">
        <w:rPr>
          <w:rFonts w:ascii="Sylfaen" w:hAnsi="Sylfaen"/>
          <w:lang w:val="ka-GE"/>
        </w:rPr>
        <w:t xml:space="preserve"> </w:t>
      </w:r>
      <w:r w:rsidRPr="00BE4F57">
        <w:rPr>
          <w:rFonts w:ascii="Sylfaen" w:hAnsi="Sylfaen" w:cs="Sylfaen"/>
          <w:lang w:val="ka-GE"/>
        </w:rPr>
        <w:t>რანდომული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დონე</w:t>
      </w:r>
      <w:r w:rsidRPr="00BE4F57">
        <w:rPr>
          <w:rFonts w:ascii="Sylfaen" w:hAnsi="Sylfaen"/>
          <w:lang w:val="ka-GE"/>
        </w:rPr>
        <w:t xml:space="preserve"> ≥200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 xml:space="preserve"> </w:t>
      </w:r>
      <w:r w:rsidRPr="00BE4F57">
        <w:rPr>
          <w:rFonts w:ascii="Sylfaen" w:hAnsi="Sylfaen" w:cs="Sylfaen"/>
          <w:lang w:val="ka-GE"/>
        </w:rPr>
        <w:t>ან</w:t>
      </w:r>
      <w:r w:rsidRPr="00BE4F57">
        <w:rPr>
          <w:rFonts w:ascii="Sylfaen" w:hAnsi="Sylfaen"/>
          <w:lang w:val="ka-GE"/>
        </w:rPr>
        <w:t xml:space="preserve"> </w:t>
      </w:r>
      <w:r w:rsidRPr="00BE4F57">
        <w:rPr>
          <w:rFonts w:ascii="Sylfaen" w:hAnsi="Sylfaen" w:cs="Sylfaen"/>
          <w:lang w:val="ka-GE"/>
        </w:rPr>
        <w:t>უზმოზე</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საწყისი </w:t>
      </w:r>
      <w:r w:rsidRPr="00BE4F57">
        <w:rPr>
          <w:rFonts w:ascii="Sylfaen" w:hAnsi="Sylfaen" w:cs="Sylfaen"/>
          <w:lang w:val="ka-GE"/>
        </w:rPr>
        <w:t>დონე</w:t>
      </w:r>
      <w:r w:rsidRPr="00BE4F57">
        <w:rPr>
          <w:rFonts w:ascii="Sylfaen" w:hAnsi="Sylfaen"/>
          <w:lang w:val="ka-GE"/>
        </w:rPr>
        <w:t xml:space="preserve"> ≥126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 xml:space="preserve"> </w:t>
      </w:r>
      <w:r w:rsidRPr="00BE4F57">
        <w:rPr>
          <w:rFonts w:ascii="Sylfaen" w:hAnsi="Sylfaen" w:cs="Sylfaen"/>
          <w:lang w:val="ka-GE"/>
        </w:rPr>
        <w:t>ჰქონდათ</w:t>
      </w:r>
      <w:r w:rsidRPr="00BE4F57">
        <w:rPr>
          <w:rFonts w:ascii="Sylfaen" w:hAnsi="Sylfaen"/>
          <w:lang w:val="ka-GE"/>
        </w:rPr>
        <w:t xml:space="preserve">). </w:t>
      </w:r>
      <w:r w:rsidRPr="00BE4F57">
        <w:rPr>
          <w:rFonts w:ascii="Sylfaen" w:hAnsi="Sylfaen" w:cs="Sylfaen"/>
          <w:lang w:val="ka-GE"/>
        </w:rPr>
        <w:t>ოლანზაპინისა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ფლუოქსეტინის</w:t>
      </w:r>
      <w:r w:rsidRPr="00BE4F57">
        <w:rPr>
          <w:rFonts w:ascii="Sylfaen" w:hAnsi="Sylfaen"/>
          <w:lang w:val="ka-GE"/>
        </w:rPr>
        <w:t xml:space="preserve"> </w:t>
      </w:r>
      <w:r w:rsidRPr="00BE4F57">
        <w:rPr>
          <w:rFonts w:ascii="Sylfaen" w:hAnsi="Sylfaen" w:cs="Sylfaen"/>
          <w:lang w:val="ka-GE"/>
        </w:rPr>
        <w:t>კომბინაციით</w:t>
      </w:r>
      <w:r w:rsidRPr="00BE4F57">
        <w:rPr>
          <w:rFonts w:ascii="Sylfaen" w:hAnsi="Sylfaen"/>
          <w:lang w:val="ka-GE"/>
        </w:rPr>
        <w:t xml:space="preserve"> ნამ</w:t>
      </w:r>
      <w:r w:rsidRPr="00BE4F57">
        <w:rPr>
          <w:rFonts w:ascii="Sylfaen" w:hAnsi="Sylfaen" w:cs="Sylfaen"/>
          <w:lang w:val="ka-GE"/>
        </w:rPr>
        <w:t>კურნალებ</w:t>
      </w:r>
      <w:r w:rsidRPr="00BE4F57">
        <w:rPr>
          <w:rFonts w:ascii="Sylfaen" w:hAnsi="Sylfaen"/>
          <w:lang w:val="ka-GE"/>
        </w:rPr>
        <w:t xml:space="preserve"> </w:t>
      </w:r>
      <w:r w:rsidRPr="00BE4F57">
        <w:rPr>
          <w:rFonts w:ascii="Sylfaen" w:hAnsi="Sylfaen" w:cs="Sylfaen"/>
          <w:lang w:val="ka-GE"/>
        </w:rPr>
        <w:t>პაციენტებში</w:t>
      </w:r>
      <w:r w:rsidRPr="00BE4F57">
        <w:rPr>
          <w:rFonts w:ascii="Sylfaen" w:hAnsi="Sylfaen"/>
          <w:lang w:val="ka-GE"/>
        </w:rPr>
        <w:t xml:space="preserve"> HbA1c-</w:t>
      </w:r>
      <w:r w:rsidRPr="00BE4F57">
        <w:rPr>
          <w:rFonts w:ascii="Sylfaen" w:hAnsi="Sylfaen" w:cs="Sylfaen"/>
          <w:lang w:val="ka-GE"/>
        </w:rPr>
        <w:t>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საწყის</w:t>
      </w:r>
      <w:r w:rsidRPr="00BE4F57">
        <w:rPr>
          <w:rFonts w:ascii="Sylfaen" w:hAnsi="Sylfaen"/>
          <w:lang w:val="ka-GE"/>
        </w:rPr>
        <w:t xml:space="preserve"> </w:t>
      </w:r>
      <w:r w:rsidRPr="00BE4F57">
        <w:rPr>
          <w:rFonts w:ascii="Sylfaen" w:hAnsi="Sylfaen" w:cs="Sylfaen"/>
          <w:lang w:val="ka-GE"/>
        </w:rPr>
        <w:t>დონესთან</w:t>
      </w:r>
      <w:r w:rsidRPr="00BE4F57">
        <w:rPr>
          <w:rFonts w:ascii="Sylfaen" w:hAnsi="Sylfaen"/>
          <w:lang w:val="ka-GE"/>
        </w:rPr>
        <w:t xml:space="preserve"> </w:t>
      </w:r>
      <w:r w:rsidRPr="00BE4F57">
        <w:rPr>
          <w:rFonts w:ascii="Sylfaen" w:hAnsi="Sylfaen" w:cs="Sylfaen"/>
          <w:lang w:val="ka-GE"/>
        </w:rPr>
        <w:t>შედარებით</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0.15%-</w:t>
      </w:r>
      <w:r w:rsidRPr="00BE4F57">
        <w:rPr>
          <w:rFonts w:ascii="Sylfaen" w:hAnsi="Sylfaen" w:cs="Sylfaen"/>
          <w:lang w:val="ka-GE"/>
        </w:rPr>
        <w:t>ს</w:t>
      </w:r>
      <w:r w:rsidRPr="00BE4F57">
        <w:rPr>
          <w:rFonts w:ascii="Sylfaen" w:hAnsi="Sylfaen"/>
          <w:lang w:val="ka-GE"/>
        </w:rPr>
        <w:t xml:space="preserve"> (</w:t>
      </w:r>
      <w:r w:rsidRPr="00BE4F57">
        <w:rPr>
          <w:rFonts w:ascii="Sylfaen" w:hAnsi="Sylfaen" w:cs="Sylfaen"/>
          <w:lang w:val="ka-GE"/>
        </w:rPr>
        <w:t>ექსპოზიციის</w:t>
      </w:r>
      <w:r w:rsidRPr="00BE4F57">
        <w:rPr>
          <w:rFonts w:ascii="Sylfaen" w:hAnsi="Sylfaen"/>
          <w:lang w:val="ka-GE"/>
        </w:rPr>
        <w:t xml:space="preserve"> </w:t>
      </w:r>
      <w:r w:rsidRPr="00BE4F57">
        <w:rPr>
          <w:rFonts w:ascii="Sylfaen" w:hAnsi="Sylfaen" w:cs="Sylfaen"/>
          <w:lang w:val="ka-GE"/>
        </w:rPr>
        <w:t>მედიანური</w:t>
      </w:r>
      <w:r w:rsidRPr="00BE4F57">
        <w:rPr>
          <w:rFonts w:ascii="Sylfaen" w:hAnsi="Sylfaen"/>
          <w:lang w:val="ka-GE"/>
        </w:rPr>
        <w:t xml:space="preserve"> </w:t>
      </w:r>
      <w:r w:rsidRPr="00BE4F57">
        <w:rPr>
          <w:rFonts w:ascii="Sylfaen" w:hAnsi="Sylfaen" w:cs="Sylfaen"/>
          <w:lang w:val="ka-GE"/>
        </w:rPr>
        <w:t xml:space="preserve">დრო – </w:t>
      </w:r>
      <w:r w:rsidRPr="00BE4F57">
        <w:rPr>
          <w:rFonts w:ascii="Sylfaen" w:hAnsi="Sylfaen"/>
          <w:lang w:val="ka-GE"/>
        </w:rPr>
        <w:t xml:space="preserve">63 </w:t>
      </w:r>
      <w:r w:rsidRPr="00BE4F57">
        <w:rPr>
          <w:rFonts w:ascii="Sylfaen" w:hAnsi="Sylfaen" w:cs="Sylfaen"/>
          <w:lang w:val="ka-GE"/>
        </w:rPr>
        <w:t>დღე</w:t>
      </w:r>
      <w:r w:rsidRPr="00BE4F57">
        <w:rPr>
          <w:rFonts w:ascii="Sylfaen" w:hAnsi="Sylfaen"/>
          <w:lang w:val="ka-GE"/>
        </w:rPr>
        <w:t xml:space="preserve">), </w:t>
      </w:r>
      <w:r w:rsidRPr="00BE4F57">
        <w:rPr>
          <w:rFonts w:ascii="Sylfaen" w:hAnsi="Sylfaen" w:cs="Sylfaen"/>
          <w:lang w:val="ka-GE"/>
        </w:rPr>
        <w:t>მაშინ</w:t>
      </w:r>
      <w:r w:rsidRPr="00BE4F57">
        <w:rPr>
          <w:rFonts w:ascii="Sylfaen" w:hAnsi="Sylfaen"/>
          <w:lang w:val="ka-GE"/>
        </w:rPr>
        <w:t xml:space="preserve"> </w:t>
      </w:r>
      <w:r w:rsidRPr="00BE4F57">
        <w:rPr>
          <w:rFonts w:ascii="Sylfaen" w:hAnsi="Sylfaen" w:cs="Sylfaen"/>
          <w:lang w:val="ka-GE"/>
        </w:rPr>
        <w:t>როდესაც</w:t>
      </w:r>
      <w:r w:rsidRPr="00BE4F57">
        <w:rPr>
          <w:rFonts w:ascii="Sylfaen" w:hAnsi="Sylfaen"/>
          <w:lang w:val="ka-GE"/>
        </w:rPr>
        <w:t xml:space="preserve"> </w:t>
      </w:r>
      <w:r w:rsidRPr="00BE4F57">
        <w:rPr>
          <w:rFonts w:ascii="Sylfaen" w:hAnsi="Sylfaen" w:cs="Sylfaen"/>
          <w:lang w:val="ka-GE"/>
        </w:rPr>
        <w:t>ფლუოქსეტინით</w:t>
      </w:r>
      <w:r w:rsidRPr="00BE4F57">
        <w:rPr>
          <w:rFonts w:ascii="Sylfaen" w:hAnsi="Sylfaen"/>
          <w:lang w:val="ka-GE"/>
        </w:rPr>
        <w:t xml:space="preserve"> ნა</w:t>
      </w:r>
      <w:r w:rsidRPr="00BE4F57">
        <w:rPr>
          <w:rFonts w:ascii="Sylfaen" w:hAnsi="Sylfaen" w:cs="Sylfaen"/>
          <w:lang w:val="ka-GE"/>
        </w:rPr>
        <w:t>მკურნალ</w:t>
      </w:r>
      <w:r w:rsidRPr="00BE4F57">
        <w:rPr>
          <w:rFonts w:ascii="Sylfaen" w:hAnsi="Sylfaen"/>
          <w:lang w:val="ka-GE"/>
        </w:rPr>
        <w:t xml:space="preserve">ებ </w:t>
      </w:r>
      <w:r w:rsidRPr="00BE4F57">
        <w:rPr>
          <w:rFonts w:ascii="Sylfaen" w:hAnsi="Sylfaen" w:cs="Sylfaen"/>
          <w:lang w:val="ka-GE"/>
        </w:rPr>
        <w:t>პაციენტებში</w:t>
      </w:r>
      <w:r w:rsidRPr="00BE4F57">
        <w:rPr>
          <w:rFonts w:ascii="Sylfaen" w:hAnsi="Sylfaen"/>
          <w:lang w:val="ka-GE"/>
        </w:rPr>
        <w:t xml:space="preserve"> </w:t>
      </w:r>
      <w:r w:rsidRPr="00BE4F57">
        <w:rPr>
          <w:rFonts w:ascii="Sylfaen" w:hAnsi="Sylfaen" w:cs="Sylfaen"/>
          <w:lang w:val="ka-GE"/>
        </w:rPr>
        <w:t>დაფიქსირდა</w:t>
      </w:r>
      <w:r w:rsidRPr="00BE4F57">
        <w:rPr>
          <w:rFonts w:ascii="Sylfaen" w:hAnsi="Sylfaen"/>
          <w:lang w:val="ka-GE"/>
        </w:rPr>
        <w:t xml:space="preserve"> HbA1c-</w:t>
      </w:r>
      <w:r w:rsidRPr="00BE4F57">
        <w:rPr>
          <w:rFonts w:ascii="Sylfaen" w:hAnsi="Sylfaen" w:cs="Sylfaen"/>
          <w:lang w:val="ka-GE"/>
        </w:rPr>
        <w:t>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შემცირება</w:t>
      </w:r>
      <w:r w:rsidRPr="00BE4F57">
        <w:rPr>
          <w:rFonts w:ascii="Sylfaen" w:hAnsi="Sylfaen"/>
          <w:lang w:val="ka-GE"/>
        </w:rPr>
        <w:t xml:space="preserve"> 0.04%-</w:t>
      </w:r>
      <w:r w:rsidRPr="00BE4F57">
        <w:rPr>
          <w:rFonts w:ascii="Sylfaen" w:hAnsi="Sylfaen" w:cs="Sylfaen"/>
          <w:lang w:val="ka-GE"/>
        </w:rPr>
        <w:t>ით</w:t>
      </w:r>
      <w:r w:rsidRPr="00BE4F57">
        <w:rPr>
          <w:rFonts w:ascii="Sylfaen" w:hAnsi="Sylfaen"/>
          <w:lang w:val="ka-GE"/>
        </w:rPr>
        <w:t xml:space="preserve"> (</w:t>
      </w:r>
      <w:r w:rsidRPr="00BE4F57">
        <w:rPr>
          <w:rFonts w:ascii="Sylfaen" w:hAnsi="Sylfaen" w:cs="Sylfaen"/>
          <w:lang w:val="ka-GE"/>
        </w:rPr>
        <w:t>მედიანური</w:t>
      </w:r>
      <w:r w:rsidRPr="00BE4F57">
        <w:rPr>
          <w:rFonts w:ascii="Sylfaen" w:hAnsi="Sylfaen"/>
          <w:lang w:val="ka-GE"/>
        </w:rPr>
        <w:t xml:space="preserve"> </w:t>
      </w:r>
      <w:r w:rsidRPr="00BE4F57">
        <w:rPr>
          <w:rFonts w:ascii="Sylfaen" w:hAnsi="Sylfaen" w:cs="Sylfaen"/>
          <w:lang w:val="ka-GE"/>
        </w:rPr>
        <w:t>ექსპოზიცია –</w:t>
      </w:r>
      <w:r w:rsidRPr="00BE4F57">
        <w:rPr>
          <w:rFonts w:ascii="Sylfaen" w:hAnsi="Sylfaen"/>
          <w:lang w:val="ka-GE"/>
        </w:rPr>
        <w:t xml:space="preserve"> 57 </w:t>
      </w:r>
      <w:r w:rsidRPr="00BE4F57">
        <w:rPr>
          <w:rFonts w:ascii="Sylfaen" w:hAnsi="Sylfaen" w:cs="Sylfaen"/>
          <w:lang w:val="ka-GE"/>
        </w:rPr>
        <w:t>დღე</w:t>
      </w:r>
      <w:r w:rsidRPr="00BE4F57">
        <w:rPr>
          <w:rFonts w:ascii="Sylfaen" w:hAnsi="Sylfaen"/>
          <w:lang w:val="ka-GE"/>
        </w:rPr>
        <w:t xml:space="preserve">), </w:t>
      </w:r>
      <w:r w:rsidRPr="00BE4F57">
        <w:rPr>
          <w:rFonts w:ascii="Sylfaen" w:hAnsi="Sylfaen" w:cs="Sylfaen"/>
          <w:lang w:val="ka-GE"/>
        </w:rPr>
        <w:t>ხოლო</w:t>
      </w:r>
      <w:r w:rsidRPr="00BE4F57">
        <w:rPr>
          <w:rFonts w:ascii="Sylfaen" w:hAnsi="Sylfaen"/>
          <w:lang w:val="ka-GE"/>
        </w:rPr>
        <w:t xml:space="preserve"> </w:t>
      </w:r>
      <w:r w:rsidRPr="00BE4F57">
        <w:rPr>
          <w:rFonts w:ascii="Sylfaen" w:hAnsi="Sylfaen" w:cs="Sylfaen"/>
          <w:lang w:val="ka-GE"/>
        </w:rPr>
        <w:t>ოლანზაპინით</w:t>
      </w:r>
      <w:r w:rsidRPr="00BE4F57">
        <w:rPr>
          <w:rFonts w:ascii="Sylfaen" w:hAnsi="Sylfaen"/>
          <w:lang w:val="ka-GE"/>
        </w:rPr>
        <w:t xml:space="preserve"> ნა</w:t>
      </w:r>
      <w:r w:rsidRPr="00BE4F57">
        <w:rPr>
          <w:rFonts w:ascii="Sylfaen" w:hAnsi="Sylfaen" w:cs="Sylfaen"/>
          <w:lang w:val="ka-GE"/>
        </w:rPr>
        <w:t>მკურნალებ</w:t>
      </w:r>
      <w:r w:rsidRPr="00BE4F57">
        <w:rPr>
          <w:rFonts w:ascii="Sylfaen" w:hAnsi="Sylfaen"/>
          <w:lang w:val="ka-GE"/>
        </w:rPr>
        <w:t xml:space="preserve"> </w:t>
      </w:r>
      <w:r w:rsidRPr="00BE4F57">
        <w:rPr>
          <w:rFonts w:ascii="Sylfaen" w:hAnsi="Sylfaen" w:cs="Sylfaen"/>
          <w:lang w:val="ka-GE"/>
        </w:rPr>
        <w:t>პაციენტებში</w:t>
      </w:r>
      <w:r w:rsidRPr="00BE4F57">
        <w:rPr>
          <w:rFonts w:ascii="Sylfaen" w:hAnsi="Sylfaen"/>
          <w:lang w:val="ka-GE"/>
        </w:rPr>
        <w:t xml:space="preserve"> HbA1c-</w:t>
      </w:r>
      <w:r w:rsidRPr="00BE4F57">
        <w:rPr>
          <w:rFonts w:ascii="Sylfaen" w:hAnsi="Sylfaen" w:cs="Sylfaen"/>
          <w:lang w:val="ka-GE"/>
        </w:rPr>
        <w:t>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მატება</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0.12%-</w:t>
      </w:r>
      <w:r w:rsidRPr="00BE4F57">
        <w:rPr>
          <w:rFonts w:ascii="Sylfaen" w:hAnsi="Sylfaen" w:cs="Sylfaen"/>
          <w:lang w:val="ka-GE"/>
        </w:rPr>
        <w:t>ს</w:t>
      </w:r>
      <w:r w:rsidRPr="00BE4F57">
        <w:rPr>
          <w:rFonts w:ascii="Sylfaen" w:hAnsi="Sylfaen"/>
          <w:lang w:val="ka-GE"/>
        </w:rPr>
        <w:t xml:space="preserve"> (</w:t>
      </w:r>
      <w:r w:rsidRPr="00BE4F57">
        <w:rPr>
          <w:rFonts w:ascii="Sylfaen" w:hAnsi="Sylfaen" w:cs="Sylfaen"/>
          <w:lang w:val="ka-GE"/>
        </w:rPr>
        <w:t>მედიანური</w:t>
      </w:r>
      <w:r w:rsidRPr="00BE4F57">
        <w:rPr>
          <w:rFonts w:ascii="Sylfaen" w:hAnsi="Sylfaen"/>
          <w:lang w:val="ka-GE"/>
        </w:rPr>
        <w:t xml:space="preserve"> </w:t>
      </w:r>
      <w:r w:rsidRPr="00BE4F57">
        <w:rPr>
          <w:rFonts w:ascii="Sylfaen" w:hAnsi="Sylfaen" w:cs="Sylfaen"/>
          <w:lang w:val="ka-GE"/>
        </w:rPr>
        <w:t>ექსპოზიცია</w:t>
      </w:r>
      <w:r w:rsidRPr="00BE4F57">
        <w:rPr>
          <w:rFonts w:ascii="Sylfaen" w:hAnsi="Sylfaen"/>
          <w:lang w:val="ka-GE"/>
        </w:rPr>
        <w:t xml:space="preserve"> – 56 </w:t>
      </w:r>
      <w:r w:rsidRPr="00BE4F57">
        <w:rPr>
          <w:rFonts w:ascii="Sylfaen" w:hAnsi="Sylfaen" w:cs="Sylfaen"/>
          <w:lang w:val="ka-GE"/>
        </w:rPr>
        <w:t>დღე</w:t>
      </w:r>
      <w:r w:rsidRPr="00BE4F57">
        <w:rPr>
          <w:rFonts w:ascii="Sylfaen" w:hAnsi="Sylfaen"/>
          <w:lang w:val="ka-GE"/>
        </w:rPr>
        <w:t>).</w:t>
      </w:r>
    </w:p>
    <w:p w14:paraId="08EEAE50" w14:textId="77777777" w:rsidR="008B1423" w:rsidRPr="00BE4F57" w:rsidRDefault="008B1423" w:rsidP="00A14CA6">
      <w:pPr>
        <w:pStyle w:val="NormalWeb"/>
        <w:spacing w:before="0" w:beforeAutospacing="0" w:after="0" w:afterAutospacing="0"/>
        <w:jc w:val="both"/>
        <w:rPr>
          <w:rFonts w:ascii="Sylfaen" w:hAnsi="Sylfaen"/>
          <w:lang w:val="ka-GE"/>
        </w:rPr>
      </w:pPr>
      <w:r w:rsidRPr="00BE4F57">
        <w:rPr>
          <w:rFonts w:ascii="Sylfaen" w:hAnsi="Sylfaen"/>
          <w:lang w:val="ka-GE"/>
        </w:rPr>
        <w:t xml:space="preserve">6 </w:t>
      </w:r>
      <w:r w:rsidRPr="00BE4F57">
        <w:rPr>
          <w:rFonts w:ascii="Sylfaen" w:hAnsi="Sylfaen" w:cs="Sylfaen"/>
          <w:lang w:val="ka-GE"/>
        </w:rPr>
        <w:t>კონტროლირებადი</w:t>
      </w:r>
      <w:r w:rsidRPr="00BE4F57">
        <w:rPr>
          <w:rFonts w:ascii="Sylfaen" w:hAnsi="Sylfaen"/>
          <w:lang w:val="ka-GE"/>
        </w:rPr>
        <w:t xml:space="preserve"> </w:t>
      </w:r>
      <w:r w:rsidRPr="00BE4F57">
        <w:rPr>
          <w:rFonts w:ascii="Sylfaen" w:hAnsi="Sylfaen" w:cs="Sylfaen"/>
          <w:lang w:val="ka-GE"/>
        </w:rPr>
        <w:t>კლინიკური</w:t>
      </w:r>
      <w:r w:rsidRPr="00BE4F57">
        <w:rPr>
          <w:rFonts w:ascii="Sylfaen" w:hAnsi="Sylfaen"/>
          <w:lang w:val="ka-GE"/>
        </w:rPr>
        <w:t xml:space="preserve"> </w:t>
      </w:r>
      <w:r w:rsidRPr="00BE4F57">
        <w:rPr>
          <w:rFonts w:ascii="Sylfaen" w:hAnsi="Sylfaen" w:cs="Sylfaen"/>
          <w:lang w:val="ka-GE"/>
        </w:rPr>
        <w:t>კვლევის</w:t>
      </w:r>
      <w:r w:rsidRPr="00BE4F57">
        <w:rPr>
          <w:rFonts w:ascii="Sylfaen" w:hAnsi="Sylfaen"/>
          <w:lang w:val="ka-GE"/>
        </w:rPr>
        <w:t xml:space="preserve"> </w:t>
      </w:r>
      <w:r w:rsidRPr="00BE4F57">
        <w:rPr>
          <w:rFonts w:ascii="Sylfaen" w:hAnsi="Sylfaen" w:cs="Sylfaen"/>
          <w:lang w:val="ka-GE"/>
        </w:rPr>
        <w:t>ანალიზში</w:t>
      </w:r>
      <w:r w:rsidRPr="00BE4F57">
        <w:rPr>
          <w:rFonts w:ascii="Sylfaen" w:hAnsi="Sylfaen"/>
          <w:lang w:val="ka-GE"/>
        </w:rPr>
        <w:t xml:space="preserve">, </w:t>
      </w:r>
      <w:r w:rsidRPr="00BE4F57">
        <w:rPr>
          <w:rFonts w:ascii="Sylfaen" w:hAnsi="Sylfaen" w:cs="Sylfaen"/>
          <w:lang w:val="ka-GE"/>
        </w:rPr>
        <w:t>ოლანზაპინისა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ფლუოქსეტინის</w:t>
      </w:r>
      <w:r w:rsidRPr="00BE4F57">
        <w:rPr>
          <w:rFonts w:ascii="Sylfaen" w:hAnsi="Sylfaen"/>
          <w:lang w:val="ka-GE"/>
        </w:rPr>
        <w:t xml:space="preserve"> </w:t>
      </w:r>
      <w:r w:rsidRPr="00BE4F57">
        <w:rPr>
          <w:rFonts w:ascii="Sylfaen" w:hAnsi="Sylfaen" w:cs="Sylfaen"/>
          <w:lang w:val="ka-GE"/>
        </w:rPr>
        <w:t>კომბინაციით</w:t>
      </w:r>
      <w:r w:rsidRPr="00BE4F57">
        <w:rPr>
          <w:rFonts w:ascii="Sylfaen" w:hAnsi="Sylfaen"/>
          <w:lang w:val="ka-GE"/>
        </w:rPr>
        <w:t xml:space="preserve"> ნა</w:t>
      </w:r>
      <w:r w:rsidRPr="00BE4F57">
        <w:rPr>
          <w:rFonts w:ascii="Sylfaen" w:hAnsi="Sylfaen" w:cs="Sylfaen"/>
          <w:lang w:val="ka-GE"/>
        </w:rPr>
        <w:t>მკურნალებ</w:t>
      </w:r>
      <w:r w:rsidRPr="00BE4F57">
        <w:rPr>
          <w:rFonts w:ascii="Sylfaen" w:hAnsi="Sylfaen"/>
          <w:lang w:val="ka-GE"/>
        </w:rPr>
        <w:t xml:space="preserve"> </w:t>
      </w:r>
      <w:r w:rsidRPr="00BE4F57">
        <w:rPr>
          <w:rFonts w:ascii="Sylfaen" w:hAnsi="Sylfaen" w:cs="Sylfaen"/>
          <w:lang w:val="ka-GE"/>
        </w:rPr>
        <w:t>სუბიექტთა</w:t>
      </w:r>
      <w:r w:rsidRPr="00BE4F57">
        <w:rPr>
          <w:rFonts w:ascii="Sylfaen" w:hAnsi="Sylfaen"/>
          <w:lang w:val="ka-GE"/>
        </w:rPr>
        <w:t xml:space="preserve"> </w:t>
      </w:r>
      <w:r w:rsidRPr="00BE4F57">
        <w:rPr>
          <w:rFonts w:ascii="Sylfaen" w:hAnsi="Sylfaen" w:cs="Sylfaen"/>
          <w:lang w:val="ka-GE"/>
        </w:rPr>
        <w:t>უფრო</w:t>
      </w:r>
      <w:r w:rsidRPr="00BE4F57">
        <w:rPr>
          <w:rFonts w:ascii="Sylfaen" w:hAnsi="Sylfaen"/>
          <w:lang w:val="ka-GE"/>
        </w:rPr>
        <w:t xml:space="preserve"> </w:t>
      </w:r>
      <w:r w:rsidRPr="00BE4F57">
        <w:rPr>
          <w:rFonts w:ascii="Sylfaen" w:hAnsi="Sylfaen" w:cs="Sylfaen"/>
          <w:lang w:val="ka-GE"/>
        </w:rPr>
        <w:t>დიდ</w:t>
      </w:r>
      <w:r w:rsidRPr="00BE4F57">
        <w:rPr>
          <w:rFonts w:ascii="Sylfaen" w:hAnsi="Sylfaen"/>
          <w:lang w:val="ka-GE"/>
        </w:rPr>
        <w:t xml:space="preserve"> </w:t>
      </w:r>
      <w:r w:rsidRPr="00BE4F57">
        <w:rPr>
          <w:rFonts w:ascii="Sylfaen" w:hAnsi="Sylfaen" w:cs="Sylfaen"/>
          <w:lang w:val="ka-GE"/>
        </w:rPr>
        <w:t>ნაწილს</w:t>
      </w:r>
      <w:r w:rsidRPr="00BE4F57">
        <w:rPr>
          <w:rFonts w:ascii="Sylfaen" w:hAnsi="Sylfaen"/>
          <w:lang w:val="ka-GE"/>
        </w:rPr>
        <w:t xml:space="preserve"> (4.4%) </w:t>
      </w:r>
      <w:r w:rsidRPr="00BE4F57">
        <w:rPr>
          <w:rFonts w:ascii="Sylfaen" w:hAnsi="Sylfaen" w:cs="Sylfaen"/>
          <w:lang w:val="ka-GE"/>
        </w:rPr>
        <w:t>აღენიშნებოდა</w:t>
      </w:r>
      <w:r w:rsidRPr="00BE4F57">
        <w:rPr>
          <w:rFonts w:ascii="Sylfaen" w:hAnsi="Sylfaen"/>
          <w:lang w:val="ka-GE"/>
        </w:rPr>
        <w:t xml:space="preserve"> </w:t>
      </w:r>
      <w:r w:rsidRPr="00BE4F57">
        <w:rPr>
          <w:rFonts w:ascii="Sylfaen" w:hAnsi="Sylfaen" w:cs="Sylfaen"/>
          <w:lang w:val="ka-GE"/>
        </w:rPr>
        <w:t>გლუკოზურია</w:t>
      </w:r>
      <w:r w:rsidRPr="00BE4F57">
        <w:rPr>
          <w:rFonts w:ascii="Sylfaen" w:hAnsi="Sylfaen"/>
          <w:lang w:val="ka-GE"/>
        </w:rPr>
        <w:t xml:space="preserve"> </w:t>
      </w:r>
      <w:r w:rsidRPr="00BE4F57">
        <w:rPr>
          <w:rFonts w:ascii="Sylfaen" w:hAnsi="Sylfaen" w:cs="Sylfaen"/>
          <w:lang w:val="ka-GE"/>
        </w:rPr>
        <w:t>პლაცებოს</w:t>
      </w:r>
      <w:r w:rsidRPr="00BE4F57">
        <w:rPr>
          <w:rFonts w:ascii="Sylfaen" w:hAnsi="Sylfaen"/>
          <w:lang w:val="ka-GE"/>
        </w:rPr>
        <w:t xml:space="preserve"> </w:t>
      </w:r>
      <w:r w:rsidRPr="00BE4F57">
        <w:rPr>
          <w:rFonts w:ascii="Sylfaen" w:hAnsi="Sylfaen" w:cs="Sylfaen"/>
          <w:lang w:val="ka-GE"/>
        </w:rPr>
        <w:t>მიმღებ</w:t>
      </w:r>
      <w:r w:rsidRPr="00BE4F57">
        <w:rPr>
          <w:rFonts w:ascii="Sylfaen" w:hAnsi="Sylfaen"/>
          <w:lang w:val="ka-GE"/>
        </w:rPr>
        <w:t xml:space="preserve"> </w:t>
      </w:r>
      <w:r w:rsidRPr="00BE4F57">
        <w:rPr>
          <w:rFonts w:ascii="Sylfaen" w:hAnsi="Sylfaen" w:cs="Sylfaen"/>
          <w:lang w:val="ka-GE"/>
        </w:rPr>
        <w:t>სუბიექტებთან</w:t>
      </w:r>
      <w:r w:rsidRPr="00BE4F57">
        <w:rPr>
          <w:rFonts w:ascii="Sylfaen" w:hAnsi="Sylfaen"/>
          <w:lang w:val="ka-GE"/>
        </w:rPr>
        <w:t xml:space="preserve"> (1.4%) </w:t>
      </w:r>
      <w:r w:rsidRPr="00BE4F57">
        <w:rPr>
          <w:rFonts w:ascii="Sylfaen" w:hAnsi="Sylfaen" w:cs="Sylfaen"/>
          <w:lang w:val="ka-GE"/>
        </w:rPr>
        <w:t>შედარებით</w:t>
      </w:r>
      <w:r w:rsidRPr="00BE4F57">
        <w:rPr>
          <w:rFonts w:ascii="Sylfaen" w:hAnsi="Sylfaen"/>
          <w:lang w:val="ka-GE"/>
        </w:rPr>
        <w:t>.</w:t>
      </w:r>
    </w:p>
    <w:p w14:paraId="47A1E38A" w14:textId="77777777" w:rsidR="008B1423" w:rsidRPr="00BE4F57" w:rsidRDefault="008B1423" w:rsidP="00A14CA6">
      <w:pPr>
        <w:pStyle w:val="NormalWeb"/>
        <w:spacing w:before="0" w:beforeAutospacing="0" w:after="0" w:afterAutospacing="0"/>
        <w:jc w:val="both"/>
        <w:rPr>
          <w:rFonts w:ascii="Sylfaen" w:hAnsi="Sylfaen"/>
          <w:lang w:val="ka-GE"/>
        </w:rPr>
      </w:pPr>
      <w:r w:rsidRPr="00BE4F57">
        <w:rPr>
          <w:rFonts w:ascii="Sylfaen" w:hAnsi="Sylfaen" w:cs="Sylfaen"/>
          <w:lang w:val="ka-GE"/>
        </w:rPr>
        <w:t>უზმოზე</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საშუალო</w:t>
      </w:r>
      <w:r w:rsidRPr="00BE4F57">
        <w:rPr>
          <w:rFonts w:ascii="Sylfaen" w:hAnsi="Sylfaen"/>
          <w:lang w:val="ka-GE"/>
        </w:rPr>
        <w:t xml:space="preserve"> </w:t>
      </w:r>
      <w:r w:rsidRPr="00BE4F57">
        <w:rPr>
          <w:rFonts w:ascii="Sylfaen" w:hAnsi="Sylfaen" w:cs="Sylfaen"/>
          <w:lang w:val="ka-GE"/>
        </w:rPr>
        <w:t>ცვლილება</w:t>
      </w:r>
      <w:r w:rsidRPr="00BE4F57">
        <w:rPr>
          <w:rFonts w:ascii="Sylfaen" w:hAnsi="Sylfaen"/>
          <w:lang w:val="ka-GE"/>
        </w:rPr>
        <w:t xml:space="preserve"> </w:t>
      </w:r>
      <w:r w:rsidRPr="00BE4F57">
        <w:rPr>
          <w:rFonts w:ascii="Sylfaen" w:hAnsi="Sylfaen" w:cs="Sylfaen"/>
          <w:lang w:val="ka-GE"/>
        </w:rPr>
        <w:t>პაციენტებში</w:t>
      </w:r>
      <w:r w:rsidRPr="00BE4F57">
        <w:rPr>
          <w:rFonts w:ascii="Sylfaen" w:hAnsi="Sylfaen"/>
          <w:lang w:val="ka-GE"/>
        </w:rPr>
        <w:t xml:space="preserve">, </w:t>
      </w:r>
      <w:r w:rsidRPr="00BE4F57">
        <w:rPr>
          <w:rFonts w:ascii="Sylfaen" w:hAnsi="Sylfaen" w:cs="Sylfaen"/>
          <w:lang w:val="ka-GE"/>
        </w:rPr>
        <w:t>რომლებიც</w:t>
      </w:r>
      <w:r w:rsidRPr="00BE4F57">
        <w:rPr>
          <w:rFonts w:ascii="Sylfaen" w:hAnsi="Sylfaen"/>
          <w:lang w:val="ka-GE"/>
        </w:rPr>
        <w:t xml:space="preserve"> </w:t>
      </w:r>
      <w:r w:rsidRPr="00BE4F57">
        <w:rPr>
          <w:rFonts w:ascii="Sylfaen" w:hAnsi="Sylfaen" w:cs="Sylfaen"/>
          <w:lang w:val="ka-GE"/>
        </w:rPr>
        <w:t>ექსპოზიციის ქვეშ</w:t>
      </w:r>
      <w:r w:rsidRPr="00BE4F57">
        <w:rPr>
          <w:rFonts w:ascii="Sylfaen" w:hAnsi="Sylfaen"/>
          <w:lang w:val="ka-GE"/>
        </w:rPr>
        <w:t xml:space="preserve"> </w:t>
      </w:r>
      <w:r w:rsidRPr="00BE4F57">
        <w:rPr>
          <w:rFonts w:ascii="Sylfaen" w:hAnsi="Sylfaen" w:cs="Sylfaen"/>
          <w:lang w:val="ka-GE"/>
        </w:rPr>
        <w:t>იყვნენ</w:t>
      </w:r>
      <w:r w:rsidRPr="00BE4F57">
        <w:rPr>
          <w:rFonts w:ascii="Sylfaen" w:hAnsi="Sylfaen"/>
          <w:lang w:val="ka-GE"/>
        </w:rPr>
        <w:t xml:space="preserve"> </w:t>
      </w:r>
      <w:r w:rsidRPr="00BE4F57">
        <w:rPr>
          <w:rFonts w:ascii="Sylfaen" w:hAnsi="Sylfaen" w:cs="Sylfaen"/>
          <w:lang w:val="ka-GE"/>
        </w:rPr>
        <w:t>მინიმუმ</w:t>
      </w:r>
      <w:r w:rsidRPr="00BE4F57">
        <w:rPr>
          <w:rFonts w:ascii="Sylfaen" w:hAnsi="Sylfaen"/>
          <w:lang w:val="ka-GE"/>
        </w:rPr>
        <w:t xml:space="preserve"> 48 </w:t>
      </w:r>
      <w:r w:rsidRPr="00BE4F57">
        <w:rPr>
          <w:rFonts w:ascii="Sylfaen" w:hAnsi="Sylfaen" w:cs="Sylfaen"/>
          <w:lang w:val="ka-GE"/>
        </w:rPr>
        <w:t>კვირის</w:t>
      </w:r>
      <w:r w:rsidRPr="00BE4F57">
        <w:rPr>
          <w:rFonts w:ascii="Sylfaen" w:hAnsi="Sylfaen"/>
          <w:lang w:val="ka-GE"/>
        </w:rPr>
        <w:t xml:space="preserve"> </w:t>
      </w:r>
      <w:r w:rsidRPr="00BE4F57">
        <w:rPr>
          <w:rFonts w:ascii="Sylfaen" w:hAnsi="Sylfaen" w:cs="Sylfaen"/>
          <w:lang w:val="ka-GE"/>
        </w:rPr>
        <w:t>განმავლობაში</w:t>
      </w:r>
      <w:r w:rsidRPr="00BE4F57">
        <w:rPr>
          <w:rFonts w:ascii="Sylfaen" w:hAnsi="Sylfaen"/>
          <w:lang w:val="ka-GE"/>
        </w:rPr>
        <w:t xml:space="preserve">, </w:t>
      </w:r>
      <w:r w:rsidRPr="00BE4F57">
        <w:rPr>
          <w:rFonts w:ascii="Sylfaen" w:hAnsi="Sylfaen" w:cs="Sylfaen"/>
          <w:lang w:val="ka-GE"/>
        </w:rPr>
        <w:t>შეადგენდა</w:t>
      </w:r>
      <w:r w:rsidRPr="00BE4F57">
        <w:rPr>
          <w:rFonts w:ascii="Sylfaen" w:hAnsi="Sylfaen"/>
          <w:lang w:val="ka-GE"/>
        </w:rPr>
        <w:t xml:space="preserve"> +5.9 </w:t>
      </w:r>
      <w:r w:rsidRPr="00BE4F57">
        <w:rPr>
          <w:rFonts w:ascii="Sylfaen" w:hAnsi="Sylfaen" w:cs="Sylfaen"/>
          <w:lang w:val="ka-GE"/>
        </w:rPr>
        <w:t>მგ</w:t>
      </w:r>
      <w:r w:rsidRPr="00BE4F57">
        <w:rPr>
          <w:rFonts w:ascii="Sylfaen" w:hAnsi="Sylfaen"/>
          <w:lang w:val="ka-GE"/>
        </w:rPr>
        <w:t>/</w:t>
      </w:r>
      <w:r w:rsidRPr="00BE4F57">
        <w:rPr>
          <w:rFonts w:ascii="Sylfaen" w:hAnsi="Sylfaen" w:cs="Sylfaen"/>
          <w:lang w:val="ka-GE"/>
        </w:rPr>
        <w:t>დლ</w:t>
      </w:r>
      <w:r w:rsidRPr="00BE4F57">
        <w:rPr>
          <w:rFonts w:ascii="Sylfaen" w:hAnsi="Sylfaen"/>
          <w:lang w:val="ka-GE"/>
        </w:rPr>
        <w:t>-</w:t>
      </w:r>
      <w:r w:rsidRPr="00BE4F57">
        <w:rPr>
          <w:rFonts w:ascii="Sylfaen" w:hAnsi="Sylfaen" w:cs="Sylfaen"/>
          <w:lang w:val="ka-GE"/>
        </w:rPr>
        <w:t>ს</w:t>
      </w:r>
      <w:r w:rsidRPr="00BE4F57">
        <w:rPr>
          <w:rFonts w:ascii="Sylfaen" w:hAnsi="Sylfaen"/>
          <w:lang w:val="ka-GE"/>
        </w:rPr>
        <w:t xml:space="preserve"> (N=425). </w:t>
      </w:r>
      <w:r w:rsidRPr="00BE4F57">
        <w:rPr>
          <w:rFonts w:ascii="Sylfaen" w:hAnsi="Sylfaen" w:cs="Sylfaen"/>
          <w:lang w:val="ka-GE"/>
        </w:rPr>
        <w:t>ცხრილი</w:t>
      </w:r>
      <w:r w:rsidRPr="00BE4F57">
        <w:rPr>
          <w:rFonts w:ascii="Sylfaen" w:hAnsi="Sylfaen"/>
          <w:lang w:val="ka-GE"/>
        </w:rPr>
        <w:t xml:space="preserve"> 2-</w:t>
      </w:r>
      <w:r w:rsidRPr="00BE4F57">
        <w:rPr>
          <w:rFonts w:ascii="Sylfaen" w:hAnsi="Sylfaen" w:cs="Sylfaen"/>
          <w:lang w:val="ka-GE"/>
        </w:rPr>
        <w:t>ში</w:t>
      </w:r>
      <w:r w:rsidRPr="00BE4F57">
        <w:rPr>
          <w:rFonts w:ascii="Sylfaen" w:hAnsi="Sylfaen"/>
          <w:lang w:val="ka-GE"/>
        </w:rPr>
        <w:t xml:space="preserve"> </w:t>
      </w:r>
      <w:r w:rsidRPr="00BE4F57">
        <w:rPr>
          <w:rFonts w:ascii="Sylfaen" w:hAnsi="Sylfaen" w:cs="Sylfaen"/>
          <w:lang w:val="ka-GE"/>
        </w:rPr>
        <w:t>წარმოდგენილია</w:t>
      </w:r>
      <w:r w:rsidRPr="00BE4F57">
        <w:rPr>
          <w:rFonts w:ascii="Sylfaen" w:hAnsi="Sylfaen"/>
          <w:lang w:val="ka-GE"/>
        </w:rPr>
        <w:t xml:space="preserve"> </w:t>
      </w:r>
      <w:r w:rsidRPr="00BE4F57">
        <w:rPr>
          <w:rFonts w:ascii="Sylfaen" w:hAnsi="Sylfaen" w:cs="Sylfaen"/>
          <w:lang w:val="ka-GE"/>
        </w:rPr>
        <w:t>რანდომული</w:t>
      </w:r>
      <w:r w:rsidRPr="00BE4F57">
        <w:rPr>
          <w:rFonts w:ascii="Sylfaen" w:hAnsi="Sylfaen"/>
          <w:lang w:val="ka-GE"/>
        </w:rPr>
        <w:t xml:space="preserve"> </w:t>
      </w:r>
      <w:r w:rsidRPr="00BE4F57">
        <w:rPr>
          <w:rFonts w:ascii="Sylfaen" w:hAnsi="Sylfaen" w:cs="Sylfaen"/>
          <w:lang w:val="ka-GE"/>
        </w:rPr>
        <w:t>გლუკოზის</w:t>
      </w:r>
      <w:r w:rsidRPr="00BE4F57">
        <w:rPr>
          <w:rFonts w:ascii="Sylfaen" w:hAnsi="Sylfaen"/>
          <w:lang w:val="ka-GE"/>
        </w:rPr>
        <w:t xml:space="preserve"> </w:t>
      </w:r>
      <w:r w:rsidRPr="00BE4F57">
        <w:rPr>
          <w:rFonts w:ascii="Sylfaen" w:hAnsi="Sylfaen" w:cs="Sylfaen"/>
          <w:lang w:val="ka-GE"/>
        </w:rPr>
        <w:t>დონის</w:t>
      </w:r>
      <w:r w:rsidRPr="00BE4F57">
        <w:rPr>
          <w:rFonts w:ascii="Sylfaen" w:hAnsi="Sylfaen"/>
          <w:lang w:val="ka-GE"/>
        </w:rPr>
        <w:t xml:space="preserve"> </w:t>
      </w:r>
      <w:r w:rsidRPr="00BE4F57">
        <w:rPr>
          <w:rFonts w:ascii="Sylfaen" w:hAnsi="Sylfaen" w:cs="Sylfaen"/>
          <w:lang w:val="ka-GE"/>
        </w:rPr>
        <w:t>მოკლე</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გრძელვადიანი</w:t>
      </w:r>
      <w:r w:rsidRPr="00BE4F57">
        <w:rPr>
          <w:rFonts w:ascii="Sylfaen" w:hAnsi="Sylfaen"/>
          <w:lang w:val="ka-GE"/>
        </w:rPr>
        <w:t xml:space="preserve"> </w:t>
      </w:r>
      <w:r w:rsidRPr="00BE4F57">
        <w:rPr>
          <w:rFonts w:ascii="Sylfaen" w:hAnsi="Sylfaen" w:cs="Sylfaen"/>
          <w:lang w:val="ka-GE"/>
        </w:rPr>
        <w:t>ცვლილებები</w:t>
      </w:r>
      <w:r w:rsidRPr="00BE4F57">
        <w:rPr>
          <w:rFonts w:ascii="Sylfaen" w:hAnsi="Sylfaen"/>
          <w:lang w:val="ka-GE"/>
        </w:rPr>
        <w:t xml:space="preserve"> </w:t>
      </w:r>
      <w:r w:rsidRPr="00BE4F57">
        <w:rPr>
          <w:rFonts w:ascii="Sylfaen" w:hAnsi="Sylfaen" w:cs="Sylfaen"/>
          <w:lang w:val="ka-GE"/>
        </w:rPr>
        <w:t>ოლანზაპინისა</w:t>
      </w:r>
      <w:r w:rsidRPr="00BE4F57">
        <w:rPr>
          <w:rFonts w:ascii="Sylfaen" w:hAnsi="Sylfaen"/>
          <w:lang w:val="ka-GE"/>
        </w:rPr>
        <w:t xml:space="preserve"> </w:t>
      </w:r>
      <w:r w:rsidRPr="00BE4F57">
        <w:rPr>
          <w:rFonts w:ascii="Sylfaen" w:hAnsi="Sylfaen" w:cs="Sylfaen"/>
          <w:lang w:val="ka-GE"/>
        </w:rPr>
        <w:t>და</w:t>
      </w:r>
      <w:r w:rsidRPr="00BE4F57">
        <w:rPr>
          <w:rFonts w:ascii="Sylfaen" w:hAnsi="Sylfaen"/>
          <w:lang w:val="ka-GE"/>
        </w:rPr>
        <w:t xml:space="preserve"> </w:t>
      </w:r>
      <w:r w:rsidRPr="00BE4F57">
        <w:rPr>
          <w:rFonts w:ascii="Sylfaen" w:hAnsi="Sylfaen" w:cs="Sylfaen"/>
          <w:lang w:val="ka-GE"/>
        </w:rPr>
        <w:t>ფლუოქსეტინის</w:t>
      </w:r>
      <w:r w:rsidRPr="00BE4F57">
        <w:rPr>
          <w:rFonts w:ascii="Sylfaen" w:hAnsi="Sylfaen"/>
          <w:lang w:val="ka-GE"/>
        </w:rPr>
        <w:t xml:space="preserve"> </w:t>
      </w:r>
      <w:r w:rsidRPr="00BE4F57">
        <w:rPr>
          <w:rFonts w:ascii="Sylfaen" w:hAnsi="Sylfaen" w:cs="Sylfaen"/>
          <w:lang w:val="ka-GE"/>
        </w:rPr>
        <w:t>კომბინაციის</w:t>
      </w:r>
      <w:r w:rsidRPr="00BE4F57">
        <w:rPr>
          <w:rFonts w:ascii="Sylfaen" w:hAnsi="Sylfaen"/>
          <w:lang w:val="ka-GE"/>
        </w:rPr>
        <w:t xml:space="preserve"> </w:t>
      </w:r>
      <w:r w:rsidRPr="00BE4F57">
        <w:rPr>
          <w:rFonts w:ascii="Sylfaen" w:hAnsi="Sylfaen" w:cs="Sylfaen"/>
          <w:lang w:val="ka-GE"/>
        </w:rPr>
        <w:t>კვლევებიდან</w:t>
      </w:r>
      <w:r w:rsidRPr="00BE4F57">
        <w:rPr>
          <w:rFonts w:ascii="Sylfaen" w:hAnsi="Sylfaen"/>
          <w:lang w:val="ka-GE"/>
        </w:rPr>
        <w:t xml:space="preserve"> </w:t>
      </w:r>
      <w:r w:rsidRPr="00BE4F57">
        <w:rPr>
          <w:rFonts w:ascii="Sylfaen" w:hAnsi="Sylfaen" w:cs="Sylfaen"/>
          <w:lang w:val="ka-GE"/>
        </w:rPr>
        <w:t>მოზრდილებში</w:t>
      </w:r>
      <w:r w:rsidRPr="00BE4F57">
        <w:rPr>
          <w:rFonts w:ascii="Sylfaen" w:hAnsi="Sylfaen"/>
          <w:lang w:val="ka-GE"/>
        </w:rPr>
        <w:t>.</w:t>
      </w:r>
    </w:p>
    <w:p w14:paraId="28A312FB" w14:textId="77777777" w:rsidR="008B1423" w:rsidRPr="00BE4F57" w:rsidRDefault="008B1423" w:rsidP="00A14CA6">
      <w:pPr>
        <w:pStyle w:val="NormalWeb"/>
        <w:spacing w:before="0" w:beforeAutospacing="0" w:after="0" w:afterAutospacing="0"/>
        <w:jc w:val="both"/>
        <w:rPr>
          <w:rFonts w:ascii="Sylfaen" w:hAnsi="Sylfaen"/>
          <w:lang w:val="ka-GE"/>
        </w:rPr>
      </w:pPr>
    </w:p>
    <w:p w14:paraId="131BE59A" w14:textId="77777777" w:rsidR="008B1423" w:rsidRPr="00BE4F57" w:rsidRDefault="008B1423" w:rsidP="00A14CA6">
      <w:pPr>
        <w:pStyle w:val="NormalWeb"/>
        <w:spacing w:before="0" w:beforeAutospacing="0" w:after="0" w:afterAutospacing="0"/>
        <w:jc w:val="both"/>
        <w:rPr>
          <w:rFonts w:ascii="Sylfaen" w:hAnsi="Sylfaen" w:cs="Sylfaen"/>
          <w:b/>
          <w:lang w:val="ka-GE"/>
        </w:rPr>
      </w:pPr>
      <w:r w:rsidRPr="00BE4F57">
        <w:rPr>
          <w:rFonts w:ascii="Sylfaen" w:hAnsi="Sylfaen" w:cs="Sylfaen"/>
          <w:b/>
        </w:rPr>
        <w:lastRenderedPageBreak/>
        <w:t>ცხრილი</w:t>
      </w:r>
      <w:r w:rsidRPr="00BE4F57">
        <w:rPr>
          <w:rFonts w:ascii="Sylfaen" w:hAnsi="Sylfaen"/>
          <w:b/>
        </w:rPr>
        <w:t xml:space="preserve"> 2: </w:t>
      </w:r>
      <w:r w:rsidRPr="00BE4F57">
        <w:rPr>
          <w:rFonts w:ascii="Sylfaen" w:hAnsi="Sylfaen" w:cs="Sylfaen"/>
          <w:b/>
          <w:lang w:val="ka-GE"/>
        </w:rPr>
        <w:t>რანდომული</w:t>
      </w:r>
      <w:r w:rsidRPr="00BE4F57">
        <w:rPr>
          <w:rFonts w:ascii="Sylfaen" w:hAnsi="Sylfaen"/>
          <w:b/>
        </w:rPr>
        <w:t xml:space="preserve"> </w:t>
      </w:r>
      <w:r w:rsidRPr="00BE4F57">
        <w:rPr>
          <w:rFonts w:ascii="Sylfaen" w:hAnsi="Sylfaen" w:cs="Sylfaen"/>
          <w:b/>
        </w:rPr>
        <w:t>გლუკოზის</w:t>
      </w:r>
      <w:r w:rsidRPr="00BE4F57">
        <w:rPr>
          <w:rFonts w:ascii="Sylfaen" w:hAnsi="Sylfaen"/>
          <w:b/>
        </w:rPr>
        <w:t xml:space="preserve"> </w:t>
      </w:r>
      <w:r w:rsidRPr="00BE4F57">
        <w:rPr>
          <w:rFonts w:ascii="Sylfaen" w:hAnsi="Sylfaen" w:cs="Sylfaen"/>
          <w:b/>
        </w:rPr>
        <w:t>დონის</w:t>
      </w:r>
      <w:r w:rsidRPr="00BE4F57">
        <w:rPr>
          <w:rFonts w:ascii="Sylfaen" w:hAnsi="Sylfaen"/>
          <w:b/>
        </w:rPr>
        <w:t xml:space="preserve"> </w:t>
      </w:r>
      <w:r w:rsidRPr="00BE4F57">
        <w:rPr>
          <w:rFonts w:ascii="Sylfaen" w:hAnsi="Sylfaen" w:cs="Sylfaen"/>
          <w:b/>
        </w:rPr>
        <w:t>ცვლილებები</w:t>
      </w:r>
      <w:r w:rsidRPr="00BE4F57">
        <w:rPr>
          <w:rFonts w:ascii="Sylfaen" w:hAnsi="Sylfaen"/>
          <w:b/>
        </w:rPr>
        <w:t xml:space="preserve"> </w:t>
      </w:r>
      <w:r w:rsidRPr="00BE4F57">
        <w:rPr>
          <w:rFonts w:ascii="Sylfaen" w:hAnsi="Sylfaen" w:cs="Sylfaen"/>
          <w:b/>
        </w:rPr>
        <w:t>მოზრდილებში</w:t>
      </w:r>
      <w:r w:rsidRPr="00BE4F57">
        <w:rPr>
          <w:rFonts w:ascii="Sylfaen" w:hAnsi="Sylfaen"/>
          <w:b/>
        </w:rPr>
        <w:t xml:space="preserve"> </w:t>
      </w:r>
      <w:r w:rsidRPr="00BE4F57">
        <w:rPr>
          <w:rFonts w:ascii="Sylfaen" w:hAnsi="Sylfaen" w:cs="Sylfaen"/>
          <w:b/>
        </w:rPr>
        <w:t>ოლანზაპინისა</w:t>
      </w:r>
      <w:r w:rsidRPr="00BE4F57">
        <w:rPr>
          <w:rFonts w:ascii="Sylfaen" w:hAnsi="Sylfaen"/>
          <w:b/>
        </w:rPr>
        <w:t xml:space="preserve"> </w:t>
      </w:r>
      <w:r w:rsidRPr="00BE4F57">
        <w:rPr>
          <w:rFonts w:ascii="Sylfaen" w:hAnsi="Sylfaen" w:cs="Sylfaen"/>
          <w:b/>
        </w:rPr>
        <w:t>და</w:t>
      </w:r>
      <w:r w:rsidRPr="00BE4F57">
        <w:rPr>
          <w:rFonts w:ascii="Sylfaen" w:hAnsi="Sylfaen"/>
          <w:b/>
        </w:rPr>
        <w:t xml:space="preserve"> </w:t>
      </w:r>
      <w:r w:rsidRPr="00BE4F57">
        <w:rPr>
          <w:rFonts w:ascii="Sylfaen" w:hAnsi="Sylfaen" w:cs="Sylfaen"/>
          <w:b/>
        </w:rPr>
        <w:t>ფლუოქსეტინის</w:t>
      </w:r>
      <w:r w:rsidRPr="00BE4F57">
        <w:rPr>
          <w:rFonts w:ascii="Sylfaen" w:hAnsi="Sylfaen"/>
          <w:b/>
        </w:rPr>
        <w:t xml:space="preserve"> </w:t>
      </w:r>
      <w:r w:rsidRPr="00BE4F57">
        <w:rPr>
          <w:rFonts w:ascii="Sylfaen" w:hAnsi="Sylfaen" w:cs="Sylfaen"/>
          <w:b/>
        </w:rPr>
        <w:t>კომბინაციის</w:t>
      </w:r>
      <w:r w:rsidRPr="00BE4F57">
        <w:rPr>
          <w:rFonts w:ascii="Sylfaen" w:hAnsi="Sylfaen"/>
          <w:b/>
        </w:rPr>
        <w:t xml:space="preserve"> </w:t>
      </w:r>
      <w:r w:rsidRPr="00BE4F57">
        <w:rPr>
          <w:rFonts w:ascii="Sylfaen" w:hAnsi="Sylfaen" w:cs="Sylfaen"/>
          <w:b/>
        </w:rPr>
        <w:t>კვლევებიდან</w:t>
      </w:r>
    </w:p>
    <w:p w14:paraId="30440430" w14:textId="77777777" w:rsidR="008B1423" w:rsidRPr="00BE4F57" w:rsidRDefault="008B1423" w:rsidP="00A14CA6">
      <w:pPr>
        <w:pStyle w:val="NormalWeb"/>
        <w:spacing w:before="0" w:beforeAutospacing="0" w:after="0" w:afterAutospacing="0"/>
        <w:jc w:val="both"/>
        <w:rPr>
          <w:rFonts w:ascii="Sylfaen" w:hAnsi="Sylfaen"/>
          <w:b/>
          <w:lang w:val="ka-GE"/>
        </w:rPr>
      </w:pPr>
    </w:p>
    <w:tbl>
      <w:tblPr>
        <w:tblW w:w="9916" w:type="dxa"/>
        <w:tblInd w:w="108" w:type="dxa"/>
        <w:tblLayout w:type="fixed"/>
        <w:tblCellMar>
          <w:left w:w="0" w:type="dxa"/>
          <w:right w:w="0" w:type="dxa"/>
        </w:tblCellMar>
        <w:tblLook w:val="01E0" w:firstRow="1" w:lastRow="1" w:firstColumn="1" w:lastColumn="1" w:noHBand="0" w:noVBand="0"/>
      </w:tblPr>
      <w:tblGrid>
        <w:gridCol w:w="1318"/>
        <w:gridCol w:w="2891"/>
        <w:gridCol w:w="1421"/>
        <w:gridCol w:w="823"/>
        <w:gridCol w:w="1087"/>
        <w:gridCol w:w="1188"/>
        <w:gridCol w:w="1188"/>
      </w:tblGrid>
      <w:tr w:rsidR="008B1423" w:rsidRPr="00BE4F57" w14:paraId="266A4CEF" w14:textId="77777777" w:rsidTr="00882253">
        <w:trPr>
          <w:trHeight w:hRule="exact" w:val="1008"/>
        </w:trPr>
        <w:tc>
          <w:tcPr>
            <w:tcW w:w="1318" w:type="dxa"/>
            <w:tcBorders>
              <w:top w:val="single" w:sz="6" w:space="0" w:color="000000"/>
              <w:left w:val="single" w:sz="6" w:space="0" w:color="000000"/>
              <w:bottom w:val="single" w:sz="6" w:space="0" w:color="000000"/>
              <w:right w:val="single" w:sz="6" w:space="0" w:color="000000"/>
            </w:tcBorders>
          </w:tcPr>
          <w:p w14:paraId="3C61649A" w14:textId="77777777" w:rsidR="008B1423" w:rsidRPr="00BE4F57" w:rsidRDefault="008B1423" w:rsidP="00A14CA6">
            <w:pPr>
              <w:spacing w:after="0" w:line="240" w:lineRule="auto"/>
              <w:rPr>
                <w:rFonts w:ascii="Sylfaen" w:hAnsi="Sylfaen"/>
                <w:sz w:val="24"/>
                <w:szCs w:val="24"/>
              </w:rPr>
            </w:pPr>
          </w:p>
        </w:tc>
        <w:tc>
          <w:tcPr>
            <w:tcW w:w="2891" w:type="dxa"/>
            <w:tcBorders>
              <w:top w:val="single" w:sz="6" w:space="0" w:color="000000"/>
              <w:left w:val="single" w:sz="6" w:space="0" w:color="000000"/>
              <w:bottom w:val="single" w:sz="6" w:space="0" w:color="000000"/>
              <w:right w:val="single" w:sz="6" w:space="0" w:color="000000"/>
            </w:tcBorders>
          </w:tcPr>
          <w:p w14:paraId="7F5D4680"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866A58B" w14:textId="77777777" w:rsidR="008B1423" w:rsidRPr="00BE4F57" w:rsidRDefault="008B1423" w:rsidP="00A14CA6">
            <w:pPr>
              <w:spacing w:after="0" w:line="240" w:lineRule="auto"/>
              <w:rPr>
                <w:rFonts w:ascii="Sylfaen" w:hAnsi="Sylfaen"/>
                <w:sz w:val="24"/>
                <w:szCs w:val="24"/>
              </w:rPr>
            </w:pPr>
          </w:p>
        </w:tc>
        <w:tc>
          <w:tcPr>
            <w:tcW w:w="1910" w:type="dxa"/>
            <w:gridSpan w:val="2"/>
            <w:tcBorders>
              <w:top w:val="single" w:sz="6" w:space="0" w:color="000000"/>
              <w:left w:val="single" w:sz="6" w:space="0" w:color="000000"/>
              <w:bottom w:val="single" w:sz="6" w:space="0" w:color="000000"/>
              <w:right w:val="single" w:sz="6" w:space="0" w:color="000000"/>
            </w:tcBorders>
          </w:tcPr>
          <w:p w14:paraId="54E9A7E0"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12 </w:t>
            </w:r>
            <w:r w:rsidRPr="00BE4F57">
              <w:rPr>
                <w:rFonts w:ascii="Sylfaen" w:hAnsi="Sylfaen" w:cs="Sylfaen"/>
                <w:b/>
                <w:sz w:val="24"/>
                <w:szCs w:val="24"/>
              </w:rPr>
              <w:t>კვირამდე</w:t>
            </w:r>
          </w:p>
        </w:tc>
        <w:tc>
          <w:tcPr>
            <w:tcW w:w="2376" w:type="dxa"/>
            <w:gridSpan w:val="2"/>
            <w:tcBorders>
              <w:top w:val="single" w:sz="6" w:space="0" w:color="000000"/>
              <w:left w:val="single" w:sz="6" w:space="0" w:color="000000"/>
              <w:bottom w:val="single" w:sz="6" w:space="0" w:color="000000"/>
              <w:right w:val="single" w:sz="6" w:space="0" w:color="000000"/>
            </w:tcBorders>
          </w:tcPr>
          <w:p w14:paraId="22DA292C"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cs="Sylfaen"/>
                <w:b/>
                <w:sz w:val="24"/>
                <w:szCs w:val="24"/>
              </w:rPr>
              <w:t>მინიმუმ</w:t>
            </w:r>
            <w:r w:rsidRPr="00BE4F57">
              <w:rPr>
                <w:rFonts w:ascii="Sylfaen" w:hAnsi="Sylfaen"/>
                <w:b/>
                <w:sz w:val="24"/>
                <w:szCs w:val="24"/>
              </w:rPr>
              <w:t xml:space="preserve"> 48 </w:t>
            </w:r>
            <w:r w:rsidRPr="00BE4F57">
              <w:rPr>
                <w:rFonts w:ascii="Sylfaen" w:hAnsi="Sylfaen" w:cs="Sylfaen"/>
                <w:b/>
                <w:sz w:val="24"/>
                <w:szCs w:val="24"/>
              </w:rPr>
              <w:t>კვირის</w:t>
            </w:r>
            <w:r w:rsidRPr="00BE4F57">
              <w:rPr>
                <w:rFonts w:ascii="Sylfaen" w:hAnsi="Sylfaen"/>
                <w:b/>
                <w:sz w:val="24"/>
                <w:szCs w:val="24"/>
              </w:rPr>
              <w:t xml:space="preserve"> </w:t>
            </w:r>
            <w:r w:rsidRPr="00BE4F57">
              <w:rPr>
                <w:rFonts w:ascii="Sylfaen" w:hAnsi="Sylfaen" w:cs="Sylfaen"/>
                <w:b/>
                <w:sz w:val="24"/>
                <w:szCs w:val="24"/>
              </w:rPr>
              <w:t>განმავლობაში</w:t>
            </w:r>
          </w:p>
        </w:tc>
      </w:tr>
      <w:tr w:rsidR="008B1423" w:rsidRPr="00BE4F57" w14:paraId="6A9392F2" w14:textId="77777777" w:rsidTr="00882253">
        <w:trPr>
          <w:trHeight w:hRule="exact" w:val="979"/>
        </w:trPr>
        <w:tc>
          <w:tcPr>
            <w:tcW w:w="1318" w:type="dxa"/>
            <w:tcBorders>
              <w:top w:val="single" w:sz="6" w:space="0" w:color="000000"/>
              <w:left w:val="single" w:sz="6" w:space="0" w:color="000000"/>
              <w:bottom w:val="single" w:sz="6" w:space="0" w:color="000000"/>
              <w:right w:val="single" w:sz="6" w:space="0" w:color="000000"/>
            </w:tcBorders>
          </w:tcPr>
          <w:p w14:paraId="57163F65"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0B8AE5FA"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tcBorders>
              <w:top w:val="single" w:sz="6" w:space="0" w:color="000000"/>
              <w:left w:val="single" w:sz="6" w:space="0" w:color="000000"/>
              <w:bottom w:val="single" w:sz="6" w:space="0" w:color="000000"/>
              <w:right w:val="single" w:sz="6" w:space="0" w:color="000000"/>
            </w:tcBorders>
          </w:tcPr>
          <w:p w14:paraId="6AA56AF4"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67050940"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823" w:type="dxa"/>
            <w:tcBorders>
              <w:top w:val="single" w:sz="6" w:space="0" w:color="000000"/>
              <w:left w:val="single" w:sz="6" w:space="0" w:color="000000"/>
              <w:bottom w:val="single" w:sz="6" w:space="0" w:color="000000"/>
              <w:right w:val="single" w:sz="6" w:space="0" w:color="000000"/>
            </w:tcBorders>
          </w:tcPr>
          <w:p w14:paraId="4740CAB2"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087" w:type="dxa"/>
            <w:tcBorders>
              <w:top w:val="single" w:sz="6" w:space="0" w:color="000000"/>
              <w:left w:val="single" w:sz="6" w:space="0" w:color="000000"/>
              <w:bottom w:val="single" w:sz="6" w:space="0" w:color="000000"/>
              <w:right w:val="single" w:sz="6" w:space="0" w:color="000000"/>
            </w:tcBorders>
          </w:tcPr>
          <w:p w14:paraId="1BACDE77"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1188" w:type="dxa"/>
            <w:tcBorders>
              <w:top w:val="single" w:sz="6" w:space="0" w:color="000000"/>
              <w:left w:val="single" w:sz="6" w:space="0" w:color="000000"/>
              <w:bottom w:val="single" w:sz="6" w:space="0" w:color="000000"/>
              <w:right w:val="single" w:sz="6" w:space="0" w:color="000000"/>
            </w:tcBorders>
          </w:tcPr>
          <w:p w14:paraId="51DF3FDD"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88" w:type="dxa"/>
            <w:tcBorders>
              <w:top w:val="single" w:sz="6" w:space="0" w:color="000000"/>
              <w:left w:val="single" w:sz="6" w:space="0" w:color="000000"/>
              <w:bottom w:val="single" w:sz="6" w:space="0" w:color="000000"/>
              <w:right w:val="single" w:sz="6" w:space="0" w:color="000000"/>
            </w:tcBorders>
          </w:tcPr>
          <w:p w14:paraId="7CA1E9CF"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6CA45A84" w14:textId="77777777" w:rsidTr="00460C91">
        <w:trPr>
          <w:trHeight w:hRule="exact" w:val="1432"/>
        </w:trPr>
        <w:tc>
          <w:tcPr>
            <w:tcW w:w="1318" w:type="dxa"/>
            <w:vMerge w:val="restart"/>
            <w:tcBorders>
              <w:top w:val="single" w:sz="6" w:space="0" w:color="000000"/>
              <w:left w:val="single" w:sz="6" w:space="0" w:color="000000"/>
              <w:right w:val="single" w:sz="6" w:space="0" w:color="000000"/>
            </w:tcBorders>
          </w:tcPr>
          <w:p w14:paraId="3A794BB8" w14:textId="77777777" w:rsidR="008B1423" w:rsidRPr="00BE4F57" w:rsidRDefault="008B1423" w:rsidP="00A14CA6">
            <w:pPr>
              <w:pStyle w:val="TableParagraph"/>
              <w:autoSpaceDE/>
              <w:autoSpaceDN/>
              <w:rPr>
                <w:rFonts w:ascii="Sylfaen" w:hAnsi="Sylfaen"/>
                <w:sz w:val="24"/>
                <w:szCs w:val="24"/>
              </w:rPr>
            </w:pPr>
          </w:p>
          <w:p w14:paraId="5A5AAAB5" w14:textId="77777777" w:rsidR="008B1423" w:rsidRPr="00BE4F57" w:rsidRDefault="008B1423" w:rsidP="00A14CA6">
            <w:pPr>
              <w:pStyle w:val="TableParagraph"/>
              <w:autoSpaceDE/>
              <w:autoSpaceDN/>
              <w:rPr>
                <w:rFonts w:ascii="Sylfaen" w:hAnsi="Sylfaen"/>
                <w:sz w:val="24"/>
                <w:szCs w:val="24"/>
              </w:rPr>
            </w:pPr>
          </w:p>
          <w:p w14:paraId="6353CBED"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რანდომული გლუკოზა</w:t>
            </w:r>
          </w:p>
        </w:tc>
        <w:tc>
          <w:tcPr>
            <w:tcW w:w="2891" w:type="dxa"/>
            <w:vMerge w:val="restart"/>
            <w:tcBorders>
              <w:top w:val="single" w:sz="6" w:space="0" w:color="000000"/>
              <w:left w:val="single" w:sz="6" w:space="0" w:color="000000"/>
              <w:right w:val="single" w:sz="6" w:space="0" w:color="000000"/>
            </w:tcBorders>
          </w:tcPr>
          <w:p w14:paraId="20C32BB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7A703B61"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23" w:type="dxa"/>
            <w:tcBorders>
              <w:top w:val="single" w:sz="6" w:space="0" w:color="000000"/>
              <w:left w:val="single" w:sz="6" w:space="0" w:color="000000"/>
              <w:bottom w:val="single" w:sz="6" w:space="0" w:color="000000"/>
              <w:right w:val="single" w:sz="6" w:space="0" w:color="000000"/>
            </w:tcBorders>
          </w:tcPr>
          <w:p w14:paraId="3EA2F1C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609</w:t>
            </w:r>
          </w:p>
        </w:tc>
        <w:tc>
          <w:tcPr>
            <w:tcW w:w="1087" w:type="dxa"/>
            <w:tcBorders>
              <w:top w:val="single" w:sz="6" w:space="0" w:color="000000"/>
              <w:left w:val="single" w:sz="6" w:space="0" w:color="000000"/>
              <w:bottom w:val="single" w:sz="6" w:space="0" w:color="000000"/>
              <w:right w:val="single" w:sz="6" w:space="0" w:color="000000"/>
            </w:tcBorders>
          </w:tcPr>
          <w:p w14:paraId="0C220463"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2.3%</w:t>
            </w:r>
          </w:p>
        </w:tc>
        <w:tc>
          <w:tcPr>
            <w:tcW w:w="1188" w:type="dxa"/>
            <w:tcBorders>
              <w:top w:val="single" w:sz="6" w:space="0" w:color="000000"/>
              <w:left w:val="single" w:sz="6" w:space="0" w:color="000000"/>
              <w:bottom w:val="single" w:sz="6" w:space="0" w:color="000000"/>
              <w:right w:val="single" w:sz="6" w:space="0" w:color="000000"/>
            </w:tcBorders>
          </w:tcPr>
          <w:p w14:paraId="100EFA1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382</w:t>
            </w:r>
          </w:p>
        </w:tc>
        <w:tc>
          <w:tcPr>
            <w:tcW w:w="1188" w:type="dxa"/>
            <w:tcBorders>
              <w:top w:val="single" w:sz="6" w:space="0" w:color="000000"/>
              <w:left w:val="single" w:sz="6" w:space="0" w:color="000000"/>
              <w:bottom w:val="single" w:sz="6" w:space="0" w:color="000000"/>
              <w:right w:val="single" w:sz="6" w:space="0" w:color="000000"/>
            </w:tcBorders>
          </w:tcPr>
          <w:p w14:paraId="299C4F8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3.1%</w:t>
            </w:r>
          </w:p>
        </w:tc>
      </w:tr>
      <w:tr w:rsidR="008B1423" w:rsidRPr="00BE4F57" w14:paraId="43C6E944" w14:textId="77777777" w:rsidTr="00882253">
        <w:trPr>
          <w:trHeight w:hRule="exact" w:val="471"/>
        </w:trPr>
        <w:tc>
          <w:tcPr>
            <w:tcW w:w="1318" w:type="dxa"/>
            <w:vMerge/>
            <w:tcBorders>
              <w:left w:val="single" w:sz="6" w:space="0" w:color="000000"/>
              <w:right w:val="single" w:sz="6" w:space="0" w:color="000000"/>
            </w:tcBorders>
          </w:tcPr>
          <w:p w14:paraId="78315DAE"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18E3D36D"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7732AFC5"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6E8E1B17"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346</w:t>
            </w:r>
          </w:p>
        </w:tc>
        <w:tc>
          <w:tcPr>
            <w:tcW w:w="1087" w:type="dxa"/>
            <w:tcBorders>
              <w:top w:val="single" w:sz="6" w:space="0" w:color="000000"/>
              <w:left w:val="single" w:sz="6" w:space="0" w:color="000000"/>
              <w:bottom w:val="single" w:sz="6" w:space="0" w:color="000000"/>
              <w:right w:val="single" w:sz="6" w:space="0" w:color="000000"/>
            </w:tcBorders>
          </w:tcPr>
          <w:p w14:paraId="5CB22B6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0.3%</w:t>
            </w:r>
          </w:p>
        </w:tc>
        <w:tc>
          <w:tcPr>
            <w:tcW w:w="1188" w:type="dxa"/>
            <w:tcBorders>
              <w:top w:val="single" w:sz="6" w:space="0" w:color="000000"/>
              <w:left w:val="single" w:sz="6" w:space="0" w:color="000000"/>
              <w:bottom w:val="single" w:sz="6" w:space="0" w:color="000000"/>
              <w:right w:val="single" w:sz="6" w:space="0" w:color="000000"/>
            </w:tcBorders>
          </w:tcPr>
          <w:p w14:paraId="3A3702F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c>
          <w:tcPr>
            <w:tcW w:w="1188" w:type="dxa"/>
            <w:tcBorders>
              <w:top w:val="single" w:sz="6" w:space="0" w:color="000000"/>
              <w:left w:val="single" w:sz="6" w:space="0" w:color="000000"/>
              <w:bottom w:val="single" w:sz="6" w:space="0" w:color="000000"/>
              <w:right w:val="single" w:sz="6" w:space="0" w:color="000000"/>
            </w:tcBorders>
          </w:tcPr>
          <w:p w14:paraId="6B7A096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r>
      <w:tr w:rsidR="008B1423" w:rsidRPr="00BE4F57" w14:paraId="241C9A72" w14:textId="77777777" w:rsidTr="00460C91">
        <w:trPr>
          <w:trHeight w:hRule="exact" w:val="1488"/>
        </w:trPr>
        <w:tc>
          <w:tcPr>
            <w:tcW w:w="1318" w:type="dxa"/>
            <w:vMerge/>
            <w:tcBorders>
              <w:left w:val="single" w:sz="6" w:space="0" w:color="000000"/>
              <w:right w:val="single" w:sz="6" w:space="0" w:color="000000"/>
            </w:tcBorders>
          </w:tcPr>
          <w:p w14:paraId="40EFA880"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right w:val="single" w:sz="6" w:space="0" w:color="000000"/>
            </w:tcBorders>
          </w:tcPr>
          <w:p w14:paraId="4520055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(≥140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&lt;200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 xml:space="preserve"> ≥200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78791E49"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23" w:type="dxa"/>
            <w:tcBorders>
              <w:top w:val="single" w:sz="6" w:space="0" w:color="000000"/>
              <w:left w:val="single" w:sz="6" w:space="0" w:color="000000"/>
              <w:bottom w:val="single" w:sz="6" w:space="0" w:color="000000"/>
              <w:right w:val="single" w:sz="6" w:space="0" w:color="000000"/>
            </w:tcBorders>
          </w:tcPr>
          <w:p w14:paraId="598BCE4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44</w:t>
            </w:r>
          </w:p>
        </w:tc>
        <w:tc>
          <w:tcPr>
            <w:tcW w:w="1087" w:type="dxa"/>
            <w:tcBorders>
              <w:top w:val="single" w:sz="6" w:space="0" w:color="000000"/>
              <w:left w:val="single" w:sz="6" w:space="0" w:color="000000"/>
              <w:bottom w:val="single" w:sz="6" w:space="0" w:color="000000"/>
              <w:right w:val="single" w:sz="6" w:space="0" w:color="000000"/>
            </w:tcBorders>
          </w:tcPr>
          <w:p w14:paraId="637477A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34.1%</w:t>
            </w:r>
          </w:p>
        </w:tc>
        <w:tc>
          <w:tcPr>
            <w:tcW w:w="1188" w:type="dxa"/>
            <w:tcBorders>
              <w:top w:val="single" w:sz="6" w:space="0" w:color="000000"/>
              <w:left w:val="single" w:sz="6" w:space="0" w:color="000000"/>
              <w:bottom w:val="single" w:sz="6" w:space="0" w:color="000000"/>
              <w:right w:val="single" w:sz="6" w:space="0" w:color="000000"/>
            </w:tcBorders>
          </w:tcPr>
          <w:p w14:paraId="061EBB3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27</w:t>
            </w:r>
          </w:p>
        </w:tc>
        <w:tc>
          <w:tcPr>
            <w:tcW w:w="1188" w:type="dxa"/>
            <w:tcBorders>
              <w:top w:val="single" w:sz="6" w:space="0" w:color="000000"/>
              <w:left w:val="single" w:sz="6" w:space="0" w:color="000000"/>
              <w:bottom w:val="single" w:sz="6" w:space="0" w:color="000000"/>
              <w:right w:val="single" w:sz="6" w:space="0" w:color="000000"/>
            </w:tcBorders>
          </w:tcPr>
          <w:p w14:paraId="64016215"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37.0%</w:t>
            </w:r>
          </w:p>
        </w:tc>
      </w:tr>
      <w:tr w:rsidR="008B1423" w:rsidRPr="00BE4F57" w14:paraId="75C0BA13" w14:textId="77777777" w:rsidTr="00882253">
        <w:trPr>
          <w:trHeight w:hRule="exact" w:val="552"/>
        </w:trPr>
        <w:tc>
          <w:tcPr>
            <w:tcW w:w="1318" w:type="dxa"/>
            <w:vMerge/>
            <w:tcBorders>
              <w:left w:val="single" w:sz="6" w:space="0" w:color="000000"/>
              <w:bottom w:val="single" w:sz="6" w:space="0" w:color="000000"/>
              <w:right w:val="single" w:sz="6" w:space="0" w:color="000000"/>
            </w:tcBorders>
          </w:tcPr>
          <w:p w14:paraId="785DC095"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3FB204AC"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2B6A0DBB"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1E9D9135"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28</w:t>
            </w:r>
          </w:p>
        </w:tc>
        <w:tc>
          <w:tcPr>
            <w:tcW w:w="1087" w:type="dxa"/>
            <w:tcBorders>
              <w:top w:val="single" w:sz="6" w:space="0" w:color="000000"/>
              <w:left w:val="single" w:sz="6" w:space="0" w:color="000000"/>
              <w:bottom w:val="single" w:sz="6" w:space="0" w:color="000000"/>
              <w:right w:val="single" w:sz="6" w:space="0" w:color="000000"/>
            </w:tcBorders>
          </w:tcPr>
          <w:p w14:paraId="1DD862A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3.6%</w:t>
            </w:r>
          </w:p>
        </w:tc>
        <w:tc>
          <w:tcPr>
            <w:tcW w:w="1188" w:type="dxa"/>
            <w:tcBorders>
              <w:top w:val="single" w:sz="6" w:space="0" w:color="000000"/>
              <w:left w:val="single" w:sz="6" w:space="0" w:color="000000"/>
              <w:bottom w:val="single" w:sz="6" w:space="0" w:color="000000"/>
              <w:right w:val="single" w:sz="6" w:space="0" w:color="000000"/>
            </w:tcBorders>
          </w:tcPr>
          <w:p w14:paraId="114DE76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c>
          <w:tcPr>
            <w:tcW w:w="1188" w:type="dxa"/>
            <w:tcBorders>
              <w:top w:val="single" w:sz="6" w:space="0" w:color="000000"/>
              <w:left w:val="single" w:sz="6" w:space="0" w:color="000000"/>
              <w:bottom w:val="single" w:sz="6" w:space="0" w:color="000000"/>
              <w:right w:val="single" w:sz="6" w:space="0" w:color="000000"/>
            </w:tcBorders>
          </w:tcPr>
          <w:p w14:paraId="74B242FC"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r>
    </w:tbl>
    <w:p w14:paraId="7DAF66E8" w14:textId="77777777" w:rsidR="008B1423" w:rsidRPr="00BE4F57" w:rsidRDefault="008B1423" w:rsidP="00A14CA6">
      <w:pPr>
        <w:spacing w:after="0" w:line="240" w:lineRule="auto"/>
        <w:jc w:val="both"/>
        <w:rPr>
          <w:rFonts w:ascii="Sylfaen" w:hAnsi="Sylfaen"/>
          <w:sz w:val="24"/>
          <w:szCs w:val="24"/>
          <w:lang w:val="ka-GE"/>
        </w:rPr>
      </w:pPr>
    </w:p>
    <w:p w14:paraId="4D0BC3CC"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sz w:val="24"/>
          <w:szCs w:val="24"/>
          <w:lang w:val="ka-GE"/>
        </w:rPr>
        <w:t>არ არის ხელმისაწვდომი</w:t>
      </w:r>
    </w:p>
    <w:p w14:paraId="57634A24" w14:textId="77777777" w:rsidR="008B1423" w:rsidRPr="00BE4F57" w:rsidRDefault="008B1423" w:rsidP="00A14CA6">
      <w:pPr>
        <w:pStyle w:val="BodyText"/>
        <w:spacing w:after="0" w:line="240" w:lineRule="auto"/>
        <w:rPr>
          <w:rFonts w:ascii="Sylfaen" w:hAnsi="Sylfaen"/>
          <w:sz w:val="24"/>
          <w:szCs w:val="24"/>
        </w:rPr>
      </w:pPr>
    </w:p>
    <w:p w14:paraId="17202989" w14:textId="77777777" w:rsidR="008B1423" w:rsidRPr="00BE4F57" w:rsidRDefault="008B1423" w:rsidP="00A14CA6">
      <w:pPr>
        <w:pStyle w:val="BodyText"/>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კომბინაციის 47-კვირიან კვლევაში, უზმოზე გლუკოზის საშუალო ცვლილება საწყისიდან საბოლოო წერტილამდე იყო +4.81 მგ/დლ (n=130). ცხრილი 3 აჩვენებს უზმოზე გლუკოზის კატეგორიულ ცვლილებებს.</w:t>
      </w:r>
    </w:p>
    <w:p w14:paraId="47E63A2C" w14:textId="77777777" w:rsidR="008B1423" w:rsidRPr="00BE4F57" w:rsidRDefault="008B1423" w:rsidP="00A14CA6">
      <w:pPr>
        <w:pStyle w:val="BodyText"/>
        <w:spacing w:after="0" w:line="240" w:lineRule="auto"/>
        <w:rPr>
          <w:rFonts w:ascii="Sylfaen" w:hAnsi="Sylfaen"/>
          <w:sz w:val="24"/>
          <w:szCs w:val="24"/>
          <w:lang w:val="ka-GE"/>
        </w:rPr>
      </w:pPr>
    </w:p>
    <w:p w14:paraId="665275CF" w14:textId="77777777" w:rsidR="008B1423" w:rsidRPr="00BE4F57" w:rsidRDefault="008B1423" w:rsidP="00A14CA6">
      <w:pPr>
        <w:pStyle w:val="BodyText"/>
        <w:spacing w:after="0" w:line="240" w:lineRule="auto"/>
        <w:jc w:val="both"/>
        <w:rPr>
          <w:rFonts w:ascii="Sylfaen" w:hAnsi="Sylfaen"/>
          <w:b/>
          <w:sz w:val="24"/>
          <w:szCs w:val="24"/>
          <w:lang w:val="ka-GE"/>
        </w:rPr>
      </w:pPr>
      <w:r w:rsidRPr="00BE4F57">
        <w:rPr>
          <w:rFonts w:ascii="Sylfaen" w:hAnsi="Sylfaen"/>
          <w:b/>
          <w:sz w:val="24"/>
          <w:szCs w:val="24"/>
          <w:lang w:val="ka-GE"/>
        </w:rPr>
        <w:t>ცხრილი 3. უზმოზე გლუკოზის დონის ცვლილებები მოზრდილი ადამიანის ოლანზაპინისა და ფლუოქსეტინის კომბინაციის ერთჯერად კვლევაში</w:t>
      </w:r>
    </w:p>
    <w:p w14:paraId="047E7F83" w14:textId="77777777" w:rsidR="008B1423" w:rsidRPr="00BE4F57" w:rsidRDefault="008B1423" w:rsidP="00A14CA6">
      <w:pPr>
        <w:spacing w:after="0" w:line="240" w:lineRule="auto"/>
        <w:jc w:val="both"/>
        <w:rPr>
          <w:rFonts w:ascii="Sylfaen" w:hAnsi="Sylfaen"/>
          <w:sz w:val="24"/>
          <w:szCs w:val="24"/>
          <w:lang w:val="ka-GE"/>
        </w:rPr>
      </w:pPr>
    </w:p>
    <w:tbl>
      <w:tblPr>
        <w:tblW w:w="9681" w:type="dxa"/>
        <w:tblInd w:w="108" w:type="dxa"/>
        <w:tblLayout w:type="fixed"/>
        <w:tblCellMar>
          <w:left w:w="0" w:type="dxa"/>
          <w:right w:w="0" w:type="dxa"/>
        </w:tblCellMar>
        <w:tblLook w:val="01E0" w:firstRow="1" w:lastRow="1" w:firstColumn="1" w:lastColumn="1" w:noHBand="0" w:noVBand="0"/>
      </w:tblPr>
      <w:tblGrid>
        <w:gridCol w:w="1318"/>
        <w:gridCol w:w="2891"/>
        <w:gridCol w:w="1421"/>
        <w:gridCol w:w="823"/>
        <w:gridCol w:w="1244"/>
        <w:gridCol w:w="850"/>
        <w:gridCol w:w="1134"/>
      </w:tblGrid>
      <w:tr w:rsidR="008B1423" w:rsidRPr="00BE4F57" w14:paraId="156FCA3F" w14:textId="77777777" w:rsidTr="00882253">
        <w:trPr>
          <w:trHeight w:hRule="exact" w:val="1493"/>
        </w:trPr>
        <w:tc>
          <w:tcPr>
            <w:tcW w:w="1318" w:type="dxa"/>
            <w:tcBorders>
              <w:top w:val="single" w:sz="6" w:space="0" w:color="000000"/>
              <w:left w:val="single" w:sz="6" w:space="0" w:color="000000"/>
              <w:bottom w:val="single" w:sz="6" w:space="0" w:color="000000"/>
              <w:right w:val="single" w:sz="6" w:space="0" w:color="000000"/>
            </w:tcBorders>
          </w:tcPr>
          <w:p w14:paraId="03EE7AFE" w14:textId="77777777" w:rsidR="008B1423" w:rsidRPr="00BE4F57" w:rsidRDefault="008B1423" w:rsidP="00A14CA6">
            <w:pPr>
              <w:spacing w:after="0" w:line="240" w:lineRule="auto"/>
              <w:rPr>
                <w:rFonts w:ascii="Sylfaen" w:hAnsi="Sylfaen"/>
                <w:sz w:val="24"/>
                <w:szCs w:val="24"/>
              </w:rPr>
            </w:pPr>
          </w:p>
        </w:tc>
        <w:tc>
          <w:tcPr>
            <w:tcW w:w="2891" w:type="dxa"/>
            <w:tcBorders>
              <w:top w:val="single" w:sz="6" w:space="0" w:color="000000"/>
              <w:left w:val="single" w:sz="6" w:space="0" w:color="000000"/>
              <w:bottom w:val="single" w:sz="6" w:space="0" w:color="000000"/>
              <w:right w:val="single" w:sz="6" w:space="0" w:color="000000"/>
            </w:tcBorders>
          </w:tcPr>
          <w:p w14:paraId="6EF110CD"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11E80F5" w14:textId="77777777" w:rsidR="008B1423" w:rsidRPr="00BE4F57" w:rsidRDefault="008B1423" w:rsidP="00A14CA6">
            <w:pPr>
              <w:spacing w:after="0" w:line="240" w:lineRule="auto"/>
              <w:rPr>
                <w:rFonts w:ascii="Sylfaen" w:hAnsi="Sylfaen"/>
                <w:sz w:val="24"/>
                <w:szCs w:val="24"/>
              </w:rPr>
            </w:pPr>
          </w:p>
        </w:tc>
        <w:tc>
          <w:tcPr>
            <w:tcW w:w="2067" w:type="dxa"/>
            <w:gridSpan w:val="2"/>
            <w:tcBorders>
              <w:top w:val="single" w:sz="6" w:space="0" w:color="000000"/>
              <w:left w:val="single" w:sz="6" w:space="0" w:color="000000"/>
              <w:bottom w:val="single" w:sz="6" w:space="0" w:color="000000"/>
              <w:right w:val="single" w:sz="6" w:space="0" w:color="000000"/>
            </w:tcBorders>
          </w:tcPr>
          <w:p w14:paraId="7A4613D6"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27</w:t>
            </w:r>
            <w:r w:rsidRPr="00BE4F57">
              <w:rPr>
                <w:rFonts w:ascii="Sylfaen" w:hAnsi="Sylfaen"/>
                <w:b/>
                <w:sz w:val="24"/>
                <w:szCs w:val="24"/>
              </w:rPr>
              <w:t xml:space="preserve"> </w:t>
            </w:r>
            <w:r w:rsidRPr="00BE4F57">
              <w:rPr>
                <w:rFonts w:ascii="Sylfaen" w:hAnsi="Sylfaen" w:cs="Sylfaen"/>
                <w:b/>
                <w:sz w:val="24"/>
                <w:szCs w:val="24"/>
              </w:rPr>
              <w:t>კვირამდე</w:t>
            </w:r>
            <w:r w:rsidRPr="00BE4F57">
              <w:rPr>
                <w:rFonts w:ascii="Sylfaen" w:hAnsi="Sylfaen" w:cs="Sylfaen"/>
                <w:b/>
                <w:sz w:val="24"/>
                <w:szCs w:val="24"/>
                <w:lang w:val="ka-GE"/>
              </w:rPr>
              <w:t xml:space="preserve"> (რანდომიზებული, ორმაგად ბრმა ფაზა)</w:t>
            </w:r>
          </w:p>
        </w:tc>
        <w:tc>
          <w:tcPr>
            <w:tcW w:w="1984" w:type="dxa"/>
            <w:gridSpan w:val="2"/>
            <w:tcBorders>
              <w:top w:val="single" w:sz="6" w:space="0" w:color="000000"/>
              <w:left w:val="single" w:sz="6" w:space="0" w:color="000000"/>
              <w:bottom w:val="single" w:sz="6" w:space="0" w:color="000000"/>
              <w:right w:val="single" w:sz="6" w:space="0" w:color="000000"/>
            </w:tcBorders>
          </w:tcPr>
          <w:p w14:paraId="6D73FAF7"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47</w:t>
            </w:r>
            <w:r w:rsidRPr="00BE4F57">
              <w:rPr>
                <w:rFonts w:ascii="Sylfaen" w:hAnsi="Sylfaen"/>
                <w:b/>
                <w:sz w:val="24"/>
                <w:szCs w:val="24"/>
              </w:rPr>
              <w:t xml:space="preserve"> </w:t>
            </w:r>
            <w:r w:rsidRPr="00BE4F57">
              <w:rPr>
                <w:rFonts w:ascii="Sylfaen" w:hAnsi="Sylfaen" w:cs="Sylfaen"/>
                <w:b/>
                <w:sz w:val="24"/>
                <w:szCs w:val="24"/>
              </w:rPr>
              <w:t>კვირ</w:t>
            </w:r>
            <w:r w:rsidRPr="00BE4F57">
              <w:rPr>
                <w:rFonts w:ascii="Sylfaen" w:hAnsi="Sylfaen" w:cs="Sylfaen"/>
                <w:b/>
                <w:sz w:val="24"/>
                <w:szCs w:val="24"/>
                <w:lang w:val="ka-GE"/>
              </w:rPr>
              <w:t>ამდე</w:t>
            </w:r>
          </w:p>
        </w:tc>
      </w:tr>
      <w:tr w:rsidR="008B1423" w:rsidRPr="00BE4F57" w14:paraId="1CDA7E52" w14:textId="77777777" w:rsidTr="00882253">
        <w:trPr>
          <w:trHeight w:hRule="exact" w:val="979"/>
        </w:trPr>
        <w:tc>
          <w:tcPr>
            <w:tcW w:w="1318" w:type="dxa"/>
            <w:tcBorders>
              <w:top w:val="single" w:sz="6" w:space="0" w:color="000000"/>
              <w:left w:val="single" w:sz="6" w:space="0" w:color="000000"/>
              <w:bottom w:val="single" w:sz="6" w:space="0" w:color="000000"/>
              <w:right w:val="single" w:sz="6" w:space="0" w:color="000000"/>
            </w:tcBorders>
          </w:tcPr>
          <w:p w14:paraId="7CAE97BE"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51005174"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tcBorders>
              <w:top w:val="single" w:sz="6" w:space="0" w:color="000000"/>
              <w:left w:val="single" w:sz="6" w:space="0" w:color="000000"/>
              <w:bottom w:val="single" w:sz="6" w:space="0" w:color="000000"/>
              <w:right w:val="single" w:sz="6" w:space="0" w:color="000000"/>
            </w:tcBorders>
          </w:tcPr>
          <w:p w14:paraId="1441ABAE"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3663F233"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823" w:type="dxa"/>
            <w:tcBorders>
              <w:top w:val="single" w:sz="6" w:space="0" w:color="000000"/>
              <w:left w:val="single" w:sz="6" w:space="0" w:color="000000"/>
              <w:bottom w:val="single" w:sz="6" w:space="0" w:color="000000"/>
              <w:right w:val="single" w:sz="6" w:space="0" w:color="000000"/>
            </w:tcBorders>
          </w:tcPr>
          <w:p w14:paraId="334F6D03"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244" w:type="dxa"/>
            <w:tcBorders>
              <w:top w:val="single" w:sz="6" w:space="0" w:color="000000"/>
              <w:left w:val="single" w:sz="6" w:space="0" w:color="000000"/>
              <w:bottom w:val="single" w:sz="6" w:space="0" w:color="000000"/>
              <w:right w:val="single" w:sz="6" w:space="0" w:color="000000"/>
            </w:tcBorders>
          </w:tcPr>
          <w:p w14:paraId="0915E7CE"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850" w:type="dxa"/>
            <w:tcBorders>
              <w:top w:val="single" w:sz="6" w:space="0" w:color="000000"/>
              <w:left w:val="single" w:sz="6" w:space="0" w:color="000000"/>
              <w:bottom w:val="single" w:sz="6" w:space="0" w:color="000000"/>
              <w:right w:val="single" w:sz="6" w:space="0" w:color="000000"/>
            </w:tcBorders>
          </w:tcPr>
          <w:p w14:paraId="286A89E7"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34" w:type="dxa"/>
            <w:tcBorders>
              <w:top w:val="single" w:sz="6" w:space="0" w:color="000000"/>
              <w:left w:val="single" w:sz="6" w:space="0" w:color="000000"/>
              <w:bottom w:val="single" w:sz="6" w:space="0" w:color="000000"/>
              <w:right w:val="single" w:sz="6" w:space="0" w:color="000000"/>
            </w:tcBorders>
          </w:tcPr>
          <w:p w14:paraId="1A392203"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360BE7EC" w14:textId="77777777" w:rsidTr="00EF4B35">
        <w:trPr>
          <w:trHeight w:hRule="exact" w:val="1572"/>
        </w:trPr>
        <w:tc>
          <w:tcPr>
            <w:tcW w:w="1318" w:type="dxa"/>
            <w:vMerge w:val="restart"/>
            <w:tcBorders>
              <w:top w:val="single" w:sz="6" w:space="0" w:color="000000"/>
              <w:left w:val="single" w:sz="6" w:space="0" w:color="000000"/>
              <w:right w:val="single" w:sz="6" w:space="0" w:color="000000"/>
            </w:tcBorders>
          </w:tcPr>
          <w:p w14:paraId="052CD03B" w14:textId="77777777" w:rsidR="008B1423" w:rsidRPr="00BE4F57" w:rsidRDefault="008B1423" w:rsidP="00A14CA6">
            <w:pPr>
              <w:pStyle w:val="TableParagraph"/>
              <w:autoSpaceDE/>
              <w:autoSpaceDN/>
              <w:rPr>
                <w:rFonts w:ascii="Sylfaen" w:hAnsi="Sylfaen"/>
                <w:sz w:val="24"/>
                <w:szCs w:val="24"/>
              </w:rPr>
            </w:pPr>
          </w:p>
          <w:p w14:paraId="233D2301" w14:textId="77777777" w:rsidR="008B1423" w:rsidRPr="00BE4F57" w:rsidRDefault="008B1423" w:rsidP="00A14CA6">
            <w:pPr>
              <w:pStyle w:val="TableParagraph"/>
              <w:autoSpaceDE/>
              <w:autoSpaceDN/>
              <w:rPr>
                <w:rFonts w:ascii="Sylfaen" w:hAnsi="Sylfaen"/>
                <w:sz w:val="24"/>
                <w:szCs w:val="24"/>
              </w:rPr>
            </w:pPr>
          </w:p>
          <w:p w14:paraId="7B74A059"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სისხლში გლუკოზა უზმოზე</w:t>
            </w:r>
          </w:p>
        </w:tc>
        <w:tc>
          <w:tcPr>
            <w:tcW w:w="2891" w:type="dxa"/>
            <w:vMerge w:val="restart"/>
            <w:tcBorders>
              <w:top w:val="single" w:sz="6" w:space="0" w:color="000000"/>
              <w:left w:val="single" w:sz="6" w:space="0" w:color="000000"/>
              <w:right w:val="single" w:sz="6" w:space="0" w:color="000000"/>
            </w:tcBorders>
          </w:tcPr>
          <w:p w14:paraId="44385F0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w:t>
            </w:r>
            <w:r w:rsidRPr="00BE4F57">
              <w:rPr>
                <w:rFonts w:ascii="Sylfaen" w:hAnsi="Sylfaen"/>
                <w:sz w:val="24"/>
                <w:szCs w:val="24"/>
                <w:lang w:val="ka-GE"/>
              </w:rPr>
              <w:t>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126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41A1A020"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23" w:type="dxa"/>
            <w:tcBorders>
              <w:top w:val="single" w:sz="6" w:space="0" w:color="000000"/>
              <w:left w:val="single" w:sz="6" w:space="0" w:color="000000"/>
              <w:bottom w:val="single" w:sz="6" w:space="0" w:color="000000"/>
              <w:right w:val="single" w:sz="6" w:space="0" w:color="000000"/>
            </w:tcBorders>
          </w:tcPr>
          <w:p w14:paraId="7088C1A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90</w:t>
            </w:r>
          </w:p>
        </w:tc>
        <w:tc>
          <w:tcPr>
            <w:tcW w:w="1244" w:type="dxa"/>
            <w:tcBorders>
              <w:top w:val="single" w:sz="6" w:space="0" w:color="000000"/>
              <w:left w:val="single" w:sz="6" w:space="0" w:color="000000"/>
              <w:bottom w:val="single" w:sz="6" w:space="0" w:color="000000"/>
              <w:right w:val="single" w:sz="6" w:space="0" w:color="000000"/>
            </w:tcBorders>
          </w:tcPr>
          <w:p w14:paraId="49799E7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4.4%</w:t>
            </w:r>
          </w:p>
        </w:tc>
        <w:tc>
          <w:tcPr>
            <w:tcW w:w="850" w:type="dxa"/>
            <w:tcBorders>
              <w:top w:val="single" w:sz="6" w:space="0" w:color="000000"/>
              <w:left w:val="single" w:sz="6" w:space="0" w:color="000000"/>
              <w:bottom w:val="single" w:sz="6" w:space="0" w:color="000000"/>
              <w:right w:val="single" w:sz="6" w:space="0" w:color="000000"/>
            </w:tcBorders>
          </w:tcPr>
          <w:p w14:paraId="59C259F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130</w:t>
            </w:r>
          </w:p>
        </w:tc>
        <w:tc>
          <w:tcPr>
            <w:tcW w:w="1134" w:type="dxa"/>
            <w:tcBorders>
              <w:top w:val="single" w:sz="6" w:space="0" w:color="000000"/>
              <w:left w:val="single" w:sz="6" w:space="0" w:color="000000"/>
              <w:bottom w:val="single" w:sz="6" w:space="0" w:color="000000"/>
              <w:right w:val="single" w:sz="6" w:space="0" w:color="000000"/>
            </w:tcBorders>
          </w:tcPr>
          <w:p w14:paraId="1001F47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11.5%</w:t>
            </w:r>
          </w:p>
        </w:tc>
      </w:tr>
      <w:tr w:rsidR="008B1423" w:rsidRPr="00BE4F57" w14:paraId="3D1AD622" w14:textId="77777777" w:rsidTr="00EF4B35">
        <w:trPr>
          <w:trHeight w:hRule="exact" w:val="560"/>
        </w:trPr>
        <w:tc>
          <w:tcPr>
            <w:tcW w:w="1318" w:type="dxa"/>
            <w:vMerge/>
            <w:tcBorders>
              <w:left w:val="single" w:sz="6" w:space="0" w:color="000000"/>
              <w:right w:val="single" w:sz="6" w:space="0" w:color="000000"/>
            </w:tcBorders>
          </w:tcPr>
          <w:p w14:paraId="01CD2427"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35F0905C"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68DEE8FF"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4A9D6BB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96</w:t>
            </w:r>
          </w:p>
        </w:tc>
        <w:tc>
          <w:tcPr>
            <w:tcW w:w="1244" w:type="dxa"/>
            <w:tcBorders>
              <w:top w:val="single" w:sz="6" w:space="0" w:color="000000"/>
              <w:left w:val="single" w:sz="6" w:space="0" w:color="000000"/>
              <w:bottom w:val="single" w:sz="6" w:space="0" w:color="000000"/>
              <w:right w:val="single" w:sz="6" w:space="0" w:color="000000"/>
            </w:tcBorders>
          </w:tcPr>
          <w:p w14:paraId="143AD0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5.2%</w:t>
            </w:r>
          </w:p>
        </w:tc>
        <w:tc>
          <w:tcPr>
            <w:tcW w:w="850" w:type="dxa"/>
            <w:tcBorders>
              <w:top w:val="single" w:sz="6" w:space="0" w:color="000000"/>
              <w:left w:val="single" w:sz="6" w:space="0" w:color="000000"/>
              <w:bottom w:val="single" w:sz="6" w:space="0" w:color="000000"/>
              <w:right w:val="single" w:sz="6" w:space="0" w:color="000000"/>
            </w:tcBorders>
          </w:tcPr>
          <w:p w14:paraId="2F67649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2C89CA1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3598F430" w14:textId="77777777" w:rsidTr="00EF4B35">
        <w:trPr>
          <w:trHeight w:hRule="exact" w:val="1433"/>
        </w:trPr>
        <w:tc>
          <w:tcPr>
            <w:tcW w:w="1318" w:type="dxa"/>
            <w:vMerge/>
            <w:tcBorders>
              <w:left w:val="single" w:sz="6" w:space="0" w:color="000000"/>
              <w:right w:val="single" w:sz="6" w:space="0" w:color="000000"/>
            </w:tcBorders>
          </w:tcPr>
          <w:p w14:paraId="4995A0E8"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right w:val="single" w:sz="6" w:space="0" w:color="000000"/>
            </w:tcBorders>
          </w:tcPr>
          <w:p w14:paraId="0C4AB3D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(≥1</w:t>
            </w:r>
            <w:r w:rsidRPr="00BE4F57">
              <w:rPr>
                <w:rFonts w:ascii="Sylfaen" w:hAnsi="Sylfaen"/>
                <w:sz w:val="24"/>
                <w:szCs w:val="24"/>
                <w:lang w:val="ka-GE"/>
              </w:rPr>
              <w:t>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&lt;</w:t>
            </w:r>
            <w:r w:rsidRPr="00BE4F57">
              <w:rPr>
                <w:rFonts w:ascii="Sylfaen" w:hAnsi="Sylfaen"/>
                <w:sz w:val="24"/>
                <w:szCs w:val="24"/>
                <w:lang w:val="ka-GE"/>
              </w:rPr>
              <w:t>126</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 xml:space="preserve"> ≥</w:t>
            </w:r>
            <w:r w:rsidRPr="00BE4F57">
              <w:rPr>
                <w:rFonts w:ascii="Sylfaen" w:hAnsi="Sylfaen"/>
                <w:sz w:val="24"/>
                <w:szCs w:val="24"/>
                <w:lang w:val="ka-GE"/>
              </w:rPr>
              <w:t>126</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28E2AEA7"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23" w:type="dxa"/>
            <w:tcBorders>
              <w:top w:val="single" w:sz="6" w:space="0" w:color="000000"/>
              <w:left w:val="single" w:sz="6" w:space="0" w:color="000000"/>
              <w:bottom w:val="single" w:sz="6" w:space="0" w:color="000000"/>
              <w:right w:val="single" w:sz="6" w:space="0" w:color="000000"/>
            </w:tcBorders>
          </w:tcPr>
          <w:p w14:paraId="1B530B3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98</w:t>
            </w:r>
          </w:p>
        </w:tc>
        <w:tc>
          <w:tcPr>
            <w:tcW w:w="1244" w:type="dxa"/>
            <w:tcBorders>
              <w:top w:val="single" w:sz="6" w:space="0" w:color="000000"/>
              <w:left w:val="single" w:sz="6" w:space="0" w:color="000000"/>
              <w:bottom w:val="single" w:sz="6" w:space="0" w:color="000000"/>
              <w:right w:val="single" w:sz="6" w:space="0" w:color="000000"/>
            </w:tcBorders>
          </w:tcPr>
          <w:p w14:paraId="5BE13E6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18.4%</w:t>
            </w:r>
          </w:p>
        </w:tc>
        <w:tc>
          <w:tcPr>
            <w:tcW w:w="850" w:type="dxa"/>
            <w:tcBorders>
              <w:top w:val="single" w:sz="6" w:space="0" w:color="000000"/>
              <w:left w:val="single" w:sz="6" w:space="0" w:color="000000"/>
              <w:bottom w:val="single" w:sz="6" w:space="0" w:color="000000"/>
              <w:right w:val="single" w:sz="6" w:space="0" w:color="000000"/>
            </w:tcBorders>
          </w:tcPr>
          <w:p w14:paraId="6B24BD7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79</w:t>
            </w:r>
          </w:p>
        </w:tc>
        <w:tc>
          <w:tcPr>
            <w:tcW w:w="1134" w:type="dxa"/>
            <w:tcBorders>
              <w:top w:val="single" w:sz="6" w:space="0" w:color="000000"/>
              <w:left w:val="single" w:sz="6" w:space="0" w:color="000000"/>
              <w:bottom w:val="single" w:sz="6" w:space="0" w:color="000000"/>
              <w:right w:val="single" w:sz="6" w:space="0" w:color="000000"/>
            </w:tcBorders>
          </w:tcPr>
          <w:p w14:paraId="7B84ED8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32.9%</w:t>
            </w:r>
          </w:p>
        </w:tc>
      </w:tr>
      <w:tr w:rsidR="008B1423" w:rsidRPr="00BE4F57" w14:paraId="2F815D9E" w14:textId="77777777" w:rsidTr="00EF4B35">
        <w:trPr>
          <w:trHeight w:hRule="exact" w:val="559"/>
        </w:trPr>
        <w:tc>
          <w:tcPr>
            <w:tcW w:w="1318" w:type="dxa"/>
            <w:vMerge/>
            <w:tcBorders>
              <w:left w:val="single" w:sz="6" w:space="0" w:color="000000"/>
              <w:bottom w:val="single" w:sz="6" w:space="0" w:color="000000"/>
              <w:right w:val="single" w:sz="6" w:space="0" w:color="000000"/>
            </w:tcBorders>
          </w:tcPr>
          <w:p w14:paraId="47DCAC6E"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77CFCD60"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7A06DEC6"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749D385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97</w:t>
            </w:r>
          </w:p>
        </w:tc>
        <w:tc>
          <w:tcPr>
            <w:tcW w:w="1244" w:type="dxa"/>
            <w:tcBorders>
              <w:top w:val="single" w:sz="6" w:space="0" w:color="000000"/>
              <w:left w:val="single" w:sz="6" w:space="0" w:color="000000"/>
              <w:bottom w:val="single" w:sz="6" w:space="0" w:color="000000"/>
              <w:right w:val="single" w:sz="6" w:space="0" w:color="000000"/>
            </w:tcBorders>
          </w:tcPr>
          <w:p w14:paraId="4E87E09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7.2%</w:t>
            </w:r>
          </w:p>
        </w:tc>
        <w:tc>
          <w:tcPr>
            <w:tcW w:w="850" w:type="dxa"/>
            <w:tcBorders>
              <w:top w:val="single" w:sz="6" w:space="0" w:color="000000"/>
              <w:left w:val="single" w:sz="6" w:space="0" w:color="000000"/>
              <w:bottom w:val="single" w:sz="6" w:space="0" w:color="000000"/>
              <w:right w:val="single" w:sz="6" w:space="0" w:color="000000"/>
            </w:tcBorders>
          </w:tcPr>
          <w:p w14:paraId="4DBFB92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4F2DEA4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bl>
    <w:p w14:paraId="10F1363E" w14:textId="77777777" w:rsidR="008B1423" w:rsidRPr="00BE4F57" w:rsidRDefault="008B1423" w:rsidP="00A14CA6">
      <w:pPr>
        <w:spacing w:after="0" w:line="240" w:lineRule="auto"/>
        <w:jc w:val="both"/>
        <w:rPr>
          <w:rFonts w:ascii="Sylfaen" w:hAnsi="Sylfaen"/>
          <w:sz w:val="24"/>
          <w:szCs w:val="24"/>
          <w:lang w:val="ka-GE"/>
        </w:rPr>
      </w:pPr>
    </w:p>
    <w:p w14:paraId="10BA92B6"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sz w:val="24"/>
          <w:szCs w:val="24"/>
          <w:lang w:val="ka-GE"/>
        </w:rPr>
        <w:t>არ არის ხელმისაწვდომი</w:t>
      </w:r>
    </w:p>
    <w:p w14:paraId="609B0DB5" w14:textId="77777777" w:rsidR="008B1423" w:rsidRPr="00BE4F57" w:rsidRDefault="008B1423" w:rsidP="00A14CA6">
      <w:pPr>
        <w:spacing w:after="0" w:line="240" w:lineRule="auto"/>
        <w:jc w:val="both"/>
        <w:rPr>
          <w:rFonts w:ascii="Sylfaen" w:hAnsi="Sylfaen"/>
          <w:color w:val="FF0000"/>
          <w:sz w:val="24"/>
          <w:szCs w:val="24"/>
          <w:lang w:val="ka-GE"/>
        </w:rPr>
      </w:pPr>
    </w:p>
    <w:p w14:paraId="3769BE6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კომბინაციის უზმოზე გლუკოზის დონის კონტროლირებადი მონაცემები შეზღუდულია; თუმცა, 12 კვირამდე მკურნალობის ხანგრძლივობის მქონე ოლანზაპინის მონოთერაპიის 5 პლაცებო-კონტროლირებადი კვლევის ანალიზში, ოლანზაპინი ასოცირებული იყო უზმოზე გლუკოზის დონის უფრო დიდ საშუალო ცვლილებასთან პლაცებოსთან შედარებით (+0.17 მგ/დლ შედარებით +2.76 მგ/დლ-თან).</w:t>
      </w:r>
    </w:p>
    <w:p w14:paraId="6EBB6E74" w14:textId="77777777" w:rsidR="008B1423" w:rsidRPr="00BE4F57" w:rsidRDefault="008B1423" w:rsidP="00A14CA6">
      <w:pPr>
        <w:spacing w:after="0" w:line="240" w:lineRule="auto"/>
        <w:jc w:val="both"/>
        <w:rPr>
          <w:rFonts w:ascii="Sylfaen" w:hAnsi="Sylfaen"/>
          <w:sz w:val="24"/>
          <w:szCs w:val="24"/>
          <w:lang w:val="ka-GE"/>
        </w:rPr>
      </w:pPr>
    </w:p>
    <w:p w14:paraId="278958F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უზმოზე გლუკოზის დონის საშუალო ცვლილება პაციენტებში, რომლებიც ოლანზაპინს მინიმუმ 48 კვირის განმავლობაში იღებდნენ, იყო +4.2 მგ/დლ (N=487). იმ პაციენტების ანალიზმა, რომლებმაც დაასრულეს ოლანზაპინით მკურნალობა 9-12 თვის განმავლობაში, აჩვენა, რომ უზმოზე და ჭამის შემდეგ გლუკოზის დონის საშუალო ცვლილება დროთა განმავლობაში კვლავ იზრდებოდა. </w:t>
      </w:r>
    </w:p>
    <w:p w14:paraId="5B25F8AE" w14:textId="77777777" w:rsidR="008B1423" w:rsidRPr="00BE4F57" w:rsidRDefault="008B1423" w:rsidP="00A14CA6">
      <w:pPr>
        <w:spacing w:after="0" w:line="240" w:lineRule="auto"/>
        <w:jc w:val="both"/>
        <w:rPr>
          <w:rFonts w:ascii="Sylfaen" w:hAnsi="Sylfaen"/>
          <w:sz w:val="24"/>
          <w:szCs w:val="24"/>
          <w:u w:val="single"/>
          <w:lang w:val="ka-GE"/>
        </w:rPr>
      </w:pPr>
    </w:p>
    <w:p w14:paraId="5AC210F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ავშვები და მოზარდები</w:t>
      </w:r>
      <w:r w:rsidRPr="00BE4F57">
        <w:rPr>
          <w:rFonts w:ascii="Sylfaen" w:hAnsi="Sylfaen"/>
          <w:sz w:val="24"/>
          <w:szCs w:val="24"/>
          <w:lang w:val="ka-GE"/>
        </w:rPr>
        <w:t xml:space="preserve"> - 10-დან 17 წლამდე ასაკის პაციენტებში ბიპოლარული I დეპრესიის სამკურნალოდ ოლანზაპინისა და ფლუოქსეტინის კომბინაციის ერთჯერად 8-კვირიან, რანდომიზებულ, პლაცებო-კონტროლირებად კლინიკურ კვლევაში, ოლანზაპინისა და ფლუოქსეტინის კომბინაციასა და პლაცებოს შორის კლინიკურად მნიშვნელოვანი განსხვავება უზმოზე გლუკოზის დონის საშუალო ცვლილების თვალსაზრისით არ დაფიქსირებულა. ცხრილი 4 აჩვენებს უზმოზე სისხლში გლუკოზის კატეგორიულ ცვლილებებს ოლანზაპინისა და ფლუოქსეტინის კომბინაციის პედიატრიულ კვლევაში.</w:t>
      </w:r>
    </w:p>
    <w:p w14:paraId="6211A0D4" w14:textId="77777777" w:rsidR="008B1423" w:rsidRPr="00BE4F57" w:rsidRDefault="008B1423" w:rsidP="00A14CA6">
      <w:pPr>
        <w:spacing w:after="0" w:line="240" w:lineRule="auto"/>
        <w:jc w:val="both"/>
        <w:rPr>
          <w:rFonts w:ascii="Sylfaen" w:hAnsi="Sylfaen"/>
          <w:sz w:val="24"/>
          <w:szCs w:val="24"/>
          <w:lang w:val="ka-GE"/>
        </w:rPr>
      </w:pPr>
    </w:p>
    <w:p w14:paraId="5953E1B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4: უზმოზე გლუკოზის დონის ცვლილებები ბიპოლარული დეპრესიის დროს მიღებული ოლანზაპინისა და ფლუოქსეტინის კომბინაციის ერთჯერადი პედიატრიული კვლევის მიხედვით.</w:t>
      </w:r>
    </w:p>
    <w:p w14:paraId="02064D19" w14:textId="77777777" w:rsidR="008B1423" w:rsidRPr="00BE4F57" w:rsidRDefault="008B1423" w:rsidP="00A14CA6">
      <w:pPr>
        <w:spacing w:after="0" w:line="240" w:lineRule="auto"/>
        <w:jc w:val="both"/>
        <w:rPr>
          <w:rFonts w:ascii="Sylfaen" w:hAnsi="Sylfaen"/>
          <w:color w:val="FF0000"/>
          <w:sz w:val="24"/>
          <w:szCs w:val="24"/>
          <w:lang w:val="ka-GE"/>
        </w:rPr>
      </w:pPr>
    </w:p>
    <w:tbl>
      <w:tblPr>
        <w:tblW w:w="8489" w:type="dxa"/>
        <w:tblInd w:w="108" w:type="dxa"/>
        <w:tblLayout w:type="fixed"/>
        <w:tblCellMar>
          <w:left w:w="0" w:type="dxa"/>
          <w:right w:w="0" w:type="dxa"/>
        </w:tblCellMar>
        <w:tblLook w:val="01E0" w:firstRow="1" w:lastRow="1" w:firstColumn="1" w:lastColumn="1" w:noHBand="0" w:noVBand="0"/>
      </w:tblPr>
      <w:tblGrid>
        <w:gridCol w:w="1317"/>
        <w:gridCol w:w="2891"/>
        <w:gridCol w:w="1788"/>
        <w:gridCol w:w="1074"/>
        <w:gridCol w:w="1419"/>
      </w:tblGrid>
      <w:tr w:rsidR="008B1423" w:rsidRPr="00BE4F57" w14:paraId="5231B1DD" w14:textId="77777777" w:rsidTr="00A3601B">
        <w:trPr>
          <w:trHeight w:val="362"/>
        </w:trPr>
        <w:tc>
          <w:tcPr>
            <w:tcW w:w="1317" w:type="dxa"/>
            <w:vMerge w:val="restart"/>
            <w:tcBorders>
              <w:top w:val="single" w:sz="6" w:space="0" w:color="000000"/>
              <w:left w:val="single" w:sz="6" w:space="0" w:color="000000"/>
              <w:right w:val="single" w:sz="6" w:space="0" w:color="000000"/>
            </w:tcBorders>
          </w:tcPr>
          <w:p w14:paraId="46C86CFB"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1209BC2B"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vMerge w:val="restart"/>
            <w:tcBorders>
              <w:top w:val="single" w:sz="6" w:space="0" w:color="000000"/>
              <w:left w:val="single" w:sz="6" w:space="0" w:color="000000"/>
              <w:right w:val="single" w:sz="6" w:space="0" w:color="000000"/>
            </w:tcBorders>
          </w:tcPr>
          <w:p w14:paraId="1A848614"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788" w:type="dxa"/>
            <w:vMerge w:val="restart"/>
            <w:tcBorders>
              <w:top w:val="single" w:sz="6" w:space="0" w:color="000000"/>
              <w:left w:val="single" w:sz="6" w:space="0" w:color="000000"/>
              <w:right w:val="single" w:sz="6" w:space="0" w:color="000000"/>
            </w:tcBorders>
          </w:tcPr>
          <w:p w14:paraId="6918798A"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2493" w:type="dxa"/>
            <w:gridSpan w:val="2"/>
            <w:tcBorders>
              <w:top w:val="single" w:sz="6" w:space="0" w:color="000000"/>
              <w:left w:val="single" w:sz="6" w:space="0" w:color="000000"/>
              <w:bottom w:val="single" w:sz="6" w:space="0" w:color="000000"/>
              <w:right w:val="single" w:sz="6" w:space="0" w:color="000000"/>
            </w:tcBorders>
          </w:tcPr>
          <w:p w14:paraId="6AFB9FE3"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 xml:space="preserve">8 </w:t>
            </w:r>
            <w:r w:rsidRPr="00BE4F57">
              <w:rPr>
                <w:rFonts w:ascii="Sylfaen" w:hAnsi="Sylfaen" w:cs="Sylfaen"/>
                <w:b/>
                <w:sz w:val="24"/>
                <w:szCs w:val="24"/>
              </w:rPr>
              <w:t>კვირ</w:t>
            </w:r>
            <w:r w:rsidRPr="00BE4F57">
              <w:rPr>
                <w:rFonts w:ascii="Sylfaen" w:hAnsi="Sylfaen" w:cs="Sylfaen"/>
                <w:b/>
                <w:sz w:val="24"/>
                <w:szCs w:val="24"/>
                <w:lang w:val="ka-GE"/>
              </w:rPr>
              <w:t>ამდე</w:t>
            </w:r>
          </w:p>
        </w:tc>
      </w:tr>
      <w:tr w:rsidR="008B1423" w:rsidRPr="00BE4F57" w14:paraId="3C2B0B00" w14:textId="77777777" w:rsidTr="00A3601B">
        <w:trPr>
          <w:trHeight w:hRule="exact" w:val="581"/>
        </w:trPr>
        <w:tc>
          <w:tcPr>
            <w:tcW w:w="1317" w:type="dxa"/>
            <w:vMerge/>
            <w:tcBorders>
              <w:left w:val="single" w:sz="6" w:space="0" w:color="000000"/>
              <w:bottom w:val="single" w:sz="6" w:space="0" w:color="000000"/>
              <w:right w:val="single" w:sz="6" w:space="0" w:color="000000"/>
            </w:tcBorders>
          </w:tcPr>
          <w:p w14:paraId="5781426D" w14:textId="77777777" w:rsidR="008B1423" w:rsidRPr="00BE4F57" w:rsidRDefault="008B1423" w:rsidP="00A14CA6">
            <w:pPr>
              <w:pStyle w:val="TableParagraph"/>
              <w:autoSpaceDE/>
              <w:autoSpaceDN/>
              <w:rPr>
                <w:rFonts w:ascii="Sylfaen" w:hAnsi="Sylfaen"/>
                <w:b/>
                <w:bCs/>
                <w:sz w:val="24"/>
                <w:szCs w:val="24"/>
                <w:lang w:val="ka-GE"/>
              </w:rPr>
            </w:pPr>
          </w:p>
        </w:tc>
        <w:tc>
          <w:tcPr>
            <w:tcW w:w="2891" w:type="dxa"/>
            <w:vMerge/>
            <w:tcBorders>
              <w:left w:val="single" w:sz="6" w:space="0" w:color="000000"/>
              <w:bottom w:val="single" w:sz="6" w:space="0" w:color="000000"/>
              <w:right w:val="single" w:sz="6" w:space="0" w:color="000000"/>
            </w:tcBorders>
          </w:tcPr>
          <w:p w14:paraId="14DE32F5" w14:textId="77777777" w:rsidR="008B1423" w:rsidRPr="00BE4F57" w:rsidRDefault="008B1423" w:rsidP="00A14CA6">
            <w:pPr>
              <w:pStyle w:val="TableParagraph"/>
              <w:autoSpaceDE/>
              <w:autoSpaceDN/>
              <w:rPr>
                <w:rFonts w:ascii="Sylfaen" w:hAnsi="Sylfaen" w:cs="Sylfaen"/>
                <w:b/>
                <w:bCs/>
                <w:sz w:val="24"/>
                <w:szCs w:val="24"/>
              </w:rPr>
            </w:pPr>
          </w:p>
        </w:tc>
        <w:tc>
          <w:tcPr>
            <w:tcW w:w="1788" w:type="dxa"/>
            <w:vMerge/>
            <w:tcBorders>
              <w:left w:val="single" w:sz="6" w:space="0" w:color="000000"/>
              <w:bottom w:val="single" w:sz="6" w:space="0" w:color="000000"/>
              <w:right w:val="single" w:sz="6" w:space="0" w:color="000000"/>
            </w:tcBorders>
          </w:tcPr>
          <w:p w14:paraId="2B558EF0" w14:textId="77777777" w:rsidR="008B1423" w:rsidRPr="00BE4F57" w:rsidRDefault="008B1423" w:rsidP="00A14CA6">
            <w:pPr>
              <w:pStyle w:val="TableParagraph"/>
              <w:autoSpaceDE/>
              <w:autoSpaceDN/>
              <w:rPr>
                <w:rFonts w:ascii="Sylfaen" w:hAnsi="Sylfaen" w:cs="Sylfaen"/>
                <w:b/>
                <w:bCs/>
                <w:sz w:val="24"/>
                <w:szCs w:val="24"/>
              </w:rPr>
            </w:pPr>
          </w:p>
        </w:tc>
        <w:tc>
          <w:tcPr>
            <w:tcW w:w="1074" w:type="dxa"/>
            <w:tcBorders>
              <w:top w:val="single" w:sz="6" w:space="0" w:color="000000"/>
              <w:left w:val="single" w:sz="6" w:space="0" w:color="000000"/>
              <w:bottom w:val="single" w:sz="6" w:space="0" w:color="000000"/>
              <w:right w:val="single" w:sz="6" w:space="0" w:color="000000"/>
            </w:tcBorders>
          </w:tcPr>
          <w:p w14:paraId="0C594DEE" w14:textId="77777777" w:rsidR="008B1423" w:rsidRPr="00BE4F57" w:rsidRDefault="008B1423" w:rsidP="00A14CA6">
            <w:pPr>
              <w:spacing w:after="0" w:line="240" w:lineRule="auto"/>
              <w:jc w:val="center"/>
              <w:rPr>
                <w:rFonts w:ascii="Sylfaen" w:hAnsi="Sylfaen" w:cs="Sylfaen"/>
                <w:b/>
                <w:sz w:val="24"/>
                <w:szCs w:val="24"/>
              </w:rPr>
            </w:pPr>
            <w:r w:rsidRPr="00BE4F57">
              <w:rPr>
                <w:rFonts w:ascii="Sylfaen" w:hAnsi="Sylfaen"/>
                <w:b/>
                <w:bCs/>
                <w:sz w:val="24"/>
                <w:szCs w:val="24"/>
              </w:rPr>
              <w:t>N</w:t>
            </w:r>
          </w:p>
        </w:tc>
        <w:tc>
          <w:tcPr>
            <w:tcW w:w="1419" w:type="dxa"/>
            <w:tcBorders>
              <w:top w:val="single" w:sz="6" w:space="0" w:color="000000"/>
              <w:left w:val="single" w:sz="6" w:space="0" w:color="000000"/>
              <w:bottom w:val="single" w:sz="6" w:space="0" w:color="000000"/>
              <w:right w:val="single" w:sz="6" w:space="0" w:color="000000"/>
            </w:tcBorders>
          </w:tcPr>
          <w:p w14:paraId="590F548A" w14:textId="77777777" w:rsidR="008B1423" w:rsidRPr="00BE4F57" w:rsidRDefault="008B1423" w:rsidP="00A14CA6">
            <w:pPr>
              <w:spacing w:after="0" w:line="240" w:lineRule="auto"/>
              <w:jc w:val="center"/>
              <w:rPr>
                <w:rFonts w:ascii="Sylfaen" w:hAnsi="Sylfaen" w:cs="Sylfaen"/>
                <w:b/>
                <w:sz w:val="24"/>
                <w:szCs w:val="24"/>
              </w:rPr>
            </w:pPr>
            <w:r w:rsidRPr="00BE4F57">
              <w:rPr>
                <w:rFonts w:ascii="Sylfaen" w:hAnsi="Sylfaen"/>
                <w:b/>
                <w:bCs/>
                <w:sz w:val="24"/>
                <w:szCs w:val="24"/>
                <w:lang w:val="ka-GE"/>
              </w:rPr>
              <w:t>პაციენტები</w:t>
            </w:r>
          </w:p>
        </w:tc>
      </w:tr>
      <w:tr w:rsidR="008B1423" w:rsidRPr="00BE4F57" w14:paraId="2B10B8A7" w14:textId="77777777" w:rsidTr="00A3601B">
        <w:trPr>
          <w:trHeight w:hRule="exact" w:val="837"/>
        </w:trPr>
        <w:tc>
          <w:tcPr>
            <w:tcW w:w="1317" w:type="dxa"/>
            <w:vMerge w:val="restart"/>
            <w:tcBorders>
              <w:top w:val="single" w:sz="6" w:space="0" w:color="000000"/>
              <w:left w:val="single" w:sz="6" w:space="0" w:color="000000"/>
              <w:right w:val="single" w:sz="6" w:space="0" w:color="000000"/>
            </w:tcBorders>
          </w:tcPr>
          <w:p w14:paraId="5A51C2CF" w14:textId="77777777" w:rsidR="008B1423" w:rsidRPr="00BE4F57" w:rsidRDefault="008B1423" w:rsidP="00A14CA6">
            <w:pPr>
              <w:pStyle w:val="TableParagraph"/>
              <w:autoSpaceDE/>
              <w:autoSpaceDN/>
              <w:rPr>
                <w:rFonts w:ascii="Sylfaen" w:hAnsi="Sylfaen"/>
                <w:sz w:val="24"/>
                <w:szCs w:val="24"/>
              </w:rPr>
            </w:pPr>
          </w:p>
          <w:p w14:paraId="0DAB67CD" w14:textId="77777777" w:rsidR="008B1423" w:rsidRPr="00BE4F57" w:rsidRDefault="008B1423" w:rsidP="00A14CA6">
            <w:pPr>
              <w:pStyle w:val="TableParagraph"/>
              <w:autoSpaceDE/>
              <w:autoSpaceDN/>
              <w:rPr>
                <w:rFonts w:ascii="Sylfaen" w:hAnsi="Sylfaen"/>
                <w:sz w:val="24"/>
                <w:szCs w:val="24"/>
              </w:rPr>
            </w:pPr>
          </w:p>
          <w:p w14:paraId="03B9ECD5"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სისხლში გლუკოზა უზმოზე</w:t>
            </w:r>
          </w:p>
        </w:tc>
        <w:tc>
          <w:tcPr>
            <w:tcW w:w="2891" w:type="dxa"/>
            <w:vMerge w:val="restart"/>
            <w:tcBorders>
              <w:top w:val="single" w:sz="6" w:space="0" w:color="000000"/>
              <w:left w:val="single" w:sz="6" w:space="0" w:color="000000"/>
              <w:right w:val="single" w:sz="6" w:space="0" w:color="000000"/>
            </w:tcBorders>
          </w:tcPr>
          <w:p w14:paraId="0EBF543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w:t>
            </w:r>
            <w:r w:rsidRPr="00BE4F57">
              <w:rPr>
                <w:rFonts w:ascii="Sylfaen" w:hAnsi="Sylfaen"/>
                <w:sz w:val="24"/>
                <w:szCs w:val="24"/>
                <w:lang w:val="ka-GE"/>
              </w:rPr>
              <w:t>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126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4" w:space="0" w:color="auto"/>
              <w:right w:val="single" w:sz="6" w:space="0" w:color="000000"/>
            </w:tcBorders>
          </w:tcPr>
          <w:p w14:paraId="5D0D80BD"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074" w:type="dxa"/>
            <w:tcBorders>
              <w:top w:val="single" w:sz="6" w:space="0" w:color="000000"/>
              <w:left w:val="single" w:sz="6" w:space="0" w:color="000000"/>
              <w:bottom w:val="single" w:sz="4" w:space="0" w:color="auto"/>
              <w:right w:val="single" w:sz="6" w:space="0" w:color="000000"/>
            </w:tcBorders>
          </w:tcPr>
          <w:p w14:paraId="6A10C18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125</w:t>
            </w:r>
          </w:p>
        </w:tc>
        <w:tc>
          <w:tcPr>
            <w:tcW w:w="1419" w:type="dxa"/>
            <w:tcBorders>
              <w:top w:val="single" w:sz="6" w:space="0" w:color="000000"/>
              <w:left w:val="single" w:sz="6" w:space="0" w:color="000000"/>
              <w:bottom w:val="single" w:sz="4" w:space="0" w:color="auto"/>
              <w:right w:val="single" w:sz="6" w:space="0" w:color="000000"/>
            </w:tcBorders>
          </w:tcPr>
          <w:p w14:paraId="1FDE37D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w:t>
            </w:r>
          </w:p>
        </w:tc>
      </w:tr>
      <w:tr w:rsidR="008B1423" w:rsidRPr="00BE4F57" w14:paraId="6A8B7E1D" w14:textId="77777777" w:rsidTr="00A3601B">
        <w:trPr>
          <w:trHeight w:hRule="exact" w:val="290"/>
        </w:trPr>
        <w:tc>
          <w:tcPr>
            <w:tcW w:w="1317" w:type="dxa"/>
            <w:vMerge/>
            <w:tcBorders>
              <w:top w:val="single" w:sz="6" w:space="0" w:color="000000"/>
              <w:left w:val="single" w:sz="6" w:space="0" w:color="000000"/>
              <w:right w:val="single" w:sz="6" w:space="0" w:color="000000"/>
            </w:tcBorders>
          </w:tcPr>
          <w:p w14:paraId="3B88A314" w14:textId="77777777" w:rsidR="008B1423" w:rsidRPr="00BE4F57" w:rsidRDefault="008B1423" w:rsidP="00A14CA6">
            <w:pPr>
              <w:pStyle w:val="TableParagraph"/>
              <w:autoSpaceDE/>
              <w:autoSpaceDN/>
              <w:rPr>
                <w:rFonts w:ascii="Sylfaen" w:hAnsi="Sylfaen"/>
                <w:sz w:val="24"/>
                <w:szCs w:val="24"/>
              </w:rPr>
            </w:pPr>
          </w:p>
        </w:tc>
        <w:tc>
          <w:tcPr>
            <w:tcW w:w="2891" w:type="dxa"/>
            <w:vMerge/>
            <w:tcBorders>
              <w:top w:val="single" w:sz="6" w:space="0" w:color="000000"/>
              <w:left w:val="single" w:sz="6" w:space="0" w:color="000000"/>
              <w:bottom w:val="single" w:sz="4" w:space="0" w:color="auto"/>
              <w:right w:val="single" w:sz="6" w:space="0" w:color="000000"/>
            </w:tcBorders>
          </w:tcPr>
          <w:p w14:paraId="03E509E4" w14:textId="77777777" w:rsidR="008B1423" w:rsidRPr="00BE4F57" w:rsidRDefault="008B1423" w:rsidP="00A14CA6">
            <w:pPr>
              <w:pStyle w:val="TableParagraph"/>
              <w:autoSpaceDE/>
              <w:autoSpaceDN/>
              <w:rPr>
                <w:rFonts w:ascii="Sylfaen" w:hAnsi="Sylfaen" w:cs="Sylfaen"/>
                <w:sz w:val="24"/>
                <w:szCs w:val="24"/>
              </w:rPr>
            </w:pPr>
          </w:p>
        </w:tc>
        <w:tc>
          <w:tcPr>
            <w:tcW w:w="1788" w:type="dxa"/>
            <w:tcBorders>
              <w:top w:val="single" w:sz="4" w:space="0" w:color="auto"/>
              <w:left w:val="single" w:sz="6" w:space="0" w:color="000000"/>
              <w:bottom w:val="single" w:sz="6" w:space="0" w:color="000000"/>
              <w:right w:val="single" w:sz="6" w:space="0" w:color="000000"/>
            </w:tcBorders>
          </w:tcPr>
          <w:p w14:paraId="04B91838" w14:textId="77777777" w:rsidR="008B1423" w:rsidRPr="00BE4F57" w:rsidRDefault="008B1423" w:rsidP="00A14CA6">
            <w:pPr>
              <w:pStyle w:val="TableParagraph"/>
              <w:tabs>
                <w:tab w:val="left" w:pos="1294"/>
              </w:tabs>
              <w:rPr>
                <w:rFonts w:ascii="Sylfaen" w:hAnsi="Sylfaen" w:cs="Sylfaen"/>
                <w:sz w:val="24"/>
                <w:szCs w:val="24"/>
                <w:lang w:val="ka-GE"/>
              </w:rPr>
            </w:pPr>
            <w:r w:rsidRPr="00BE4F57">
              <w:rPr>
                <w:rFonts w:ascii="Sylfaen" w:hAnsi="Sylfaen" w:cs="Sylfaen"/>
                <w:sz w:val="24"/>
                <w:szCs w:val="24"/>
                <w:lang w:val="ka-GE"/>
              </w:rPr>
              <w:t>პლაცებო</w:t>
            </w:r>
          </w:p>
        </w:tc>
        <w:tc>
          <w:tcPr>
            <w:tcW w:w="1074" w:type="dxa"/>
            <w:tcBorders>
              <w:top w:val="single" w:sz="4" w:space="0" w:color="auto"/>
              <w:left w:val="single" w:sz="6" w:space="0" w:color="000000"/>
              <w:bottom w:val="single" w:sz="6" w:space="0" w:color="000000"/>
              <w:right w:val="single" w:sz="6" w:space="0" w:color="000000"/>
            </w:tcBorders>
          </w:tcPr>
          <w:p w14:paraId="4BE2CC2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65</w:t>
            </w:r>
          </w:p>
        </w:tc>
        <w:tc>
          <w:tcPr>
            <w:tcW w:w="1419" w:type="dxa"/>
            <w:tcBorders>
              <w:top w:val="single" w:sz="4" w:space="0" w:color="auto"/>
              <w:left w:val="single" w:sz="6" w:space="0" w:color="000000"/>
              <w:bottom w:val="single" w:sz="6" w:space="0" w:color="000000"/>
              <w:right w:val="single" w:sz="6" w:space="0" w:color="000000"/>
            </w:tcBorders>
          </w:tcPr>
          <w:p w14:paraId="56BEA34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w:t>
            </w:r>
          </w:p>
        </w:tc>
      </w:tr>
      <w:tr w:rsidR="008B1423" w:rsidRPr="00BE4F57" w14:paraId="0B42AB68" w14:textId="77777777" w:rsidTr="00696297">
        <w:trPr>
          <w:trHeight w:hRule="exact" w:val="871"/>
        </w:trPr>
        <w:tc>
          <w:tcPr>
            <w:tcW w:w="1317" w:type="dxa"/>
            <w:vMerge/>
            <w:tcBorders>
              <w:left w:val="single" w:sz="6" w:space="0" w:color="000000"/>
              <w:right w:val="single" w:sz="6" w:space="0" w:color="000000"/>
            </w:tcBorders>
          </w:tcPr>
          <w:p w14:paraId="047200C5"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right w:val="single" w:sz="6" w:space="0" w:color="000000"/>
            </w:tcBorders>
          </w:tcPr>
          <w:p w14:paraId="24943E10"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cs="Sylfaen"/>
                <w:sz w:val="24"/>
                <w:szCs w:val="24"/>
                <w:lang w:val="ka-GE"/>
              </w:rPr>
              <w:t>/</w:t>
            </w:r>
            <w:r w:rsidRPr="00BE4F57">
              <w:rPr>
                <w:rFonts w:ascii="Sylfaen" w:hAnsi="Sylfaen"/>
                <w:sz w:val="24"/>
                <w:szCs w:val="24"/>
                <w:lang w:val="ka-GE"/>
              </w:rPr>
              <w:t xml:space="preserve">გტდ </w:t>
            </w:r>
            <w:r w:rsidRPr="00BE4F57">
              <w:rPr>
                <w:rFonts w:ascii="Sylfaen" w:hAnsi="Sylfaen"/>
                <w:sz w:val="24"/>
                <w:szCs w:val="24"/>
              </w:rPr>
              <w:t>a</w:t>
            </w:r>
            <w:r w:rsidRPr="00BE4F57">
              <w:rPr>
                <w:rFonts w:ascii="Sylfaen" w:hAnsi="Sylfaen"/>
                <w:sz w:val="24"/>
                <w:szCs w:val="24"/>
                <w:lang w:val="ka-GE"/>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w:t>
            </w:r>
            <w:r w:rsidRPr="00BE4F57">
              <w:rPr>
                <w:rFonts w:ascii="Sylfaen" w:hAnsi="Sylfaen"/>
                <w:sz w:val="24"/>
                <w:szCs w:val="24"/>
                <w:lang w:val="ka-GE"/>
              </w:rPr>
              <w:t>26</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126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4" w:space="0" w:color="auto"/>
              <w:right w:val="single" w:sz="6" w:space="0" w:color="000000"/>
            </w:tcBorders>
          </w:tcPr>
          <w:p w14:paraId="661DC400"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074" w:type="dxa"/>
            <w:tcBorders>
              <w:top w:val="single" w:sz="6" w:space="0" w:color="000000"/>
              <w:left w:val="single" w:sz="6" w:space="0" w:color="000000"/>
              <w:bottom w:val="single" w:sz="4" w:space="0" w:color="auto"/>
              <w:right w:val="single" w:sz="6" w:space="0" w:color="000000"/>
            </w:tcBorders>
          </w:tcPr>
          <w:p w14:paraId="1EF52C3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156</w:t>
            </w:r>
          </w:p>
        </w:tc>
        <w:tc>
          <w:tcPr>
            <w:tcW w:w="1419" w:type="dxa"/>
            <w:tcBorders>
              <w:top w:val="single" w:sz="6" w:space="0" w:color="000000"/>
              <w:left w:val="single" w:sz="6" w:space="0" w:color="000000"/>
              <w:bottom w:val="single" w:sz="4" w:space="0" w:color="auto"/>
              <w:right w:val="single" w:sz="6" w:space="0" w:color="000000"/>
            </w:tcBorders>
          </w:tcPr>
          <w:p w14:paraId="3EACEE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5.8%</w:t>
            </w:r>
          </w:p>
        </w:tc>
      </w:tr>
      <w:tr w:rsidR="008B1423" w:rsidRPr="00BE4F57" w14:paraId="0D8C6CC3" w14:textId="77777777" w:rsidTr="00696297">
        <w:trPr>
          <w:trHeight w:hRule="exact" w:val="386"/>
        </w:trPr>
        <w:tc>
          <w:tcPr>
            <w:tcW w:w="1317" w:type="dxa"/>
            <w:vMerge/>
            <w:tcBorders>
              <w:left w:val="single" w:sz="6" w:space="0" w:color="000000"/>
              <w:right w:val="single" w:sz="6" w:space="0" w:color="000000"/>
            </w:tcBorders>
          </w:tcPr>
          <w:p w14:paraId="17B65AEC"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49CAD4AB" w14:textId="77777777" w:rsidR="008B1423" w:rsidRPr="00BE4F57" w:rsidRDefault="008B1423" w:rsidP="00A14CA6">
            <w:pPr>
              <w:spacing w:after="0" w:line="240" w:lineRule="auto"/>
              <w:rPr>
                <w:rFonts w:ascii="Sylfaen" w:hAnsi="Sylfaen" w:cs="Sylfaen"/>
                <w:sz w:val="24"/>
                <w:szCs w:val="24"/>
              </w:rPr>
            </w:pPr>
          </w:p>
        </w:tc>
        <w:tc>
          <w:tcPr>
            <w:tcW w:w="1788" w:type="dxa"/>
            <w:tcBorders>
              <w:top w:val="single" w:sz="4" w:space="0" w:color="auto"/>
              <w:left w:val="single" w:sz="6" w:space="0" w:color="000000"/>
              <w:bottom w:val="single" w:sz="6" w:space="0" w:color="000000"/>
              <w:right w:val="single" w:sz="6" w:space="0" w:color="000000"/>
            </w:tcBorders>
          </w:tcPr>
          <w:p w14:paraId="054D8229" w14:textId="77777777" w:rsidR="008B1423" w:rsidRPr="00BE4F57" w:rsidRDefault="008B1423" w:rsidP="00A14CA6">
            <w:pPr>
              <w:pStyle w:val="TableParagraph"/>
              <w:rPr>
                <w:rFonts w:ascii="Sylfaen" w:hAnsi="Sylfaen" w:cs="Sylfaen"/>
                <w:sz w:val="24"/>
                <w:szCs w:val="24"/>
                <w:lang w:val="ka-GE"/>
              </w:rPr>
            </w:pPr>
            <w:r w:rsidRPr="00BE4F57">
              <w:rPr>
                <w:rFonts w:ascii="Sylfaen" w:hAnsi="Sylfaen" w:cs="Sylfaen"/>
                <w:sz w:val="24"/>
                <w:szCs w:val="24"/>
                <w:lang w:val="ka-GE"/>
              </w:rPr>
              <w:t>პლაცებო</w:t>
            </w:r>
          </w:p>
        </w:tc>
        <w:tc>
          <w:tcPr>
            <w:tcW w:w="1074" w:type="dxa"/>
            <w:tcBorders>
              <w:top w:val="single" w:sz="4" w:space="0" w:color="auto"/>
              <w:left w:val="single" w:sz="6" w:space="0" w:color="000000"/>
              <w:bottom w:val="single" w:sz="6" w:space="0" w:color="000000"/>
              <w:right w:val="single" w:sz="6" w:space="0" w:color="000000"/>
            </w:tcBorders>
          </w:tcPr>
          <w:p w14:paraId="098710C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78</w:t>
            </w:r>
          </w:p>
        </w:tc>
        <w:tc>
          <w:tcPr>
            <w:tcW w:w="1419" w:type="dxa"/>
            <w:tcBorders>
              <w:top w:val="single" w:sz="4" w:space="0" w:color="auto"/>
              <w:left w:val="single" w:sz="6" w:space="0" w:color="000000"/>
              <w:bottom w:val="single" w:sz="6" w:space="0" w:color="000000"/>
              <w:right w:val="single" w:sz="6" w:space="0" w:color="000000"/>
            </w:tcBorders>
          </w:tcPr>
          <w:p w14:paraId="1D9C3AE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w:t>
            </w:r>
          </w:p>
        </w:tc>
      </w:tr>
      <w:tr w:rsidR="008B1423" w:rsidRPr="00BE4F57" w14:paraId="47E5A07E" w14:textId="77777777" w:rsidTr="00251590">
        <w:trPr>
          <w:trHeight w:hRule="exact" w:val="866"/>
        </w:trPr>
        <w:tc>
          <w:tcPr>
            <w:tcW w:w="1317" w:type="dxa"/>
            <w:vMerge/>
            <w:tcBorders>
              <w:left w:val="single" w:sz="6" w:space="0" w:color="000000"/>
              <w:right w:val="single" w:sz="6" w:space="0" w:color="000000"/>
            </w:tcBorders>
          </w:tcPr>
          <w:p w14:paraId="5F353B32"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right w:val="single" w:sz="6" w:space="0" w:color="000000"/>
            </w:tcBorders>
          </w:tcPr>
          <w:p w14:paraId="182CDC8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w:t>
            </w:r>
            <w:r w:rsidRPr="00BE4F57">
              <w:rPr>
                <w:rFonts w:ascii="Sylfaen" w:hAnsi="Sylfaen" w:cs="Sylfaen"/>
                <w:sz w:val="24"/>
                <w:szCs w:val="24"/>
                <w:lang w:val="ka-GE"/>
              </w:rPr>
              <w:t>/</w:t>
            </w:r>
            <w:r w:rsidRPr="00BE4F57">
              <w:rPr>
                <w:rFonts w:ascii="Sylfaen" w:hAnsi="Sylfaen"/>
                <w:sz w:val="24"/>
                <w:szCs w:val="24"/>
                <w:lang w:val="ka-GE"/>
              </w:rPr>
              <w:t>გტდ</w:t>
            </w:r>
            <w:r w:rsidRPr="00BE4F57">
              <w:rPr>
                <w:rFonts w:ascii="Sylfaen" w:hAnsi="Sylfaen" w:cs="Sylfaen"/>
                <w:sz w:val="24"/>
                <w:szCs w:val="24"/>
                <w:lang w:val="ka-GE"/>
              </w:rPr>
              <w:t xml:space="preserve"> </w:t>
            </w:r>
            <w:r w:rsidRPr="00BE4F57">
              <w:rPr>
                <w:rFonts w:ascii="Sylfaen" w:hAnsi="Sylfaen"/>
                <w:sz w:val="24"/>
                <w:szCs w:val="24"/>
              </w:rPr>
              <w:t>(</w:t>
            </w:r>
            <w:r w:rsidRPr="00BE4F57">
              <w:rPr>
                <w:rFonts w:ascii="Sylfaen" w:hAnsi="Sylfaen"/>
                <w:sz w:val="24"/>
                <w:szCs w:val="24"/>
                <w:lang w:val="ka-GE"/>
              </w:rPr>
              <w:t>&lt;</w:t>
            </w:r>
            <w:r w:rsidRPr="00BE4F57">
              <w:rPr>
                <w:rFonts w:ascii="Sylfaen" w:hAnsi="Sylfaen"/>
                <w:sz w:val="24"/>
                <w:szCs w:val="24"/>
              </w:rPr>
              <w:t>1</w:t>
            </w:r>
            <w:r w:rsidRPr="00BE4F57">
              <w:rPr>
                <w:rFonts w:ascii="Sylfaen" w:hAnsi="Sylfaen"/>
                <w:sz w:val="24"/>
                <w:szCs w:val="24"/>
                <w:lang w:val="ka-GE"/>
              </w:rPr>
              <w:t>26</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 140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lastRenderedPageBreak/>
              <w:t>მდე</w:t>
            </w:r>
            <w:r w:rsidRPr="00BE4F57">
              <w:rPr>
                <w:rFonts w:ascii="Sylfaen" w:hAnsi="Sylfaen"/>
                <w:sz w:val="24"/>
                <w:szCs w:val="24"/>
              </w:rPr>
              <w:t>)</w:t>
            </w:r>
          </w:p>
        </w:tc>
        <w:tc>
          <w:tcPr>
            <w:tcW w:w="1788" w:type="dxa"/>
            <w:tcBorders>
              <w:top w:val="single" w:sz="6" w:space="0" w:color="000000"/>
              <w:left w:val="single" w:sz="6" w:space="0" w:color="000000"/>
              <w:bottom w:val="single" w:sz="6" w:space="0" w:color="000000"/>
              <w:right w:val="single" w:sz="6" w:space="0" w:color="000000"/>
            </w:tcBorders>
          </w:tcPr>
          <w:p w14:paraId="0C143DEC"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lastRenderedPageBreak/>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074" w:type="dxa"/>
            <w:tcBorders>
              <w:top w:val="single" w:sz="6" w:space="0" w:color="000000"/>
              <w:left w:val="single" w:sz="6" w:space="0" w:color="000000"/>
              <w:bottom w:val="single" w:sz="6" w:space="0" w:color="000000"/>
              <w:right w:val="single" w:sz="6" w:space="0" w:color="000000"/>
            </w:tcBorders>
          </w:tcPr>
          <w:p w14:paraId="7F98404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156</w:t>
            </w:r>
          </w:p>
        </w:tc>
        <w:tc>
          <w:tcPr>
            <w:tcW w:w="1419" w:type="dxa"/>
            <w:tcBorders>
              <w:top w:val="single" w:sz="6" w:space="0" w:color="000000"/>
              <w:left w:val="single" w:sz="6" w:space="0" w:color="000000"/>
              <w:bottom w:val="single" w:sz="6" w:space="0" w:color="000000"/>
              <w:right w:val="single" w:sz="6" w:space="0" w:color="000000"/>
            </w:tcBorders>
          </w:tcPr>
          <w:p w14:paraId="0EE6D0D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w:t>
            </w:r>
          </w:p>
        </w:tc>
      </w:tr>
      <w:tr w:rsidR="008B1423" w:rsidRPr="00BE4F57" w14:paraId="1527460A" w14:textId="77777777" w:rsidTr="00A3601B">
        <w:trPr>
          <w:trHeight w:hRule="exact" w:val="559"/>
        </w:trPr>
        <w:tc>
          <w:tcPr>
            <w:tcW w:w="1317" w:type="dxa"/>
            <w:vMerge/>
            <w:tcBorders>
              <w:left w:val="single" w:sz="6" w:space="0" w:color="000000"/>
              <w:bottom w:val="single" w:sz="6" w:space="0" w:color="000000"/>
              <w:right w:val="single" w:sz="6" w:space="0" w:color="000000"/>
            </w:tcBorders>
          </w:tcPr>
          <w:p w14:paraId="4F4ACEF3"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03F21D91"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7A64FC9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1074" w:type="dxa"/>
            <w:tcBorders>
              <w:top w:val="single" w:sz="6" w:space="0" w:color="000000"/>
              <w:left w:val="single" w:sz="6" w:space="0" w:color="000000"/>
              <w:bottom w:val="single" w:sz="6" w:space="0" w:color="000000"/>
              <w:right w:val="single" w:sz="6" w:space="0" w:color="000000"/>
            </w:tcBorders>
          </w:tcPr>
          <w:p w14:paraId="0F3C3B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78</w:t>
            </w:r>
          </w:p>
        </w:tc>
        <w:tc>
          <w:tcPr>
            <w:tcW w:w="1419" w:type="dxa"/>
            <w:tcBorders>
              <w:top w:val="single" w:sz="6" w:space="0" w:color="000000"/>
              <w:left w:val="single" w:sz="6" w:space="0" w:color="000000"/>
              <w:bottom w:val="single" w:sz="6" w:space="0" w:color="000000"/>
              <w:right w:val="single" w:sz="6" w:space="0" w:color="000000"/>
            </w:tcBorders>
          </w:tcPr>
          <w:p w14:paraId="14BF979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r>
    </w:tbl>
    <w:p w14:paraId="1EB69A5E" w14:textId="77777777" w:rsidR="008B1423" w:rsidRPr="00BE4F57" w:rsidRDefault="008B1423" w:rsidP="00A14CA6">
      <w:pPr>
        <w:spacing w:after="0" w:line="240" w:lineRule="auto"/>
        <w:jc w:val="both"/>
        <w:rPr>
          <w:rFonts w:ascii="Sylfaen" w:hAnsi="Sylfaen"/>
          <w:color w:val="FF0000"/>
          <w:sz w:val="24"/>
          <w:szCs w:val="24"/>
          <w:lang w:val="ka-GE"/>
        </w:rPr>
      </w:pPr>
    </w:p>
    <w:p w14:paraId="5E4CCC7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rPr>
        <w:t>a</w:t>
      </w:r>
      <w:r w:rsidRPr="00BE4F57">
        <w:rPr>
          <w:rFonts w:ascii="Sylfaen" w:hAnsi="Sylfaen"/>
          <w:sz w:val="24"/>
          <w:szCs w:val="24"/>
          <w:lang w:val="ka-GE"/>
        </w:rPr>
        <w:t xml:space="preserve">  გლუკოზისადმი ტოლერანტობის დარღვევა</w:t>
      </w:r>
    </w:p>
    <w:p w14:paraId="434D7DB3" w14:textId="77777777" w:rsidR="008B1423" w:rsidRPr="00BE4F57" w:rsidRDefault="008B1423" w:rsidP="00A14CA6">
      <w:pPr>
        <w:spacing w:after="0" w:line="240" w:lineRule="auto"/>
        <w:jc w:val="both"/>
        <w:rPr>
          <w:rFonts w:ascii="Sylfaen" w:hAnsi="Sylfaen"/>
          <w:sz w:val="24"/>
          <w:szCs w:val="24"/>
          <w:lang w:val="ka-GE"/>
        </w:rPr>
      </w:pPr>
    </w:p>
    <w:p w14:paraId="0EDC0EE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ოლანზაპინით მონოთერაპია მოზარდებში</w:t>
      </w:r>
      <w:r w:rsidRPr="00BE4F57">
        <w:rPr>
          <w:rFonts w:ascii="Sylfaen" w:hAnsi="Sylfaen"/>
          <w:sz w:val="24"/>
          <w:szCs w:val="24"/>
          <w:lang w:val="ka-GE"/>
        </w:rPr>
        <w:t xml:space="preserve"> — ოლანზაპინისა და ფლუოქსეტინის კომბინაციაში გამოყენების უსაფრთხოება და ეფექტურობა 18 წლამდე ასაკის პაციენტებში დადგენილი არ არის. ოლანზაპინის უსაფრთხოება და ეფექტურობა 13 წლამდე ასაკის პაციენტებში დადგენილი არ არის. ოლანზაპინის მონოთერაპიის 3 პლაცებო-კონტროლირებადი კვლევის ანალიზისას მოზარდ პაციენტებში, მათ შორის შიზოფრენიით (6 კვირა) ან ბიპოლარული I აშლილობით (მანიაკალური ან შერეული ეპიზოდები) (3 კვირა) დაავადებულებში, ოლანზაპინი ასოცირებული იყო უზმოზე გლუკოზის დონის საწყის დონესთან შედარებით უფრო დიდ საშუალო ცვლილებასთან პლაცებოსთან შედარებით (2.68 მგ/დლ შედარებით -2.59 მგ/დლ-თან). უზმოზე გლუკოზის დონის საშუალო ცვლილება მოზარდებში, რომლებიც იღებდნენ პრეპარატს მინიმუმ 24 კვირის განმავლობაში, იყო +3.1 მგ/დლ (N=121). ცხრილი 5 აჩვენებს უზმოზე სისხლში გლუკოზის დონის მოკლევადიან და გრძელვადიან ცვლილებებს მოზარდებში ოლანზაპინით მონოთერაპიის კვლევებში.</w:t>
      </w:r>
    </w:p>
    <w:p w14:paraId="2B346359" w14:textId="77777777" w:rsidR="008B1423" w:rsidRPr="00BE4F57" w:rsidRDefault="008B1423" w:rsidP="00A14CA6">
      <w:pPr>
        <w:spacing w:after="0" w:line="240" w:lineRule="auto"/>
        <w:jc w:val="both"/>
        <w:rPr>
          <w:rFonts w:ascii="Sylfaen" w:hAnsi="Sylfaen"/>
          <w:color w:val="FF0000"/>
          <w:sz w:val="24"/>
          <w:szCs w:val="24"/>
          <w:lang w:val="ka-GE"/>
        </w:rPr>
      </w:pPr>
    </w:p>
    <w:p w14:paraId="13D4265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5: უზმოზე გლუკოზის დონის ცვლილებები მოზარდებში ოლანზაპინით მონოთერაპიის კვლევებში</w:t>
      </w:r>
    </w:p>
    <w:p w14:paraId="4CCFF614" w14:textId="77777777" w:rsidR="008B1423" w:rsidRPr="00BE4F57" w:rsidRDefault="008B1423" w:rsidP="00A14CA6">
      <w:pPr>
        <w:spacing w:after="0" w:line="240" w:lineRule="auto"/>
        <w:jc w:val="both"/>
        <w:rPr>
          <w:rFonts w:ascii="Sylfaen" w:hAnsi="Sylfaen"/>
          <w:sz w:val="24"/>
          <w:szCs w:val="24"/>
          <w:lang w:val="ka-GE"/>
        </w:rPr>
      </w:pPr>
    </w:p>
    <w:tbl>
      <w:tblPr>
        <w:tblW w:w="9681" w:type="dxa"/>
        <w:tblInd w:w="108" w:type="dxa"/>
        <w:tblLayout w:type="fixed"/>
        <w:tblCellMar>
          <w:left w:w="0" w:type="dxa"/>
          <w:right w:w="0" w:type="dxa"/>
        </w:tblCellMar>
        <w:tblLook w:val="01E0" w:firstRow="1" w:lastRow="1" w:firstColumn="1" w:lastColumn="1" w:noHBand="0" w:noVBand="0"/>
      </w:tblPr>
      <w:tblGrid>
        <w:gridCol w:w="1318"/>
        <w:gridCol w:w="2891"/>
        <w:gridCol w:w="1421"/>
        <w:gridCol w:w="823"/>
        <w:gridCol w:w="1244"/>
        <w:gridCol w:w="850"/>
        <w:gridCol w:w="1134"/>
      </w:tblGrid>
      <w:tr w:rsidR="008B1423" w:rsidRPr="00BE4F57" w14:paraId="5AC469BB" w14:textId="77777777" w:rsidTr="00823A2F">
        <w:trPr>
          <w:trHeight w:hRule="exact" w:val="1007"/>
        </w:trPr>
        <w:tc>
          <w:tcPr>
            <w:tcW w:w="1318" w:type="dxa"/>
            <w:tcBorders>
              <w:top w:val="single" w:sz="6" w:space="0" w:color="000000"/>
              <w:left w:val="single" w:sz="6" w:space="0" w:color="000000"/>
              <w:bottom w:val="single" w:sz="6" w:space="0" w:color="000000"/>
              <w:right w:val="single" w:sz="6" w:space="0" w:color="000000"/>
            </w:tcBorders>
          </w:tcPr>
          <w:p w14:paraId="61203D9F" w14:textId="77777777" w:rsidR="008B1423" w:rsidRPr="00BE4F57" w:rsidRDefault="008B1423" w:rsidP="00A14CA6">
            <w:pPr>
              <w:spacing w:after="0" w:line="240" w:lineRule="auto"/>
              <w:rPr>
                <w:rFonts w:ascii="Sylfaen" w:hAnsi="Sylfaen"/>
                <w:sz w:val="24"/>
                <w:szCs w:val="24"/>
              </w:rPr>
            </w:pPr>
          </w:p>
        </w:tc>
        <w:tc>
          <w:tcPr>
            <w:tcW w:w="2891" w:type="dxa"/>
            <w:tcBorders>
              <w:top w:val="single" w:sz="6" w:space="0" w:color="000000"/>
              <w:left w:val="single" w:sz="6" w:space="0" w:color="000000"/>
              <w:bottom w:val="single" w:sz="6" w:space="0" w:color="000000"/>
              <w:right w:val="single" w:sz="6" w:space="0" w:color="000000"/>
            </w:tcBorders>
          </w:tcPr>
          <w:p w14:paraId="2CE8ED3B"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7EE1BC8F" w14:textId="77777777" w:rsidR="008B1423" w:rsidRPr="00BE4F57" w:rsidRDefault="008B1423" w:rsidP="00A14CA6">
            <w:pPr>
              <w:spacing w:after="0" w:line="240" w:lineRule="auto"/>
              <w:rPr>
                <w:rFonts w:ascii="Sylfaen" w:hAnsi="Sylfaen"/>
                <w:sz w:val="24"/>
                <w:szCs w:val="24"/>
              </w:rPr>
            </w:pPr>
          </w:p>
        </w:tc>
        <w:tc>
          <w:tcPr>
            <w:tcW w:w="2067" w:type="dxa"/>
            <w:gridSpan w:val="2"/>
            <w:tcBorders>
              <w:top w:val="single" w:sz="6" w:space="0" w:color="000000"/>
              <w:left w:val="single" w:sz="6" w:space="0" w:color="000000"/>
              <w:bottom w:val="single" w:sz="6" w:space="0" w:color="000000"/>
              <w:right w:val="single" w:sz="6" w:space="0" w:color="000000"/>
            </w:tcBorders>
          </w:tcPr>
          <w:p w14:paraId="350BA8C5"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12</w:t>
            </w:r>
            <w:r w:rsidRPr="00BE4F57">
              <w:rPr>
                <w:rFonts w:ascii="Sylfaen" w:hAnsi="Sylfaen"/>
                <w:b/>
                <w:sz w:val="24"/>
                <w:szCs w:val="24"/>
              </w:rPr>
              <w:t xml:space="preserve"> </w:t>
            </w:r>
            <w:r w:rsidRPr="00BE4F57">
              <w:rPr>
                <w:rFonts w:ascii="Sylfaen" w:hAnsi="Sylfaen" w:cs="Sylfaen"/>
                <w:b/>
                <w:sz w:val="24"/>
                <w:szCs w:val="24"/>
              </w:rPr>
              <w:t>კვირამდე</w:t>
            </w:r>
            <w:r w:rsidRPr="00BE4F57">
              <w:rPr>
                <w:rFonts w:ascii="Sylfaen" w:hAnsi="Sylfaen" w:cs="Sylfaen"/>
                <w:b/>
                <w:sz w:val="24"/>
                <w:szCs w:val="24"/>
                <w:lang w:val="ka-GE"/>
              </w:rPr>
              <w:t xml:space="preserve"> </w:t>
            </w:r>
          </w:p>
        </w:tc>
        <w:tc>
          <w:tcPr>
            <w:tcW w:w="1984" w:type="dxa"/>
            <w:gridSpan w:val="2"/>
            <w:tcBorders>
              <w:top w:val="single" w:sz="6" w:space="0" w:color="000000"/>
              <w:left w:val="single" w:sz="6" w:space="0" w:color="000000"/>
              <w:bottom w:val="single" w:sz="6" w:space="0" w:color="000000"/>
              <w:right w:val="single" w:sz="6" w:space="0" w:color="000000"/>
            </w:tcBorders>
          </w:tcPr>
          <w:p w14:paraId="1B5659EC"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cs="Sylfaen"/>
                <w:b/>
                <w:sz w:val="24"/>
                <w:szCs w:val="24"/>
                <w:lang w:val="ka-GE"/>
              </w:rPr>
              <w:t xml:space="preserve"> მინიმუმ</w:t>
            </w:r>
            <w:r w:rsidRPr="00BE4F57">
              <w:rPr>
                <w:rFonts w:ascii="Sylfaen" w:hAnsi="Sylfaen"/>
                <w:b/>
                <w:sz w:val="24"/>
                <w:szCs w:val="24"/>
              </w:rPr>
              <w:t xml:space="preserve"> </w:t>
            </w:r>
            <w:r w:rsidRPr="00BE4F57">
              <w:rPr>
                <w:rFonts w:ascii="Sylfaen" w:hAnsi="Sylfaen"/>
                <w:b/>
                <w:sz w:val="24"/>
                <w:szCs w:val="24"/>
                <w:lang w:val="ka-GE"/>
              </w:rPr>
              <w:t>24</w:t>
            </w:r>
            <w:r w:rsidRPr="00BE4F57">
              <w:rPr>
                <w:rFonts w:ascii="Sylfaen" w:hAnsi="Sylfaen"/>
                <w:b/>
                <w:sz w:val="24"/>
                <w:szCs w:val="24"/>
              </w:rPr>
              <w:t xml:space="preserve"> </w:t>
            </w:r>
            <w:r w:rsidRPr="00BE4F57">
              <w:rPr>
                <w:rFonts w:ascii="Sylfaen" w:hAnsi="Sylfaen" w:cs="Sylfaen"/>
                <w:b/>
                <w:sz w:val="24"/>
                <w:szCs w:val="24"/>
              </w:rPr>
              <w:t>კვირ</w:t>
            </w:r>
            <w:r w:rsidRPr="00BE4F57">
              <w:rPr>
                <w:rFonts w:ascii="Sylfaen" w:hAnsi="Sylfaen" w:cs="Sylfaen"/>
                <w:b/>
                <w:sz w:val="24"/>
                <w:szCs w:val="24"/>
                <w:lang w:val="ka-GE"/>
              </w:rPr>
              <w:t>ის განმავლობაში</w:t>
            </w:r>
          </w:p>
        </w:tc>
      </w:tr>
      <w:tr w:rsidR="008B1423" w:rsidRPr="00BE4F57" w14:paraId="52228620" w14:textId="77777777" w:rsidTr="00696297">
        <w:trPr>
          <w:trHeight w:hRule="exact" w:val="979"/>
        </w:trPr>
        <w:tc>
          <w:tcPr>
            <w:tcW w:w="1318" w:type="dxa"/>
            <w:tcBorders>
              <w:top w:val="single" w:sz="6" w:space="0" w:color="000000"/>
              <w:left w:val="single" w:sz="6" w:space="0" w:color="000000"/>
              <w:bottom w:val="single" w:sz="6" w:space="0" w:color="000000"/>
              <w:right w:val="single" w:sz="6" w:space="0" w:color="000000"/>
            </w:tcBorders>
          </w:tcPr>
          <w:p w14:paraId="3C191136"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28B61C23"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tcBorders>
              <w:top w:val="single" w:sz="6" w:space="0" w:color="000000"/>
              <w:left w:val="single" w:sz="6" w:space="0" w:color="000000"/>
              <w:bottom w:val="single" w:sz="6" w:space="0" w:color="000000"/>
              <w:right w:val="single" w:sz="6" w:space="0" w:color="000000"/>
            </w:tcBorders>
          </w:tcPr>
          <w:p w14:paraId="6D62242F"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69130520"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823" w:type="dxa"/>
            <w:tcBorders>
              <w:top w:val="single" w:sz="6" w:space="0" w:color="000000"/>
              <w:left w:val="single" w:sz="6" w:space="0" w:color="000000"/>
              <w:bottom w:val="single" w:sz="6" w:space="0" w:color="000000"/>
              <w:right w:val="single" w:sz="6" w:space="0" w:color="000000"/>
            </w:tcBorders>
          </w:tcPr>
          <w:p w14:paraId="19B885C1"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244" w:type="dxa"/>
            <w:tcBorders>
              <w:top w:val="single" w:sz="6" w:space="0" w:color="000000"/>
              <w:left w:val="single" w:sz="6" w:space="0" w:color="000000"/>
              <w:bottom w:val="single" w:sz="6" w:space="0" w:color="000000"/>
              <w:right w:val="single" w:sz="6" w:space="0" w:color="000000"/>
            </w:tcBorders>
          </w:tcPr>
          <w:p w14:paraId="56EFEA85"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850" w:type="dxa"/>
            <w:tcBorders>
              <w:top w:val="single" w:sz="6" w:space="0" w:color="000000"/>
              <w:left w:val="single" w:sz="6" w:space="0" w:color="000000"/>
              <w:bottom w:val="single" w:sz="6" w:space="0" w:color="000000"/>
              <w:right w:val="single" w:sz="6" w:space="0" w:color="000000"/>
            </w:tcBorders>
          </w:tcPr>
          <w:p w14:paraId="4D04CD01"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34" w:type="dxa"/>
            <w:tcBorders>
              <w:top w:val="single" w:sz="6" w:space="0" w:color="000000"/>
              <w:left w:val="single" w:sz="6" w:space="0" w:color="000000"/>
              <w:bottom w:val="single" w:sz="6" w:space="0" w:color="000000"/>
              <w:right w:val="single" w:sz="6" w:space="0" w:color="000000"/>
            </w:tcBorders>
          </w:tcPr>
          <w:p w14:paraId="4C396D4A"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4925F567" w14:textId="77777777" w:rsidTr="00823A2F">
        <w:trPr>
          <w:trHeight w:hRule="exact" w:val="440"/>
        </w:trPr>
        <w:tc>
          <w:tcPr>
            <w:tcW w:w="1318" w:type="dxa"/>
            <w:vMerge w:val="restart"/>
            <w:tcBorders>
              <w:top w:val="single" w:sz="6" w:space="0" w:color="000000"/>
              <w:left w:val="single" w:sz="6" w:space="0" w:color="000000"/>
              <w:right w:val="single" w:sz="6" w:space="0" w:color="000000"/>
            </w:tcBorders>
          </w:tcPr>
          <w:p w14:paraId="11805617" w14:textId="77777777" w:rsidR="008B1423" w:rsidRPr="00BE4F57" w:rsidRDefault="008B1423" w:rsidP="00A14CA6">
            <w:pPr>
              <w:pStyle w:val="TableParagraph"/>
              <w:autoSpaceDE/>
              <w:autoSpaceDN/>
              <w:rPr>
                <w:rFonts w:ascii="Sylfaen" w:hAnsi="Sylfaen"/>
                <w:sz w:val="24"/>
                <w:szCs w:val="24"/>
              </w:rPr>
            </w:pPr>
          </w:p>
          <w:p w14:paraId="03736961" w14:textId="77777777" w:rsidR="008B1423" w:rsidRPr="00BE4F57" w:rsidRDefault="008B1423" w:rsidP="00A14CA6">
            <w:pPr>
              <w:pStyle w:val="TableParagraph"/>
              <w:autoSpaceDE/>
              <w:autoSpaceDN/>
              <w:rPr>
                <w:rFonts w:ascii="Sylfaen" w:hAnsi="Sylfaen"/>
                <w:sz w:val="24"/>
                <w:szCs w:val="24"/>
              </w:rPr>
            </w:pPr>
          </w:p>
          <w:p w14:paraId="7D9E6A7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სისხლში გლუკოზა უზმოზე</w:t>
            </w:r>
          </w:p>
        </w:tc>
        <w:tc>
          <w:tcPr>
            <w:tcW w:w="2891" w:type="dxa"/>
            <w:vMerge w:val="restart"/>
            <w:tcBorders>
              <w:top w:val="single" w:sz="6" w:space="0" w:color="000000"/>
              <w:left w:val="single" w:sz="6" w:space="0" w:color="000000"/>
              <w:right w:val="single" w:sz="6" w:space="0" w:color="000000"/>
            </w:tcBorders>
          </w:tcPr>
          <w:p w14:paraId="4167CC0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w:t>
            </w:r>
            <w:r w:rsidRPr="00BE4F57">
              <w:rPr>
                <w:rFonts w:ascii="Sylfaen" w:hAnsi="Sylfaen"/>
                <w:sz w:val="24"/>
                <w:szCs w:val="24"/>
                <w:lang w:val="ka-GE"/>
              </w:rPr>
              <w:t>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&gt;126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460AC5D7"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2654A3C5"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124</w:t>
            </w:r>
          </w:p>
        </w:tc>
        <w:tc>
          <w:tcPr>
            <w:tcW w:w="1244" w:type="dxa"/>
            <w:tcBorders>
              <w:top w:val="single" w:sz="6" w:space="0" w:color="000000"/>
              <w:left w:val="single" w:sz="6" w:space="0" w:color="000000"/>
              <w:bottom w:val="single" w:sz="6" w:space="0" w:color="000000"/>
              <w:right w:val="single" w:sz="6" w:space="0" w:color="000000"/>
            </w:tcBorders>
          </w:tcPr>
          <w:p w14:paraId="181B8E2B"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0%</w:t>
            </w:r>
          </w:p>
        </w:tc>
        <w:tc>
          <w:tcPr>
            <w:tcW w:w="850" w:type="dxa"/>
            <w:tcBorders>
              <w:top w:val="single" w:sz="6" w:space="0" w:color="000000"/>
              <w:left w:val="single" w:sz="6" w:space="0" w:color="000000"/>
              <w:bottom w:val="single" w:sz="6" w:space="0" w:color="000000"/>
              <w:right w:val="single" w:sz="6" w:space="0" w:color="000000"/>
            </w:tcBorders>
          </w:tcPr>
          <w:p w14:paraId="7429B3AD"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sz w:val="24"/>
                <w:szCs w:val="24"/>
              </w:rPr>
              <w:t>108</w:t>
            </w:r>
          </w:p>
        </w:tc>
        <w:tc>
          <w:tcPr>
            <w:tcW w:w="1134" w:type="dxa"/>
            <w:tcBorders>
              <w:top w:val="single" w:sz="6" w:space="0" w:color="000000"/>
              <w:left w:val="single" w:sz="6" w:space="0" w:color="000000"/>
              <w:bottom w:val="single" w:sz="6" w:space="0" w:color="000000"/>
              <w:right w:val="single" w:sz="6" w:space="0" w:color="000000"/>
            </w:tcBorders>
          </w:tcPr>
          <w:p w14:paraId="7EDEEC8E"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0.9%</w:t>
            </w:r>
          </w:p>
        </w:tc>
      </w:tr>
      <w:tr w:rsidR="008B1423" w:rsidRPr="00BE4F57" w14:paraId="3D095418" w14:textId="77777777" w:rsidTr="00696297">
        <w:trPr>
          <w:trHeight w:hRule="exact" w:val="560"/>
        </w:trPr>
        <w:tc>
          <w:tcPr>
            <w:tcW w:w="1318" w:type="dxa"/>
            <w:vMerge/>
            <w:tcBorders>
              <w:left w:val="single" w:sz="6" w:space="0" w:color="000000"/>
              <w:right w:val="single" w:sz="6" w:space="0" w:color="000000"/>
            </w:tcBorders>
          </w:tcPr>
          <w:p w14:paraId="504446F6"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66631D56"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03696182"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7CCE75F7"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53</w:t>
            </w:r>
          </w:p>
        </w:tc>
        <w:tc>
          <w:tcPr>
            <w:tcW w:w="1244" w:type="dxa"/>
            <w:tcBorders>
              <w:top w:val="single" w:sz="6" w:space="0" w:color="000000"/>
              <w:left w:val="single" w:sz="6" w:space="0" w:color="000000"/>
              <w:bottom w:val="single" w:sz="6" w:space="0" w:color="000000"/>
              <w:right w:val="single" w:sz="6" w:space="0" w:color="000000"/>
            </w:tcBorders>
          </w:tcPr>
          <w:p w14:paraId="17907859"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1.9%</w:t>
            </w:r>
          </w:p>
        </w:tc>
        <w:tc>
          <w:tcPr>
            <w:tcW w:w="850" w:type="dxa"/>
            <w:tcBorders>
              <w:top w:val="single" w:sz="6" w:space="0" w:color="000000"/>
              <w:left w:val="single" w:sz="6" w:space="0" w:color="000000"/>
              <w:bottom w:val="single" w:sz="6" w:space="0" w:color="000000"/>
              <w:right w:val="single" w:sz="6" w:space="0" w:color="000000"/>
            </w:tcBorders>
          </w:tcPr>
          <w:p w14:paraId="1C65AC4D"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038FC1C5"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sz w:val="24"/>
                <w:szCs w:val="24"/>
              </w:rPr>
              <w:t>NAa</w:t>
            </w:r>
          </w:p>
        </w:tc>
      </w:tr>
      <w:tr w:rsidR="008B1423" w:rsidRPr="00BE4F57" w14:paraId="7A3322CC" w14:textId="77777777" w:rsidTr="00696297">
        <w:trPr>
          <w:trHeight w:hRule="exact" w:val="711"/>
        </w:trPr>
        <w:tc>
          <w:tcPr>
            <w:tcW w:w="1318" w:type="dxa"/>
            <w:vMerge/>
            <w:tcBorders>
              <w:left w:val="single" w:sz="6" w:space="0" w:color="000000"/>
              <w:right w:val="single" w:sz="6" w:space="0" w:color="000000"/>
            </w:tcBorders>
          </w:tcPr>
          <w:p w14:paraId="29EBF908"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right w:val="single" w:sz="6" w:space="0" w:color="000000"/>
            </w:tcBorders>
          </w:tcPr>
          <w:p w14:paraId="5CBD795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(≥1</w:t>
            </w:r>
            <w:r w:rsidRPr="00BE4F57">
              <w:rPr>
                <w:rFonts w:ascii="Sylfaen" w:hAnsi="Sylfaen"/>
                <w:sz w:val="24"/>
                <w:szCs w:val="24"/>
                <w:lang w:val="ka-GE"/>
              </w:rPr>
              <w:t>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126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126</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6BE55C8A"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vAlign w:val="bottom"/>
          </w:tcPr>
          <w:p w14:paraId="591C1B15"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14</w:t>
            </w:r>
          </w:p>
        </w:tc>
        <w:tc>
          <w:tcPr>
            <w:tcW w:w="1244" w:type="dxa"/>
            <w:tcBorders>
              <w:top w:val="single" w:sz="6" w:space="0" w:color="000000"/>
              <w:left w:val="single" w:sz="6" w:space="0" w:color="000000"/>
              <w:bottom w:val="single" w:sz="6" w:space="0" w:color="000000"/>
              <w:right w:val="single" w:sz="6" w:space="0" w:color="000000"/>
            </w:tcBorders>
            <w:vAlign w:val="bottom"/>
          </w:tcPr>
          <w:p w14:paraId="2647E5B3"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sz w:val="24"/>
                <w:szCs w:val="24"/>
              </w:rPr>
              <w:t>14.3%</w:t>
            </w:r>
          </w:p>
        </w:tc>
        <w:tc>
          <w:tcPr>
            <w:tcW w:w="850" w:type="dxa"/>
            <w:tcBorders>
              <w:top w:val="single" w:sz="6" w:space="0" w:color="000000"/>
              <w:left w:val="single" w:sz="6" w:space="0" w:color="000000"/>
              <w:bottom w:val="single" w:sz="6" w:space="0" w:color="000000"/>
              <w:right w:val="single" w:sz="6" w:space="0" w:color="000000"/>
            </w:tcBorders>
            <w:vAlign w:val="bottom"/>
          </w:tcPr>
          <w:p w14:paraId="2F43BB2D"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13</w:t>
            </w:r>
          </w:p>
        </w:tc>
        <w:tc>
          <w:tcPr>
            <w:tcW w:w="1134" w:type="dxa"/>
            <w:tcBorders>
              <w:top w:val="single" w:sz="6" w:space="0" w:color="000000"/>
              <w:left w:val="single" w:sz="6" w:space="0" w:color="000000"/>
              <w:bottom w:val="single" w:sz="6" w:space="0" w:color="000000"/>
              <w:right w:val="single" w:sz="6" w:space="0" w:color="000000"/>
            </w:tcBorders>
            <w:vAlign w:val="bottom"/>
          </w:tcPr>
          <w:p w14:paraId="54707B32"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23.1%</w:t>
            </w:r>
          </w:p>
        </w:tc>
      </w:tr>
      <w:tr w:rsidR="008B1423" w:rsidRPr="00BE4F57" w14:paraId="10E74337" w14:textId="77777777" w:rsidTr="00823A2F">
        <w:trPr>
          <w:trHeight w:hRule="exact" w:val="580"/>
        </w:trPr>
        <w:tc>
          <w:tcPr>
            <w:tcW w:w="1318" w:type="dxa"/>
            <w:vMerge/>
            <w:tcBorders>
              <w:left w:val="single" w:sz="6" w:space="0" w:color="000000"/>
              <w:bottom w:val="single" w:sz="6" w:space="0" w:color="000000"/>
              <w:right w:val="single" w:sz="6" w:space="0" w:color="000000"/>
            </w:tcBorders>
          </w:tcPr>
          <w:p w14:paraId="16CAF30F"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02DB3F2D"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01341B8"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6DCCF54D"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13</w:t>
            </w:r>
          </w:p>
        </w:tc>
        <w:tc>
          <w:tcPr>
            <w:tcW w:w="1244" w:type="dxa"/>
            <w:tcBorders>
              <w:top w:val="single" w:sz="6" w:space="0" w:color="000000"/>
              <w:left w:val="single" w:sz="6" w:space="0" w:color="000000"/>
              <w:bottom w:val="single" w:sz="6" w:space="0" w:color="000000"/>
              <w:right w:val="single" w:sz="6" w:space="0" w:color="000000"/>
            </w:tcBorders>
          </w:tcPr>
          <w:p w14:paraId="6AEB8A6C"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b/>
                <w:bCs/>
                <w:sz w:val="24"/>
                <w:szCs w:val="24"/>
              </w:rPr>
              <w:t>0%</w:t>
            </w:r>
          </w:p>
        </w:tc>
        <w:tc>
          <w:tcPr>
            <w:tcW w:w="850" w:type="dxa"/>
            <w:tcBorders>
              <w:top w:val="single" w:sz="6" w:space="0" w:color="000000"/>
              <w:left w:val="single" w:sz="6" w:space="0" w:color="000000"/>
              <w:bottom w:val="single" w:sz="6" w:space="0" w:color="000000"/>
              <w:right w:val="single" w:sz="6" w:space="0" w:color="000000"/>
            </w:tcBorders>
          </w:tcPr>
          <w:p w14:paraId="692A5063"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175AC93F" w14:textId="77777777" w:rsidR="008B1423" w:rsidRPr="00BE4F57" w:rsidRDefault="008B1423" w:rsidP="00A14CA6">
            <w:pPr>
              <w:shd w:val="clear" w:color="auto" w:fill="FFFFFF"/>
              <w:adjustRightInd w:val="0"/>
              <w:spacing w:after="0" w:line="240" w:lineRule="auto"/>
              <w:jc w:val="center"/>
              <w:rPr>
                <w:rFonts w:ascii="Sylfaen" w:hAnsi="Sylfaen"/>
                <w:sz w:val="24"/>
                <w:szCs w:val="24"/>
              </w:rPr>
            </w:pPr>
            <w:r w:rsidRPr="00BE4F57">
              <w:rPr>
                <w:rFonts w:ascii="Sylfaen" w:hAnsi="Sylfaen"/>
                <w:sz w:val="24"/>
                <w:szCs w:val="24"/>
              </w:rPr>
              <w:t>NAa</w:t>
            </w:r>
          </w:p>
        </w:tc>
      </w:tr>
    </w:tbl>
    <w:p w14:paraId="130A59D8"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sz w:val="24"/>
          <w:szCs w:val="24"/>
          <w:lang w:val="ka-GE"/>
        </w:rPr>
        <w:t>არ არის ხელმისაწვდომი</w:t>
      </w:r>
    </w:p>
    <w:p w14:paraId="0F25642D" w14:textId="77777777" w:rsidR="008B1423" w:rsidRPr="00BE4F57" w:rsidRDefault="008B1423" w:rsidP="00A14CA6">
      <w:pPr>
        <w:spacing w:after="0" w:line="240" w:lineRule="auto"/>
        <w:jc w:val="both"/>
        <w:rPr>
          <w:rFonts w:ascii="Sylfaen" w:hAnsi="Sylfaen"/>
          <w:color w:val="FF0000"/>
          <w:sz w:val="24"/>
          <w:szCs w:val="24"/>
          <w:lang w:val="ka-GE"/>
        </w:rPr>
      </w:pPr>
    </w:p>
    <w:p w14:paraId="2880C85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დისლიპიდემია</w:t>
      </w:r>
    </w:p>
    <w:p w14:paraId="6F93BCE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კომბის გამოყენებისას დაფიქსირდა ლიპიდების არასასურველი ცვლილებები. რეკომენდებულია კლინიკური მონიტორინგი, მათ შორის ლიპიდების მაჩვენებლის საწყისი და პერიოდული შემდგომი შეფასება პაციენტებში რექსეპი კომბის გამოყენებისას.</w:t>
      </w:r>
    </w:p>
    <w:p w14:paraId="11C3B6D4" w14:textId="77777777" w:rsidR="008B1423" w:rsidRPr="00BE4F57" w:rsidRDefault="008B1423" w:rsidP="00A14CA6">
      <w:pPr>
        <w:spacing w:after="0" w:line="240" w:lineRule="auto"/>
        <w:jc w:val="both"/>
        <w:rPr>
          <w:rFonts w:ascii="Sylfaen" w:hAnsi="Sylfaen"/>
          <w:sz w:val="24"/>
          <w:szCs w:val="24"/>
          <w:lang w:val="ka-GE"/>
        </w:rPr>
      </w:pPr>
    </w:p>
    <w:p w14:paraId="1C4997B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მოზრდილები - რექსეპი კომბის გამოყენებისას აღინიშნა ტრიგლიცერიდების დონის კლინიკურად მნიშვნელოვანი და ზოგჯერ ძალიან მაღალი (&gt;500 მგ/დლ) მომატება. რექსეპი კომბის გამოყენებისას ასევე დაფიქსირდა საერთო ქოლესტერინის კლინიკურად მნიშვნელოვანი მატება.</w:t>
      </w:r>
    </w:p>
    <w:p w14:paraId="4E4D2F6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7 კონტროლირებადი კლინიკური კვლევის ანალიზში, რომელთაგან 2 იყო პლაცებო-კონტროლირებადი, მკურნალობის ხანგრძლივობით 12 კვირამდე, რექსეპი კომბის მიმღებ </w:t>
      </w:r>
      <w:r w:rsidRPr="00BE4F57">
        <w:rPr>
          <w:rFonts w:ascii="Sylfaen" w:hAnsi="Sylfaen"/>
          <w:sz w:val="24"/>
          <w:szCs w:val="24"/>
          <w:lang w:val="ka-GE"/>
        </w:rPr>
        <w:lastRenderedPageBreak/>
        <w:t>პაციენტებში დაფიქსირდა საწყის მაჩვენებელთან შედარებით საშუალო რანდომული საერთო ქოლესტერინის დონის ზრდა 12.1 მგ/დლ–ით შედარებით ოლანზაპინის მიმღებ პაციენტებთან, რომლებშიც აღინიშნა საწყის დონესთან შედარებით</w:t>
      </w:r>
      <w:r w:rsidRPr="00BE4F57">
        <w:rPr>
          <w:rFonts w:ascii="Sylfaen" w:hAnsi="Sylfaen" w:cs="Sylfaen"/>
          <w:sz w:val="24"/>
          <w:szCs w:val="24"/>
        </w:rPr>
        <w:t xml:space="preserve"> </w:t>
      </w:r>
      <w:r w:rsidRPr="00BE4F57">
        <w:rPr>
          <w:rStyle w:val="ypks7kbdpwfgdykd3qb9"/>
          <w:rFonts w:ascii="Sylfaen" w:hAnsi="Sylfaen" w:cs="Sylfaen"/>
          <w:sz w:val="24"/>
          <w:szCs w:val="24"/>
        </w:rPr>
        <w:t>საშუალო</w:t>
      </w:r>
      <w:r w:rsidRPr="00BE4F57">
        <w:rPr>
          <w:rStyle w:val="ypks7kbdpwfgdykd3qb9"/>
          <w:sz w:val="24"/>
          <w:szCs w:val="24"/>
        </w:rPr>
        <w:t xml:space="preserve"> </w:t>
      </w:r>
      <w:r w:rsidRPr="00BE4F57">
        <w:rPr>
          <w:rStyle w:val="ypks7kbdpwfgdykd3qb9"/>
          <w:rFonts w:ascii="Sylfaen" w:hAnsi="Sylfaen" w:cs="Sylfaen"/>
          <w:sz w:val="24"/>
          <w:szCs w:val="24"/>
          <w:lang w:val="ka-GE"/>
        </w:rPr>
        <w:t>რანდომული</w:t>
      </w:r>
      <w:r w:rsidRPr="00BE4F57">
        <w:rPr>
          <w:rStyle w:val="ypks7kbdpwfgdykd3qb9"/>
          <w:sz w:val="24"/>
          <w:szCs w:val="24"/>
        </w:rPr>
        <w:t xml:space="preserve"> </w:t>
      </w:r>
      <w:r w:rsidRPr="00BE4F57">
        <w:rPr>
          <w:rStyle w:val="ypks7kbdpwfgdykd3qb9"/>
          <w:rFonts w:ascii="Sylfaen" w:hAnsi="Sylfaen" w:cs="Sylfaen"/>
          <w:sz w:val="24"/>
          <w:szCs w:val="24"/>
        </w:rPr>
        <w:t>საერთო</w:t>
      </w:r>
      <w:r w:rsidRPr="00BE4F57">
        <w:rPr>
          <w:rStyle w:val="ypks7kbdpwfgdykd3qb9"/>
          <w:sz w:val="24"/>
          <w:szCs w:val="24"/>
        </w:rPr>
        <w:t xml:space="preserve"> </w:t>
      </w:r>
      <w:r w:rsidRPr="00BE4F57">
        <w:rPr>
          <w:rStyle w:val="ypks7kbdpwfgdykd3qb9"/>
          <w:rFonts w:ascii="Sylfaen" w:hAnsi="Sylfaen" w:cs="Sylfaen"/>
          <w:sz w:val="24"/>
          <w:szCs w:val="24"/>
        </w:rPr>
        <w:t>ქოლესტერინის</w:t>
      </w:r>
      <w:r w:rsidRPr="00BE4F57">
        <w:rPr>
          <w:rStyle w:val="ypks7kbdpwfgdykd3qb9"/>
          <w:sz w:val="24"/>
          <w:szCs w:val="24"/>
        </w:rPr>
        <w:t xml:space="preserve"> </w:t>
      </w:r>
      <w:r w:rsidRPr="00BE4F57">
        <w:rPr>
          <w:rStyle w:val="ypks7kbdpwfgdykd3qb9"/>
          <w:rFonts w:ascii="Sylfaen" w:hAnsi="Sylfaen"/>
          <w:sz w:val="24"/>
          <w:szCs w:val="24"/>
          <w:lang w:val="ka-GE"/>
        </w:rPr>
        <w:t xml:space="preserve">დონის </w:t>
      </w:r>
      <w:r w:rsidRPr="00BE4F57">
        <w:rPr>
          <w:rStyle w:val="ypks7kbdpwfgdykd3qb9"/>
          <w:rFonts w:ascii="Sylfaen" w:hAnsi="Sylfaen" w:cs="Sylfaen"/>
          <w:sz w:val="24"/>
          <w:szCs w:val="24"/>
          <w:lang w:val="ka-GE"/>
        </w:rPr>
        <w:t xml:space="preserve">ზრდა </w:t>
      </w:r>
      <w:r w:rsidRPr="00BE4F57">
        <w:rPr>
          <w:rStyle w:val="ypks7kbdpwfgdykd3qb9"/>
          <w:sz w:val="24"/>
          <w:szCs w:val="24"/>
        </w:rPr>
        <w:t xml:space="preserve">4.8 </w:t>
      </w:r>
      <w:r w:rsidRPr="00BE4F57">
        <w:rPr>
          <w:rStyle w:val="ypks7kbdpwfgdykd3qb9"/>
          <w:rFonts w:ascii="Sylfaen" w:hAnsi="Sylfaen" w:cs="Sylfaen"/>
          <w:sz w:val="24"/>
          <w:szCs w:val="24"/>
        </w:rPr>
        <w:t>მგ</w:t>
      </w:r>
      <w:r w:rsidRPr="00BE4F57">
        <w:rPr>
          <w:rStyle w:val="ypks7kbdpwfgdykd3qb9"/>
          <w:sz w:val="24"/>
          <w:szCs w:val="24"/>
        </w:rPr>
        <w:t>/</w:t>
      </w:r>
      <w:r w:rsidRPr="00BE4F57">
        <w:rPr>
          <w:rStyle w:val="ypks7kbdpwfgdykd3qb9"/>
          <w:rFonts w:ascii="Sylfaen" w:hAnsi="Sylfaen" w:cs="Sylfaen"/>
          <w:sz w:val="24"/>
          <w:szCs w:val="24"/>
        </w:rPr>
        <w:t>დლ</w:t>
      </w:r>
      <w:r w:rsidRPr="00BE4F57">
        <w:rPr>
          <w:rStyle w:val="ypks7kbdpwfgdykd3qb9"/>
          <w:sz w:val="24"/>
          <w:szCs w:val="24"/>
        </w:rPr>
        <w:t>-</w:t>
      </w:r>
      <w:r w:rsidRPr="00BE4F57">
        <w:rPr>
          <w:rStyle w:val="ypks7kbdpwfgdykd3qb9"/>
          <w:rFonts w:ascii="Sylfaen" w:hAnsi="Sylfaen" w:cs="Sylfaen"/>
          <w:sz w:val="24"/>
          <w:szCs w:val="24"/>
        </w:rPr>
        <w:t>ით</w:t>
      </w:r>
      <w:r w:rsidRPr="00BE4F57">
        <w:rPr>
          <w:rFonts w:ascii="Sylfaen" w:hAnsi="Sylfaen"/>
          <w:sz w:val="24"/>
          <w:szCs w:val="24"/>
          <w:lang w:val="ka-GE"/>
        </w:rPr>
        <w:t xml:space="preserve">, და პლაცებოს მიმღებ პაციენტებთან  საშუალო რანდომული საერთო ქოლესტერინის 5.5 მგ/დლ ზრდით, მკურნალობის ხანგრძლივობისას 12 თვემდე. ცხრილი 6 აჩვენებს ლიპიდების მნიშვნელობების კატეგორიულ ცვლილებებს უზმოზე. </w:t>
      </w:r>
    </w:p>
    <w:p w14:paraId="021F5A0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კომბინაციაში ხანგრძლივი კვლევის დროს (მინიმუმ 48 კვირა), ჭამის შემდეგ საერთო ქოლესტერინის დონის ცვლილება (მინიმუმ ერთხელ) ნორმალური საწყისი დონიდან მაღალ დონემდე დაფიქსირდა პაციენტების 12%-ში (N=150), ხოლო სასაზღვროდან მაღალ დონემდე ცვლილება დაფიქსირდა პაციენტების 56.6%-ში (N=1.43). ჭამის შემდეგ საერთო ქოლესტერინის საშუალო ცვლილება იყო 11.3 მგ/დლ (N=426).</w:t>
      </w:r>
    </w:p>
    <w:p w14:paraId="07CE9F4F" w14:textId="77777777" w:rsidR="008B1423" w:rsidRPr="00BE4F57" w:rsidRDefault="008B1423" w:rsidP="00A14CA6">
      <w:pPr>
        <w:spacing w:after="0" w:line="240" w:lineRule="auto"/>
        <w:jc w:val="both"/>
        <w:rPr>
          <w:rFonts w:ascii="Sylfaen" w:hAnsi="Sylfaen"/>
          <w:sz w:val="24"/>
          <w:szCs w:val="24"/>
          <w:lang w:val="ka-GE"/>
        </w:rPr>
      </w:pPr>
    </w:p>
    <w:p w14:paraId="1CC2537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6: ჭამის შემდეგ ლიპიდების მნიშვნელობების ცვლილებები კონტროლირებად კლინიკურ კვლევებში, მკურნალობის ხანგრძლივობით 12 კვირამდე.</w:t>
      </w:r>
    </w:p>
    <w:p w14:paraId="66091526" w14:textId="77777777" w:rsidR="008B1423" w:rsidRPr="00BE4F57" w:rsidRDefault="008B1423" w:rsidP="00A14CA6">
      <w:pPr>
        <w:spacing w:after="0" w:line="240" w:lineRule="auto"/>
        <w:jc w:val="both"/>
        <w:rPr>
          <w:rFonts w:ascii="Sylfaen" w:hAnsi="Sylfaen"/>
          <w:b/>
          <w:sz w:val="24"/>
          <w:szCs w:val="24"/>
          <w:lang w:val="ka-GE"/>
        </w:rPr>
      </w:pPr>
    </w:p>
    <w:tbl>
      <w:tblPr>
        <w:tblW w:w="8789" w:type="dxa"/>
        <w:tblInd w:w="8" w:type="dxa"/>
        <w:tblLayout w:type="fixed"/>
        <w:tblCellMar>
          <w:left w:w="0" w:type="dxa"/>
          <w:right w:w="0" w:type="dxa"/>
        </w:tblCellMar>
        <w:tblLook w:val="01E0" w:firstRow="1" w:lastRow="1" w:firstColumn="1" w:lastColumn="1" w:noHBand="0" w:noVBand="0"/>
      </w:tblPr>
      <w:tblGrid>
        <w:gridCol w:w="1417"/>
        <w:gridCol w:w="2891"/>
        <w:gridCol w:w="1788"/>
        <w:gridCol w:w="1134"/>
        <w:gridCol w:w="1559"/>
      </w:tblGrid>
      <w:tr w:rsidR="008B1423" w:rsidRPr="00BE4F57" w14:paraId="397BD025" w14:textId="77777777" w:rsidTr="00D25B95">
        <w:trPr>
          <w:trHeight w:val="958"/>
        </w:trPr>
        <w:tc>
          <w:tcPr>
            <w:tcW w:w="1417" w:type="dxa"/>
            <w:tcBorders>
              <w:top w:val="single" w:sz="6" w:space="0" w:color="000000"/>
              <w:left w:val="single" w:sz="6" w:space="0" w:color="000000"/>
              <w:bottom w:val="single" w:sz="6" w:space="0" w:color="000000"/>
              <w:right w:val="single" w:sz="6" w:space="0" w:color="000000"/>
            </w:tcBorders>
          </w:tcPr>
          <w:p w14:paraId="057D3959"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300DC1BB"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tcBorders>
              <w:top w:val="single" w:sz="6" w:space="0" w:color="000000"/>
              <w:left w:val="single" w:sz="6" w:space="0" w:color="000000"/>
              <w:right w:val="single" w:sz="6" w:space="0" w:color="000000"/>
            </w:tcBorders>
          </w:tcPr>
          <w:p w14:paraId="1ACDF7D4"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788" w:type="dxa"/>
            <w:tcBorders>
              <w:top w:val="single" w:sz="6" w:space="0" w:color="000000"/>
              <w:left w:val="single" w:sz="6" w:space="0" w:color="000000"/>
              <w:right w:val="single" w:sz="6" w:space="0" w:color="000000"/>
            </w:tcBorders>
          </w:tcPr>
          <w:p w14:paraId="6AA95222"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1134" w:type="dxa"/>
            <w:tcBorders>
              <w:top w:val="single" w:sz="4" w:space="0" w:color="auto"/>
              <w:left w:val="single" w:sz="6" w:space="0" w:color="000000"/>
              <w:right w:val="single" w:sz="4" w:space="0" w:color="auto"/>
            </w:tcBorders>
          </w:tcPr>
          <w:p w14:paraId="7CC0E58C" w14:textId="77777777" w:rsidR="008B1423" w:rsidRPr="00BE4F57" w:rsidRDefault="008B1423" w:rsidP="00A14CA6">
            <w:pPr>
              <w:spacing w:after="0" w:line="240" w:lineRule="auto"/>
              <w:jc w:val="center"/>
              <w:rPr>
                <w:rFonts w:ascii="Sylfaen" w:hAnsi="Sylfaen" w:cs="Sylfaen"/>
                <w:b/>
                <w:sz w:val="24"/>
                <w:szCs w:val="24"/>
              </w:rPr>
            </w:pPr>
            <w:r w:rsidRPr="00BE4F57">
              <w:rPr>
                <w:rFonts w:ascii="Sylfaen" w:hAnsi="Sylfaen"/>
                <w:b/>
                <w:bCs/>
                <w:sz w:val="24"/>
                <w:szCs w:val="24"/>
              </w:rPr>
              <w:t>N</w:t>
            </w:r>
          </w:p>
        </w:tc>
        <w:tc>
          <w:tcPr>
            <w:tcW w:w="1559" w:type="dxa"/>
            <w:tcBorders>
              <w:top w:val="single" w:sz="4" w:space="0" w:color="auto"/>
              <w:left w:val="single" w:sz="6" w:space="0" w:color="000000"/>
              <w:right w:val="single" w:sz="4" w:space="0" w:color="auto"/>
            </w:tcBorders>
          </w:tcPr>
          <w:p w14:paraId="0F332E17" w14:textId="77777777" w:rsidR="008B1423" w:rsidRPr="00BE4F57" w:rsidRDefault="008B1423" w:rsidP="00A14CA6">
            <w:pPr>
              <w:spacing w:after="0" w:line="240" w:lineRule="auto"/>
              <w:jc w:val="center"/>
              <w:rPr>
                <w:rFonts w:ascii="Sylfaen" w:hAnsi="Sylfaen"/>
                <w:b/>
                <w:sz w:val="24"/>
                <w:szCs w:val="24"/>
              </w:rPr>
            </w:pPr>
            <w:r w:rsidRPr="00BE4F57">
              <w:rPr>
                <w:rFonts w:ascii="Sylfaen" w:hAnsi="Sylfaen"/>
                <w:b/>
                <w:bCs/>
                <w:sz w:val="24"/>
                <w:szCs w:val="24"/>
                <w:lang w:val="ka-GE"/>
              </w:rPr>
              <w:t>პაციენტები</w:t>
            </w:r>
          </w:p>
        </w:tc>
      </w:tr>
      <w:tr w:rsidR="008B1423" w:rsidRPr="00BE4F57" w14:paraId="75DF94CA" w14:textId="77777777" w:rsidTr="00D25B95">
        <w:trPr>
          <w:trHeight w:hRule="exact" w:val="837"/>
        </w:trPr>
        <w:tc>
          <w:tcPr>
            <w:tcW w:w="1417" w:type="dxa"/>
            <w:vMerge w:val="restart"/>
            <w:tcBorders>
              <w:top w:val="single" w:sz="6" w:space="0" w:color="000000"/>
              <w:left w:val="single" w:sz="6" w:space="0" w:color="000000"/>
              <w:right w:val="single" w:sz="6" w:space="0" w:color="000000"/>
            </w:tcBorders>
            <w:vAlign w:val="center"/>
          </w:tcPr>
          <w:p w14:paraId="5DECE039" w14:textId="77777777" w:rsidR="008B1423" w:rsidRPr="00BE4F57" w:rsidRDefault="008B1423" w:rsidP="00A14CA6">
            <w:pPr>
              <w:pStyle w:val="TableParagraph"/>
              <w:autoSpaceDE/>
              <w:autoSpaceDN/>
              <w:rPr>
                <w:rFonts w:ascii="Sylfaen" w:hAnsi="Sylfaen"/>
                <w:sz w:val="24"/>
                <w:szCs w:val="24"/>
              </w:rPr>
            </w:pPr>
          </w:p>
          <w:p w14:paraId="6362E12B" w14:textId="77777777" w:rsidR="008B1423" w:rsidRPr="00BE4F57" w:rsidRDefault="008B1423" w:rsidP="00A14CA6">
            <w:pPr>
              <w:pStyle w:val="TableParagraph"/>
              <w:autoSpaceDE/>
              <w:autoSpaceDN/>
              <w:rPr>
                <w:rFonts w:ascii="Sylfaen" w:hAnsi="Sylfaen"/>
                <w:sz w:val="24"/>
                <w:szCs w:val="24"/>
              </w:rPr>
            </w:pPr>
          </w:p>
          <w:p w14:paraId="63650F20"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ტრიგლიცერიდების დონე ჭამის შემდეგ</w:t>
            </w:r>
          </w:p>
        </w:tc>
        <w:tc>
          <w:tcPr>
            <w:tcW w:w="2891" w:type="dxa"/>
            <w:vMerge w:val="restart"/>
            <w:tcBorders>
              <w:top w:val="single" w:sz="6" w:space="0" w:color="000000"/>
              <w:left w:val="single" w:sz="6" w:space="0" w:color="000000"/>
              <w:right w:val="single" w:sz="6" w:space="0" w:color="000000"/>
            </w:tcBorders>
            <w:vAlign w:val="center"/>
          </w:tcPr>
          <w:p w14:paraId="37023D0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≥50 მგ/დლ ზრდა</w:t>
            </w:r>
          </w:p>
        </w:tc>
        <w:tc>
          <w:tcPr>
            <w:tcW w:w="1788" w:type="dxa"/>
            <w:tcBorders>
              <w:top w:val="single" w:sz="6" w:space="0" w:color="000000"/>
              <w:left w:val="single" w:sz="6" w:space="0" w:color="000000"/>
              <w:bottom w:val="single" w:sz="4" w:space="0" w:color="auto"/>
              <w:right w:val="single" w:sz="6" w:space="0" w:color="000000"/>
            </w:tcBorders>
          </w:tcPr>
          <w:p w14:paraId="6BEC1FCA"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4" w:space="0" w:color="auto"/>
              <w:right w:val="single" w:sz="6" w:space="0" w:color="000000"/>
            </w:tcBorders>
          </w:tcPr>
          <w:p w14:paraId="5C8C77F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174</w:t>
            </w:r>
          </w:p>
        </w:tc>
        <w:tc>
          <w:tcPr>
            <w:tcW w:w="1559" w:type="dxa"/>
            <w:tcBorders>
              <w:top w:val="single" w:sz="6" w:space="0" w:color="000000"/>
              <w:left w:val="single" w:sz="6" w:space="0" w:color="000000"/>
              <w:bottom w:val="single" w:sz="4" w:space="0" w:color="auto"/>
              <w:right w:val="single" w:sz="6" w:space="0" w:color="000000"/>
            </w:tcBorders>
          </w:tcPr>
          <w:p w14:paraId="13E290F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67.8%</w:t>
            </w:r>
          </w:p>
        </w:tc>
      </w:tr>
      <w:tr w:rsidR="008B1423" w:rsidRPr="00BE4F57" w14:paraId="697F4BB7" w14:textId="77777777" w:rsidTr="00D25B95">
        <w:trPr>
          <w:trHeight w:hRule="exact" w:val="290"/>
        </w:trPr>
        <w:tc>
          <w:tcPr>
            <w:tcW w:w="1417" w:type="dxa"/>
            <w:vMerge/>
            <w:tcBorders>
              <w:top w:val="single" w:sz="4" w:space="0" w:color="auto"/>
              <w:left w:val="single" w:sz="6" w:space="0" w:color="000000"/>
              <w:right w:val="single" w:sz="6" w:space="0" w:color="000000"/>
            </w:tcBorders>
            <w:vAlign w:val="center"/>
          </w:tcPr>
          <w:p w14:paraId="1D5BF369" w14:textId="77777777" w:rsidR="008B1423" w:rsidRPr="00BE4F57" w:rsidRDefault="008B1423" w:rsidP="00A14CA6">
            <w:pPr>
              <w:pStyle w:val="TableParagraph"/>
              <w:autoSpaceDE/>
              <w:autoSpaceDN/>
              <w:rPr>
                <w:rFonts w:ascii="Sylfaen" w:hAnsi="Sylfaen"/>
                <w:sz w:val="24"/>
                <w:szCs w:val="24"/>
              </w:rPr>
            </w:pPr>
          </w:p>
        </w:tc>
        <w:tc>
          <w:tcPr>
            <w:tcW w:w="2891" w:type="dxa"/>
            <w:vMerge/>
            <w:tcBorders>
              <w:top w:val="single" w:sz="6" w:space="0" w:color="000000"/>
              <w:left w:val="single" w:sz="6" w:space="0" w:color="000000"/>
              <w:bottom w:val="single" w:sz="4" w:space="0" w:color="auto"/>
              <w:right w:val="single" w:sz="6" w:space="0" w:color="000000"/>
            </w:tcBorders>
          </w:tcPr>
          <w:p w14:paraId="6B95B784" w14:textId="77777777" w:rsidR="008B1423" w:rsidRPr="00BE4F57" w:rsidRDefault="008B1423" w:rsidP="00A14CA6">
            <w:pPr>
              <w:pStyle w:val="TableParagraph"/>
              <w:autoSpaceDE/>
              <w:autoSpaceDN/>
              <w:rPr>
                <w:rFonts w:ascii="Sylfaen" w:hAnsi="Sylfaen" w:cs="Sylfaen"/>
                <w:sz w:val="24"/>
                <w:szCs w:val="24"/>
              </w:rPr>
            </w:pPr>
          </w:p>
        </w:tc>
        <w:tc>
          <w:tcPr>
            <w:tcW w:w="1788" w:type="dxa"/>
            <w:tcBorders>
              <w:top w:val="single" w:sz="4" w:space="0" w:color="auto"/>
              <w:left w:val="single" w:sz="6" w:space="0" w:color="000000"/>
              <w:bottom w:val="single" w:sz="6" w:space="0" w:color="000000"/>
              <w:right w:val="single" w:sz="6" w:space="0" w:color="000000"/>
            </w:tcBorders>
          </w:tcPr>
          <w:p w14:paraId="69AE41E1" w14:textId="77777777" w:rsidR="008B1423" w:rsidRPr="00BE4F57" w:rsidRDefault="008B1423" w:rsidP="00A14CA6">
            <w:pPr>
              <w:pStyle w:val="TableParagraph"/>
              <w:tabs>
                <w:tab w:val="left" w:pos="1294"/>
              </w:tabs>
              <w:rPr>
                <w:rFonts w:ascii="Sylfaen" w:hAnsi="Sylfaen" w:cs="Sylfaen"/>
                <w:sz w:val="24"/>
                <w:szCs w:val="24"/>
                <w:lang w:val="ka-GE"/>
              </w:rPr>
            </w:pPr>
            <w:r w:rsidRPr="00BE4F57">
              <w:rPr>
                <w:rFonts w:ascii="Sylfaen" w:hAnsi="Sylfaen" w:cs="Sylfaen"/>
                <w:sz w:val="24"/>
                <w:szCs w:val="24"/>
                <w:lang w:val="ka-GE"/>
              </w:rPr>
              <w:t>ოლანზაპინი</w:t>
            </w:r>
          </w:p>
        </w:tc>
        <w:tc>
          <w:tcPr>
            <w:tcW w:w="1134" w:type="dxa"/>
            <w:tcBorders>
              <w:top w:val="single" w:sz="4" w:space="0" w:color="auto"/>
              <w:left w:val="single" w:sz="6" w:space="0" w:color="000000"/>
              <w:bottom w:val="single" w:sz="6" w:space="0" w:color="000000"/>
              <w:right w:val="single" w:sz="6" w:space="0" w:color="000000"/>
            </w:tcBorders>
          </w:tcPr>
          <w:p w14:paraId="5D22498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172</w:t>
            </w:r>
          </w:p>
        </w:tc>
        <w:tc>
          <w:tcPr>
            <w:tcW w:w="1559" w:type="dxa"/>
            <w:tcBorders>
              <w:top w:val="single" w:sz="4" w:space="0" w:color="auto"/>
              <w:left w:val="single" w:sz="6" w:space="0" w:color="000000"/>
              <w:bottom w:val="single" w:sz="6" w:space="0" w:color="000000"/>
              <w:right w:val="single" w:sz="6" w:space="0" w:color="000000"/>
            </w:tcBorders>
          </w:tcPr>
          <w:p w14:paraId="076C86E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72.7%</w:t>
            </w:r>
          </w:p>
        </w:tc>
      </w:tr>
      <w:tr w:rsidR="008B1423" w:rsidRPr="00BE4F57" w14:paraId="37EE16B9" w14:textId="77777777" w:rsidTr="00D25B95">
        <w:trPr>
          <w:trHeight w:hRule="exact" w:val="871"/>
        </w:trPr>
        <w:tc>
          <w:tcPr>
            <w:tcW w:w="1417" w:type="dxa"/>
            <w:vMerge/>
            <w:tcBorders>
              <w:top w:val="single" w:sz="4" w:space="0" w:color="auto"/>
              <w:left w:val="single" w:sz="6" w:space="0" w:color="000000"/>
              <w:right w:val="single" w:sz="6" w:space="0" w:color="000000"/>
            </w:tcBorders>
            <w:vAlign w:val="center"/>
          </w:tcPr>
          <w:p w14:paraId="53888D7C"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right w:val="single" w:sz="6" w:space="0" w:color="000000"/>
            </w:tcBorders>
          </w:tcPr>
          <w:p w14:paraId="38A8BE5D"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150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500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4" w:space="0" w:color="auto"/>
              <w:right w:val="single" w:sz="6" w:space="0" w:color="000000"/>
            </w:tcBorders>
          </w:tcPr>
          <w:p w14:paraId="3C9BDA57"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4" w:space="0" w:color="auto"/>
              <w:right w:val="single" w:sz="6" w:space="0" w:color="000000"/>
            </w:tcBorders>
          </w:tcPr>
          <w:p w14:paraId="42140C4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57</w:t>
            </w:r>
          </w:p>
        </w:tc>
        <w:tc>
          <w:tcPr>
            <w:tcW w:w="1559" w:type="dxa"/>
            <w:tcBorders>
              <w:top w:val="single" w:sz="6" w:space="0" w:color="000000"/>
              <w:left w:val="single" w:sz="6" w:space="0" w:color="000000"/>
              <w:bottom w:val="single" w:sz="4" w:space="0" w:color="auto"/>
              <w:right w:val="single" w:sz="6" w:space="0" w:color="000000"/>
            </w:tcBorders>
          </w:tcPr>
          <w:p w14:paraId="1628D7D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1520EDCA" w14:textId="77777777" w:rsidTr="00D25B95">
        <w:trPr>
          <w:trHeight w:hRule="exact" w:val="386"/>
        </w:trPr>
        <w:tc>
          <w:tcPr>
            <w:tcW w:w="1417" w:type="dxa"/>
            <w:vMerge/>
            <w:tcBorders>
              <w:top w:val="single" w:sz="4" w:space="0" w:color="auto"/>
              <w:left w:val="single" w:sz="6" w:space="0" w:color="000000"/>
              <w:right w:val="single" w:sz="6" w:space="0" w:color="000000"/>
            </w:tcBorders>
            <w:vAlign w:val="center"/>
          </w:tcPr>
          <w:p w14:paraId="43EA7E17"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15F40BC1" w14:textId="77777777" w:rsidR="008B1423" w:rsidRPr="00BE4F57" w:rsidRDefault="008B1423" w:rsidP="00A14CA6">
            <w:pPr>
              <w:spacing w:after="0" w:line="240" w:lineRule="auto"/>
              <w:rPr>
                <w:rFonts w:ascii="Sylfaen" w:hAnsi="Sylfaen" w:cs="Sylfaen"/>
                <w:sz w:val="24"/>
                <w:szCs w:val="24"/>
              </w:rPr>
            </w:pPr>
          </w:p>
        </w:tc>
        <w:tc>
          <w:tcPr>
            <w:tcW w:w="1788" w:type="dxa"/>
            <w:tcBorders>
              <w:top w:val="single" w:sz="4" w:space="0" w:color="auto"/>
              <w:left w:val="single" w:sz="6" w:space="0" w:color="000000"/>
              <w:bottom w:val="single" w:sz="6" w:space="0" w:color="000000"/>
              <w:right w:val="single" w:sz="6" w:space="0" w:color="000000"/>
            </w:tcBorders>
          </w:tcPr>
          <w:p w14:paraId="4E73A4F5" w14:textId="77777777" w:rsidR="008B1423" w:rsidRPr="00BE4F57" w:rsidRDefault="008B1423" w:rsidP="00A14CA6">
            <w:pPr>
              <w:pStyle w:val="TableParagraph"/>
              <w:rPr>
                <w:rFonts w:ascii="Sylfaen" w:hAnsi="Sylfaen" w:cs="Sylfaen"/>
                <w:sz w:val="24"/>
                <w:szCs w:val="24"/>
                <w:lang w:val="ka-GE"/>
              </w:rPr>
            </w:pPr>
            <w:r w:rsidRPr="00BE4F57">
              <w:rPr>
                <w:rFonts w:ascii="Sylfaen" w:hAnsi="Sylfaen" w:cs="Sylfaen"/>
                <w:sz w:val="24"/>
                <w:szCs w:val="24"/>
                <w:lang w:val="ka-GE"/>
              </w:rPr>
              <w:t>ოლანზაპინი</w:t>
            </w:r>
          </w:p>
        </w:tc>
        <w:tc>
          <w:tcPr>
            <w:tcW w:w="1134" w:type="dxa"/>
            <w:tcBorders>
              <w:top w:val="single" w:sz="4" w:space="0" w:color="auto"/>
              <w:left w:val="single" w:sz="6" w:space="0" w:color="000000"/>
              <w:bottom w:val="single" w:sz="6" w:space="0" w:color="000000"/>
              <w:right w:val="single" w:sz="6" w:space="0" w:color="000000"/>
            </w:tcBorders>
          </w:tcPr>
          <w:p w14:paraId="458C2D8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58</w:t>
            </w:r>
          </w:p>
        </w:tc>
        <w:tc>
          <w:tcPr>
            <w:tcW w:w="1559" w:type="dxa"/>
            <w:tcBorders>
              <w:top w:val="single" w:sz="4" w:space="0" w:color="auto"/>
              <w:left w:val="single" w:sz="6" w:space="0" w:color="000000"/>
              <w:bottom w:val="single" w:sz="6" w:space="0" w:color="000000"/>
              <w:right w:val="single" w:sz="6" w:space="0" w:color="000000"/>
            </w:tcBorders>
          </w:tcPr>
          <w:p w14:paraId="2DBBB52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6B7450D0" w14:textId="77777777" w:rsidTr="00D25B95">
        <w:trPr>
          <w:trHeight w:hRule="exact" w:val="866"/>
        </w:trPr>
        <w:tc>
          <w:tcPr>
            <w:tcW w:w="1417" w:type="dxa"/>
            <w:vMerge/>
            <w:tcBorders>
              <w:top w:val="single" w:sz="4" w:space="0" w:color="auto"/>
              <w:left w:val="single" w:sz="6" w:space="0" w:color="000000"/>
              <w:right w:val="single" w:sz="6" w:space="0" w:color="000000"/>
            </w:tcBorders>
            <w:vAlign w:val="center"/>
          </w:tcPr>
          <w:p w14:paraId="2B4F0B57"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bottom w:val="single" w:sz="4" w:space="0" w:color="auto"/>
              <w:right w:val="single" w:sz="6" w:space="0" w:color="000000"/>
            </w:tcBorders>
          </w:tcPr>
          <w:p w14:paraId="1272E1D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(≥1</w:t>
            </w:r>
            <w:r w:rsidRPr="00BE4F57">
              <w:rPr>
                <w:rFonts w:ascii="Sylfaen" w:hAnsi="Sylfaen"/>
                <w:sz w:val="24"/>
                <w:szCs w:val="24"/>
                <w:lang w:val="ka-GE"/>
              </w:rPr>
              <w:t>5</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500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500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6" w:space="0" w:color="000000"/>
              <w:right w:val="single" w:sz="6" w:space="0" w:color="000000"/>
            </w:tcBorders>
          </w:tcPr>
          <w:p w14:paraId="5C4F021E"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6" w:space="0" w:color="000000"/>
              <w:right w:val="single" w:sz="6" w:space="0" w:color="000000"/>
            </w:tcBorders>
          </w:tcPr>
          <w:p w14:paraId="5E11334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106</w:t>
            </w:r>
          </w:p>
        </w:tc>
        <w:tc>
          <w:tcPr>
            <w:tcW w:w="1559" w:type="dxa"/>
            <w:tcBorders>
              <w:top w:val="single" w:sz="6" w:space="0" w:color="000000"/>
              <w:left w:val="single" w:sz="6" w:space="0" w:color="000000"/>
              <w:bottom w:val="single" w:sz="6" w:space="0" w:color="000000"/>
              <w:right w:val="single" w:sz="6" w:space="0" w:color="000000"/>
            </w:tcBorders>
          </w:tcPr>
          <w:p w14:paraId="54E8363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15.1%</w:t>
            </w:r>
          </w:p>
        </w:tc>
      </w:tr>
      <w:tr w:rsidR="008B1423" w:rsidRPr="00BE4F57" w14:paraId="1C9AFBF0" w14:textId="77777777" w:rsidTr="00D25B95">
        <w:trPr>
          <w:trHeight w:hRule="exact" w:val="559"/>
        </w:trPr>
        <w:tc>
          <w:tcPr>
            <w:tcW w:w="1417" w:type="dxa"/>
            <w:vMerge/>
            <w:tcBorders>
              <w:top w:val="single" w:sz="4" w:space="0" w:color="auto"/>
              <w:left w:val="single" w:sz="6" w:space="0" w:color="000000"/>
              <w:bottom w:val="single" w:sz="4" w:space="0" w:color="auto"/>
              <w:right w:val="single" w:sz="6" w:space="0" w:color="000000"/>
            </w:tcBorders>
            <w:vAlign w:val="center"/>
          </w:tcPr>
          <w:p w14:paraId="684D394A" w14:textId="77777777" w:rsidR="008B1423" w:rsidRPr="00BE4F57" w:rsidRDefault="008B1423" w:rsidP="00A14CA6">
            <w:pPr>
              <w:spacing w:after="0" w:line="240" w:lineRule="auto"/>
              <w:rPr>
                <w:rFonts w:ascii="Sylfaen" w:hAnsi="Sylfaen"/>
                <w:sz w:val="24"/>
                <w:szCs w:val="24"/>
              </w:rPr>
            </w:pPr>
          </w:p>
        </w:tc>
        <w:tc>
          <w:tcPr>
            <w:tcW w:w="2891" w:type="dxa"/>
            <w:vMerge/>
            <w:tcBorders>
              <w:top w:val="single" w:sz="4" w:space="0" w:color="auto"/>
              <w:left w:val="single" w:sz="6" w:space="0" w:color="000000"/>
              <w:bottom w:val="single" w:sz="4" w:space="0" w:color="auto"/>
              <w:right w:val="single" w:sz="6" w:space="0" w:color="000000"/>
            </w:tcBorders>
          </w:tcPr>
          <w:p w14:paraId="759BC44A"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73C6471C"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lang w:val="ka-GE"/>
              </w:rPr>
              <w:t>ოლანზაპინი</w:t>
            </w:r>
          </w:p>
        </w:tc>
        <w:tc>
          <w:tcPr>
            <w:tcW w:w="1134" w:type="dxa"/>
            <w:tcBorders>
              <w:top w:val="single" w:sz="6" w:space="0" w:color="000000"/>
              <w:left w:val="single" w:sz="6" w:space="0" w:color="000000"/>
              <w:bottom w:val="single" w:sz="6" w:space="0" w:color="000000"/>
              <w:right w:val="single" w:sz="6" w:space="0" w:color="000000"/>
            </w:tcBorders>
          </w:tcPr>
          <w:p w14:paraId="18A303A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103</w:t>
            </w:r>
          </w:p>
        </w:tc>
        <w:tc>
          <w:tcPr>
            <w:tcW w:w="1559" w:type="dxa"/>
            <w:tcBorders>
              <w:top w:val="single" w:sz="6" w:space="0" w:color="000000"/>
              <w:left w:val="single" w:sz="6" w:space="0" w:color="000000"/>
              <w:bottom w:val="single" w:sz="6" w:space="0" w:color="000000"/>
              <w:right w:val="single" w:sz="6" w:space="0" w:color="000000"/>
            </w:tcBorders>
          </w:tcPr>
          <w:p w14:paraId="40D092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8.7%</w:t>
            </w:r>
          </w:p>
        </w:tc>
      </w:tr>
      <w:tr w:rsidR="008B1423" w:rsidRPr="00BE4F57" w14:paraId="1C5CF94F" w14:textId="77777777" w:rsidTr="00D25B95">
        <w:trPr>
          <w:trHeight w:hRule="exact" w:val="884"/>
        </w:trPr>
        <w:tc>
          <w:tcPr>
            <w:tcW w:w="1417" w:type="dxa"/>
            <w:vMerge w:val="restart"/>
            <w:tcBorders>
              <w:top w:val="single" w:sz="4" w:space="0" w:color="auto"/>
              <w:left w:val="single" w:sz="6" w:space="0" w:color="000000"/>
              <w:bottom w:val="single" w:sz="4" w:space="0" w:color="auto"/>
              <w:right w:val="single" w:sz="6" w:space="0" w:color="000000"/>
            </w:tcBorders>
            <w:vAlign w:val="center"/>
          </w:tcPr>
          <w:p w14:paraId="00BFE967" w14:textId="77777777" w:rsidR="008B1423" w:rsidRPr="00BE4F57" w:rsidRDefault="008B1423" w:rsidP="00A14CA6">
            <w:pPr>
              <w:spacing w:after="0" w:line="240" w:lineRule="auto"/>
              <w:rPr>
                <w:rFonts w:ascii="Sylfaen" w:hAnsi="Sylfaen"/>
                <w:sz w:val="24"/>
                <w:szCs w:val="24"/>
                <w:lang w:val="ka-GE"/>
              </w:rPr>
            </w:pPr>
            <w:r w:rsidRPr="00BE4F57">
              <w:rPr>
                <w:rFonts w:ascii="Sylfaen" w:hAnsi="Sylfaen"/>
                <w:sz w:val="24"/>
                <w:szCs w:val="24"/>
                <w:lang w:val="ka-GE"/>
              </w:rPr>
              <w:t>საერთო ქოლესტერინი</w:t>
            </w:r>
          </w:p>
        </w:tc>
        <w:tc>
          <w:tcPr>
            <w:tcW w:w="2891" w:type="dxa"/>
            <w:vMerge w:val="restart"/>
            <w:tcBorders>
              <w:top w:val="single" w:sz="4" w:space="0" w:color="auto"/>
              <w:left w:val="single" w:sz="6" w:space="0" w:color="000000"/>
              <w:right w:val="single" w:sz="6" w:space="0" w:color="000000"/>
            </w:tcBorders>
            <w:vAlign w:val="center"/>
          </w:tcPr>
          <w:p w14:paraId="5D69C54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4</w:t>
            </w:r>
            <w:r w:rsidRPr="00BE4F57">
              <w:rPr>
                <w:rFonts w:ascii="Sylfaen" w:hAnsi="Sylfaen"/>
                <w:sz w:val="24"/>
                <w:szCs w:val="24"/>
              </w:rPr>
              <w:t>0 მგ/დლ ზრდა</w:t>
            </w:r>
          </w:p>
          <w:p w14:paraId="3DC1D264" w14:textId="77777777" w:rsidR="008B1423" w:rsidRPr="00BE4F57" w:rsidRDefault="008B1423" w:rsidP="00A14CA6">
            <w:pPr>
              <w:pStyle w:val="TableParagraph"/>
              <w:autoSpaceDE/>
              <w:autoSpaceDN/>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4FB121F7"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6" w:space="0" w:color="000000"/>
              <w:right w:val="single" w:sz="6" w:space="0" w:color="000000"/>
            </w:tcBorders>
          </w:tcPr>
          <w:p w14:paraId="5970E03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685</w:t>
            </w:r>
          </w:p>
        </w:tc>
        <w:tc>
          <w:tcPr>
            <w:tcW w:w="1559" w:type="dxa"/>
            <w:tcBorders>
              <w:top w:val="single" w:sz="6" w:space="0" w:color="000000"/>
              <w:left w:val="single" w:sz="6" w:space="0" w:color="000000"/>
              <w:bottom w:val="single" w:sz="6" w:space="0" w:color="000000"/>
              <w:right w:val="single" w:sz="6" w:space="0" w:color="000000"/>
            </w:tcBorders>
          </w:tcPr>
          <w:p w14:paraId="5A557B0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35%</w:t>
            </w:r>
          </w:p>
        </w:tc>
      </w:tr>
      <w:tr w:rsidR="008B1423" w:rsidRPr="00BE4F57" w14:paraId="3468BD15" w14:textId="77777777" w:rsidTr="00D25B95">
        <w:trPr>
          <w:trHeight w:hRule="exact" w:val="326"/>
        </w:trPr>
        <w:tc>
          <w:tcPr>
            <w:tcW w:w="1417" w:type="dxa"/>
            <w:vMerge/>
            <w:tcBorders>
              <w:top w:val="single" w:sz="4" w:space="0" w:color="auto"/>
              <w:left w:val="single" w:sz="6" w:space="0" w:color="000000"/>
              <w:bottom w:val="single" w:sz="4" w:space="0" w:color="auto"/>
              <w:right w:val="single" w:sz="6" w:space="0" w:color="000000"/>
            </w:tcBorders>
          </w:tcPr>
          <w:p w14:paraId="35D50FA9"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right w:val="single" w:sz="6" w:space="0" w:color="000000"/>
            </w:tcBorders>
          </w:tcPr>
          <w:p w14:paraId="49C69691"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628B2026"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ოლანზაპინი</w:t>
            </w:r>
          </w:p>
        </w:tc>
        <w:tc>
          <w:tcPr>
            <w:tcW w:w="1134" w:type="dxa"/>
            <w:tcBorders>
              <w:top w:val="single" w:sz="6" w:space="0" w:color="000000"/>
              <w:left w:val="single" w:sz="6" w:space="0" w:color="000000"/>
              <w:bottom w:val="single" w:sz="6" w:space="0" w:color="000000"/>
              <w:right w:val="single" w:sz="6" w:space="0" w:color="000000"/>
            </w:tcBorders>
          </w:tcPr>
          <w:p w14:paraId="0E5D4C1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749</w:t>
            </w:r>
          </w:p>
        </w:tc>
        <w:tc>
          <w:tcPr>
            <w:tcW w:w="1559" w:type="dxa"/>
            <w:tcBorders>
              <w:top w:val="single" w:sz="6" w:space="0" w:color="000000"/>
              <w:left w:val="single" w:sz="6" w:space="0" w:color="000000"/>
              <w:bottom w:val="single" w:sz="6" w:space="0" w:color="000000"/>
              <w:right w:val="single" w:sz="6" w:space="0" w:color="000000"/>
            </w:tcBorders>
          </w:tcPr>
          <w:p w14:paraId="2C3CD29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22.7%</w:t>
            </w:r>
          </w:p>
        </w:tc>
      </w:tr>
      <w:tr w:rsidR="008B1423" w:rsidRPr="00BE4F57" w14:paraId="6FF41DA7" w14:textId="77777777" w:rsidTr="00D25B95">
        <w:trPr>
          <w:trHeight w:hRule="exact" w:val="302"/>
        </w:trPr>
        <w:tc>
          <w:tcPr>
            <w:tcW w:w="1417" w:type="dxa"/>
            <w:vMerge/>
            <w:tcBorders>
              <w:top w:val="single" w:sz="4" w:space="0" w:color="auto"/>
              <w:left w:val="single" w:sz="6" w:space="0" w:color="000000"/>
              <w:bottom w:val="single" w:sz="4" w:space="0" w:color="auto"/>
              <w:right w:val="single" w:sz="6" w:space="0" w:color="000000"/>
            </w:tcBorders>
          </w:tcPr>
          <w:p w14:paraId="312AA59F"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4C209A2E"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19C7B340"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პლაცებო</w:t>
            </w:r>
          </w:p>
        </w:tc>
        <w:tc>
          <w:tcPr>
            <w:tcW w:w="1134" w:type="dxa"/>
            <w:tcBorders>
              <w:top w:val="single" w:sz="6" w:space="0" w:color="000000"/>
              <w:left w:val="single" w:sz="6" w:space="0" w:color="000000"/>
              <w:bottom w:val="single" w:sz="6" w:space="0" w:color="000000"/>
              <w:right w:val="single" w:sz="6" w:space="0" w:color="000000"/>
            </w:tcBorders>
          </w:tcPr>
          <w:p w14:paraId="1D345E3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390</w:t>
            </w:r>
          </w:p>
        </w:tc>
        <w:tc>
          <w:tcPr>
            <w:tcW w:w="1559" w:type="dxa"/>
            <w:tcBorders>
              <w:top w:val="single" w:sz="6" w:space="0" w:color="000000"/>
              <w:left w:val="single" w:sz="6" w:space="0" w:color="000000"/>
              <w:bottom w:val="single" w:sz="6" w:space="0" w:color="000000"/>
              <w:right w:val="single" w:sz="6" w:space="0" w:color="000000"/>
            </w:tcBorders>
          </w:tcPr>
          <w:p w14:paraId="7D1028A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w:t>
            </w:r>
          </w:p>
        </w:tc>
      </w:tr>
      <w:tr w:rsidR="008B1423" w:rsidRPr="00BE4F57" w14:paraId="5AFE60EA" w14:textId="77777777" w:rsidTr="00D25B95">
        <w:trPr>
          <w:trHeight w:hRule="exact" w:val="921"/>
        </w:trPr>
        <w:tc>
          <w:tcPr>
            <w:tcW w:w="1417" w:type="dxa"/>
            <w:vMerge/>
            <w:tcBorders>
              <w:top w:val="single" w:sz="4" w:space="0" w:color="auto"/>
              <w:left w:val="single" w:sz="6" w:space="0" w:color="000000"/>
              <w:bottom w:val="single" w:sz="4" w:space="0" w:color="auto"/>
              <w:right w:val="single" w:sz="6" w:space="0" w:color="000000"/>
            </w:tcBorders>
          </w:tcPr>
          <w:p w14:paraId="03227619"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right w:val="single" w:sz="6" w:space="0" w:color="000000"/>
            </w:tcBorders>
          </w:tcPr>
          <w:p w14:paraId="5C195C3F" w14:textId="77777777" w:rsidR="008B1423" w:rsidRPr="00BE4F57" w:rsidRDefault="008B1423" w:rsidP="00A14CA6">
            <w:pPr>
              <w:spacing w:after="0" w:line="240" w:lineRule="auto"/>
              <w:rPr>
                <w:rFonts w:ascii="Sylfaen" w:hAnsi="Sylfaen" w:cs="Sylfaen"/>
                <w:sz w:val="24"/>
                <w:szCs w:val="24"/>
              </w:rPr>
            </w:pPr>
          </w:p>
          <w:p w14:paraId="53F4BB73" w14:textId="77777777" w:rsidR="008B1423" w:rsidRPr="00BE4F57" w:rsidRDefault="008B1423" w:rsidP="00A14CA6">
            <w:pPr>
              <w:spacing w:after="0" w:line="240" w:lineRule="auto"/>
              <w:rPr>
                <w:rFonts w:ascii="Sylfaen" w:hAnsi="Sylfaen" w:cs="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200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240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6" w:space="0" w:color="000000"/>
              <w:right w:val="single" w:sz="6" w:space="0" w:color="000000"/>
            </w:tcBorders>
          </w:tcPr>
          <w:p w14:paraId="6EC7FE18"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6" w:space="0" w:color="000000"/>
              <w:right w:val="single" w:sz="6" w:space="0" w:color="000000"/>
            </w:tcBorders>
          </w:tcPr>
          <w:p w14:paraId="096BDE5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256</w:t>
            </w:r>
          </w:p>
        </w:tc>
        <w:tc>
          <w:tcPr>
            <w:tcW w:w="1559" w:type="dxa"/>
            <w:tcBorders>
              <w:top w:val="single" w:sz="6" w:space="0" w:color="000000"/>
              <w:left w:val="single" w:sz="6" w:space="0" w:color="000000"/>
              <w:bottom w:val="single" w:sz="6" w:space="0" w:color="000000"/>
              <w:right w:val="single" w:sz="6" w:space="0" w:color="000000"/>
            </w:tcBorders>
          </w:tcPr>
          <w:p w14:paraId="0A3CD68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8.2%</w:t>
            </w:r>
          </w:p>
        </w:tc>
      </w:tr>
      <w:tr w:rsidR="008B1423" w:rsidRPr="00BE4F57" w14:paraId="69741645" w14:textId="77777777" w:rsidTr="00D25B95">
        <w:trPr>
          <w:trHeight w:hRule="exact" w:val="272"/>
        </w:trPr>
        <w:tc>
          <w:tcPr>
            <w:tcW w:w="1417" w:type="dxa"/>
            <w:vMerge/>
            <w:tcBorders>
              <w:top w:val="single" w:sz="4" w:space="0" w:color="auto"/>
              <w:left w:val="single" w:sz="6" w:space="0" w:color="000000"/>
              <w:bottom w:val="single" w:sz="4" w:space="0" w:color="auto"/>
              <w:right w:val="single" w:sz="6" w:space="0" w:color="000000"/>
            </w:tcBorders>
          </w:tcPr>
          <w:p w14:paraId="6BD8DE7A"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right w:val="single" w:sz="6" w:space="0" w:color="000000"/>
            </w:tcBorders>
          </w:tcPr>
          <w:p w14:paraId="79DBD69E"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01C5659C"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ოლანზაპინი</w:t>
            </w:r>
          </w:p>
        </w:tc>
        <w:tc>
          <w:tcPr>
            <w:tcW w:w="1134" w:type="dxa"/>
            <w:tcBorders>
              <w:top w:val="single" w:sz="6" w:space="0" w:color="000000"/>
              <w:left w:val="single" w:sz="6" w:space="0" w:color="000000"/>
              <w:bottom w:val="single" w:sz="6" w:space="0" w:color="000000"/>
              <w:right w:val="single" w:sz="6" w:space="0" w:color="000000"/>
            </w:tcBorders>
          </w:tcPr>
          <w:p w14:paraId="0CD7CF0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279</w:t>
            </w:r>
          </w:p>
        </w:tc>
        <w:tc>
          <w:tcPr>
            <w:tcW w:w="1559" w:type="dxa"/>
            <w:tcBorders>
              <w:top w:val="single" w:sz="6" w:space="0" w:color="000000"/>
              <w:left w:val="single" w:sz="6" w:space="0" w:color="000000"/>
              <w:bottom w:val="single" w:sz="6" w:space="0" w:color="000000"/>
              <w:right w:val="single" w:sz="6" w:space="0" w:color="000000"/>
            </w:tcBorders>
          </w:tcPr>
          <w:p w14:paraId="4E2E836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2.9%</w:t>
            </w:r>
          </w:p>
        </w:tc>
      </w:tr>
      <w:tr w:rsidR="008B1423" w:rsidRPr="00BE4F57" w14:paraId="138BCCF3" w14:textId="77777777" w:rsidTr="00D25B95">
        <w:trPr>
          <w:trHeight w:hRule="exact" w:val="290"/>
        </w:trPr>
        <w:tc>
          <w:tcPr>
            <w:tcW w:w="1417" w:type="dxa"/>
            <w:vMerge/>
            <w:tcBorders>
              <w:top w:val="single" w:sz="4" w:space="0" w:color="auto"/>
              <w:left w:val="single" w:sz="6" w:space="0" w:color="000000"/>
              <w:bottom w:val="single" w:sz="4" w:space="0" w:color="auto"/>
              <w:right w:val="single" w:sz="6" w:space="0" w:color="000000"/>
            </w:tcBorders>
          </w:tcPr>
          <w:p w14:paraId="25873C65"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5024B4AC"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2B341D5A"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პლაცებო</w:t>
            </w:r>
          </w:p>
        </w:tc>
        <w:tc>
          <w:tcPr>
            <w:tcW w:w="1134" w:type="dxa"/>
            <w:tcBorders>
              <w:top w:val="single" w:sz="6" w:space="0" w:color="000000"/>
              <w:left w:val="single" w:sz="6" w:space="0" w:color="000000"/>
              <w:bottom w:val="single" w:sz="6" w:space="0" w:color="000000"/>
              <w:right w:val="single" w:sz="6" w:space="0" w:color="000000"/>
            </w:tcBorders>
          </w:tcPr>
          <w:p w14:paraId="0956CAA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175</w:t>
            </w:r>
          </w:p>
        </w:tc>
        <w:tc>
          <w:tcPr>
            <w:tcW w:w="1559" w:type="dxa"/>
            <w:tcBorders>
              <w:top w:val="single" w:sz="6" w:space="0" w:color="000000"/>
              <w:left w:val="single" w:sz="6" w:space="0" w:color="000000"/>
              <w:bottom w:val="single" w:sz="6" w:space="0" w:color="000000"/>
              <w:right w:val="single" w:sz="6" w:space="0" w:color="000000"/>
            </w:tcBorders>
          </w:tcPr>
          <w:p w14:paraId="61A8608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w:t>
            </w:r>
          </w:p>
        </w:tc>
      </w:tr>
      <w:tr w:rsidR="008B1423" w:rsidRPr="00BE4F57" w14:paraId="5AAB7FFD" w14:textId="77777777" w:rsidTr="00D25B95">
        <w:trPr>
          <w:trHeight w:hRule="exact" w:val="857"/>
        </w:trPr>
        <w:tc>
          <w:tcPr>
            <w:tcW w:w="1417" w:type="dxa"/>
            <w:vMerge/>
            <w:tcBorders>
              <w:top w:val="single" w:sz="4" w:space="0" w:color="auto"/>
              <w:left w:val="single" w:sz="6" w:space="0" w:color="000000"/>
              <w:bottom w:val="single" w:sz="4" w:space="0" w:color="auto"/>
              <w:right w:val="single" w:sz="6" w:space="0" w:color="000000"/>
            </w:tcBorders>
          </w:tcPr>
          <w:p w14:paraId="754238B3"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bottom w:val="single" w:sz="4" w:space="0" w:color="auto"/>
              <w:right w:val="single" w:sz="6" w:space="0" w:color="000000"/>
            </w:tcBorders>
          </w:tcPr>
          <w:p w14:paraId="0886349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20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240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240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788" w:type="dxa"/>
            <w:tcBorders>
              <w:top w:val="single" w:sz="6" w:space="0" w:color="000000"/>
              <w:left w:val="single" w:sz="6" w:space="0" w:color="000000"/>
              <w:bottom w:val="single" w:sz="6" w:space="0" w:color="000000"/>
              <w:right w:val="single" w:sz="6" w:space="0" w:color="000000"/>
            </w:tcBorders>
          </w:tcPr>
          <w:p w14:paraId="1F9C97F1"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1134" w:type="dxa"/>
            <w:tcBorders>
              <w:top w:val="single" w:sz="6" w:space="0" w:color="000000"/>
              <w:left w:val="single" w:sz="6" w:space="0" w:color="000000"/>
              <w:bottom w:val="single" w:sz="6" w:space="0" w:color="000000"/>
              <w:right w:val="single" w:sz="6" w:space="0" w:color="000000"/>
            </w:tcBorders>
          </w:tcPr>
          <w:p w14:paraId="557DC18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213</w:t>
            </w:r>
          </w:p>
        </w:tc>
        <w:tc>
          <w:tcPr>
            <w:tcW w:w="1559" w:type="dxa"/>
            <w:tcBorders>
              <w:top w:val="single" w:sz="6" w:space="0" w:color="000000"/>
              <w:left w:val="single" w:sz="6" w:space="0" w:color="000000"/>
              <w:bottom w:val="single" w:sz="6" w:space="0" w:color="000000"/>
              <w:right w:val="single" w:sz="6" w:space="0" w:color="000000"/>
            </w:tcBorders>
          </w:tcPr>
          <w:p w14:paraId="5476551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36.2%</w:t>
            </w:r>
          </w:p>
        </w:tc>
      </w:tr>
      <w:tr w:rsidR="008B1423" w:rsidRPr="00BE4F57" w14:paraId="4C0D054E" w14:textId="77777777" w:rsidTr="00D25B95">
        <w:trPr>
          <w:trHeight w:hRule="exact" w:val="288"/>
        </w:trPr>
        <w:tc>
          <w:tcPr>
            <w:tcW w:w="1417" w:type="dxa"/>
            <w:vMerge/>
            <w:tcBorders>
              <w:top w:val="single" w:sz="4" w:space="0" w:color="auto"/>
              <w:left w:val="single" w:sz="6" w:space="0" w:color="000000"/>
              <w:bottom w:val="single" w:sz="4" w:space="0" w:color="auto"/>
              <w:right w:val="single" w:sz="6" w:space="0" w:color="000000"/>
            </w:tcBorders>
          </w:tcPr>
          <w:p w14:paraId="0059F9EF"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16D60451"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2B705DA3"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ოლანზაპინი</w:t>
            </w:r>
          </w:p>
        </w:tc>
        <w:tc>
          <w:tcPr>
            <w:tcW w:w="1134" w:type="dxa"/>
            <w:tcBorders>
              <w:top w:val="single" w:sz="6" w:space="0" w:color="000000"/>
              <w:left w:val="single" w:sz="6" w:space="0" w:color="000000"/>
              <w:bottom w:val="single" w:sz="6" w:space="0" w:color="000000"/>
              <w:right w:val="single" w:sz="6" w:space="0" w:color="000000"/>
            </w:tcBorders>
          </w:tcPr>
          <w:p w14:paraId="10C4FFA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261</w:t>
            </w:r>
          </w:p>
        </w:tc>
        <w:tc>
          <w:tcPr>
            <w:tcW w:w="1559" w:type="dxa"/>
            <w:tcBorders>
              <w:top w:val="single" w:sz="6" w:space="0" w:color="000000"/>
              <w:left w:val="single" w:sz="6" w:space="0" w:color="000000"/>
              <w:bottom w:val="single" w:sz="6" w:space="0" w:color="000000"/>
              <w:right w:val="single" w:sz="6" w:space="0" w:color="000000"/>
            </w:tcBorders>
          </w:tcPr>
          <w:p w14:paraId="708F7F2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27.6%</w:t>
            </w:r>
          </w:p>
        </w:tc>
      </w:tr>
      <w:tr w:rsidR="008B1423" w:rsidRPr="00BE4F57" w14:paraId="23FE17A9" w14:textId="77777777" w:rsidTr="00D25B95">
        <w:trPr>
          <w:trHeight w:hRule="exact" w:val="292"/>
        </w:trPr>
        <w:tc>
          <w:tcPr>
            <w:tcW w:w="1417" w:type="dxa"/>
            <w:vMerge/>
            <w:tcBorders>
              <w:top w:val="single" w:sz="4" w:space="0" w:color="auto"/>
              <w:left w:val="single" w:sz="6" w:space="0" w:color="000000"/>
              <w:bottom w:val="single" w:sz="4" w:space="0" w:color="auto"/>
              <w:right w:val="single" w:sz="6" w:space="0" w:color="000000"/>
            </w:tcBorders>
          </w:tcPr>
          <w:p w14:paraId="2A9165F7"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27018C66" w14:textId="77777777" w:rsidR="008B1423" w:rsidRPr="00BE4F57" w:rsidRDefault="008B1423" w:rsidP="00A14CA6">
            <w:pPr>
              <w:spacing w:after="0" w:line="240" w:lineRule="auto"/>
              <w:rPr>
                <w:rFonts w:ascii="Sylfaen" w:hAnsi="Sylfaen"/>
                <w:sz w:val="24"/>
                <w:szCs w:val="24"/>
              </w:rPr>
            </w:pPr>
          </w:p>
        </w:tc>
        <w:tc>
          <w:tcPr>
            <w:tcW w:w="1788" w:type="dxa"/>
            <w:tcBorders>
              <w:top w:val="single" w:sz="6" w:space="0" w:color="000000"/>
              <w:left w:val="single" w:sz="6" w:space="0" w:color="000000"/>
              <w:bottom w:val="single" w:sz="6" w:space="0" w:color="000000"/>
              <w:right w:val="single" w:sz="6" w:space="0" w:color="000000"/>
            </w:tcBorders>
          </w:tcPr>
          <w:p w14:paraId="0173EC77" w14:textId="77777777" w:rsidR="008B1423" w:rsidRPr="00BE4F57" w:rsidRDefault="008B1423" w:rsidP="00A14CA6">
            <w:pPr>
              <w:pStyle w:val="TableParagraph"/>
              <w:autoSpaceDE/>
              <w:autoSpaceDN/>
              <w:rPr>
                <w:rFonts w:ascii="Sylfaen" w:hAnsi="Sylfaen" w:cs="Sylfaen"/>
                <w:sz w:val="24"/>
                <w:szCs w:val="24"/>
                <w:lang w:val="ka-GE"/>
              </w:rPr>
            </w:pPr>
            <w:r w:rsidRPr="00BE4F57">
              <w:rPr>
                <w:rFonts w:ascii="Sylfaen" w:hAnsi="Sylfaen" w:cs="Sylfaen"/>
                <w:sz w:val="24"/>
                <w:szCs w:val="24"/>
                <w:lang w:val="ka-GE"/>
              </w:rPr>
              <w:t>პლაცებო</w:t>
            </w:r>
          </w:p>
        </w:tc>
        <w:tc>
          <w:tcPr>
            <w:tcW w:w="1134" w:type="dxa"/>
            <w:tcBorders>
              <w:top w:val="single" w:sz="6" w:space="0" w:color="000000"/>
              <w:left w:val="single" w:sz="6" w:space="0" w:color="000000"/>
              <w:bottom w:val="single" w:sz="6" w:space="0" w:color="000000"/>
              <w:right w:val="single" w:sz="6" w:space="0" w:color="000000"/>
            </w:tcBorders>
          </w:tcPr>
          <w:p w14:paraId="574348A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111</w:t>
            </w:r>
          </w:p>
        </w:tc>
        <w:tc>
          <w:tcPr>
            <w:tcW w:w="1559" w:type="dxa"/>
            <w:tcBorders>
              <w:top w:val="single" w:sz="6" w:space="0" w:color="000000"/>
              <w:left w:val="single" w:sz="6" w:space="0" w:color="000000"/>
              <w:bottom w:val="single" w:sz="6" w:space="0" w:color="000000"/>
              <w:right w:val="single" w:sz="6" w:space="0" w:color="000000"/>
            </w:tcBorders>
          </w:tcPr>
          <w:p w14:paraId="4B47FE9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9.9%</w:t>
            </w:r>
          </w:p>
        </w:tc>
      </w:tr>
    </w:tbl>
    <w:p w14:paraId="65DE6218" w14:textId="77777777" w:rsidR="008B1423" w:rsidRPr="00BE4F57" w:rsidRDefault="008B1423" w:rsidP="00A14CA6">
      <w:pPr>
        <w:spacing w:after="0" w:line="240" w:lineRule="auto"/>
        <w:jc w:val="both"/>
        <w:rPr>
          <w:rFonts w:ascii="Sylfaen" w:hAnsi="Sylfaen"/>
          <w:color w:val="FF0000"/>
          <w:sz w:val="24"/>
          <w:szCs w:val="24"/>
          <w:lang w:val="ka-GE"/>
        </w:rPr>
      </w:pPr>
    </w:p>
    <w:p w14:paraId="1F66194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კომბინაციის 47-კვირიანმა კვლევამ აჩვენა საერთო ქოლესტერინის (+1.24 მგ/დლ), დსლ ქოლესტერინის (+0.29 მგ/დლ), პირდაპირი მსლ </w:t>
      </w:r>
      <w:r w:rsidRPr="00BE4F57">
        <w:rPr>
          <w:rFonts w:ascii="Sylfaen" w:hAnsi="Sylfaen"/>
          <w:sz w:val="24"/>
          <w:szCs w:val="24"/>
          <w:lang w:val="ka-GE"/>
        </w:rPr>
        <w:lastRenderedPageBreak/>
        <w:t>ქოლესტერინის (-2.13 მგ/დლ) და ტრიგლიცერიდების (+</w:t>
      </w:r>
      <w:r w:rsidRPr="00BE4F57">
        <w:rPr>
          <w:rFonts w:ascii="Sylfaen" w:hAnsi="Sylfaen"/>
          <w:sz w:val="24"/>
          <w:szCs w:val="24"/>
        </w:rPr>
        <w:t>11.33</w:t>
      </w:r>
      <w:r w:rsidRPr="00BE4F57">
        <w:rPr>
          <w:rFonts w:ascii="Sylfaen" w:hAnsi="Sylfaen"/>
          <w:sz w:val="24"/>
          <w:szCs w:val="24"/>
          <w:lang w:val="ka-GE"/>
        </w:rPr>
        <w:t xml:space="preserve"> მგ/დლ) საშუალო ცვლილებები საწყისიდან საბოლოო წერტილამდე უზმოზე. ცხრილი 7 აჩვენებს უზმოზე ლიპიდების კატეგორიულ ცვლილებებს [იხილეთ კლინიკური კვლევები (14.2)].</w:t>
      </w:r>
    </w:p>
    <w:p w14:paraId="2AE545A3" w14:textId="77777777" w:rsidR="008B1423" w:rsidRPr="00BE4F57" w:rsidRDefault="008B1423" w:rsidP="00A14CA6">
      <w:pPr>
        <w:spacing w:after="0" w:line="240" w:lineRule="auto"/>
        <w:jc w:val="both"/>
        <w:rPr>
          <w:rFonts w:ascii="Sylfaen" w:hAnsi="Sylfaen"/>
          <w:sz w:val="24"/>
          <w:szCs w:val="24"/>
          <w:lang w:val="ka-GE"/>
        </w:rPr>
      </w:pPr>
    </w:p>
    <w:p w14:paraId="38AD4D9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7: უზმოზე ლიპიდების მნიშვნელობების ცვლილებები ოლანზაპინისა და ფლუოქსეტინის კომბინაციის 47 კვირამდე მკურნალობის კონტროლირებადი კვლევიდან.</w:t>
      </w:r>
    </w:p>
    <w:tbl>
      <w:tblPr>
        <w:tblW w:w="9681" w:type="dxa"/>
        <w:tblInd w:w="108" w:type="dxa"/>
        <w:tblLayout w:type="fixed"/>
        <w:tblCellMar>
          <w:left w:w="0" w:type="dxa"/>
          <w:right w:w="0" w:type="dxa"/>
        </w:tblCellMar>
        <w:tblLook w:val="01E0" w:firstRow="1" w:lastRow="1" w:firstColumn="1" w:lastColumn="1" w:noHBand="0" w:noVBand="0"/>
      </w:tblPr>
      <w:tblGrid>
        <w:gridCol w:w="1318"/>
        <w:gridCol w:w="2891"/>
        <w:gridCol w:w="1421"/>
        <w:gridCol w:w="823"/>
        <w:gridCol w:w="1244"/>
        <w:gridCol w:w="850"/>
        <w:gridCol w:w="1134"/>
      </w:tblGrid>
      <w:tr w:rsidR="008B1423" w:rsidRPr="00BE4F57" w14:paraId="15CBA616" w14:textId="77777777" w:rsidTr="002F677E">
        <w:trPr>
          <w:trHeight w:hRule="exact" w:val="1285"/>
        </w:trPr>
        <w:tc>
          <w:tcPr>
            <w:tcW w:w="1318" w:type="dxa"/>
            <w:tcBorders>
              <w:top w:val="single" w:sz="6" w:space="0" w:color="000000"/>
              <w:left w:val="single" w:sz="6" w:space="0" w:color="000000"/>
              <w:bottom w:val="single" w:sz="6" w:space="0" w:color="000000"/>
              <w:right w:val="single" w:sz="6" w:space="0" w:color="000000"/>
            </w:tcBorders>
          </w:tcPr>
          <w:p w14:paraId="6B8574DC" w14:textId="77777777" w:rsidR="008B1423" w:rsidRPr="00BE4F57" w:rsidRDefault="008B1423" w:rsidP="00A14CA6">
            <w:pPr>
              <w:spacing w:after="0" w:line="240" w:lineRule="auto"/>
              <w:rPr>
                <w:rFonts w:ascii="Sylfaen" w:hAnsi="Sylfaen"/>
                <w:sz w:val="24"/>
                <w:szCs w:val="24"/>
              </w:rPr>
            </w:pPr>
          </w:p>
        </w:tc>
        <w:tc>
          <w:tcPr>
            <w:tcW w:w="2891" w:type="dxa"/>
            <w:tcBorders>
              <w:top w:val="single" w:sz="6" w:space="0" w:color="000000"/>
              <w:left w:val="single" w:sz="6" w:space="0" w:color="000000"/>
              <w:bottom w:val="single" w:sz="6" w:space="0" w:color="000000"/>
              <w:right w:val="single" w:sz="6" w:space="0" w:color="000000"/>
            </w:tcBorders>
          </w:tcPr>
          <w:p w14:paraId="79E11D2C"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4C290790" w14:textId="77777777" w:rsidR="008B1423" w:rsidRPr="00BE4F57" w:rsidRDefault="008B1423" w:rsidP="00A14CA6">
            <w:pPr>
              <w:spacing w:after="0" w:line="240" w:lineRule="auto"/>
              <w:rPr>
                <w:rFonts w:ascii="Sylfaen" w:hAnsi="Sylfaen"/>
                <w:sz w:val="24"/>
                <w:szCs w:val="24"/>
              </w:rPr>
            </w:pPr>
          </w:p>
        </w:tc>
        <w:tc>
          <w:tcPr>
            <w:tcW w:w="2067" w:type="dxa"/>
            <w:gridSpan w:val="2"/>
            <w:tcBorders>
              <w:top w:val="single" w:sz="6" w:space="0" w:color="000000"/>
              <w:left w:val="single" w:sz="6" w:space="0" w:color="000000"/>
              <w:bottom w:val="single" w:sz="6" w:space="0" w:color="000000"/>
              <w:right w:val="single" w:sz="6" w:space="0" w:color="000000"/>
            </w:tcBorders>
          </w:tcPr>
          <w:p w14:paraId="5D13EC6A"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lang w:val="ka-GE"/>
              </w:rPr>
              <w:t>მკურნალობა 27</w:t>
            </w:r>
            <w:r w:rsidRPr="00BE4F57">
              <w:rPr>
                <w:rFonts w:ascii="Sylfaen" w:hAnsi="Sylfaen"/>
                <w:b/>
                <w:sz w:val="24"/>
                <w:szCs w:val="24"/>
              </w:rPr>
              <w:t xml:space="preserve"> </w:t>
            </w:r>
            <w:r w:rsidRPr="00BE4F57">
              <w:rPr>
                <w:rFonts w:ascii="Sylfaen" w:hAnsi="Sylfaen" w:cs="Sylfaen"/>
                <w:b/>
                <w:sz w:val="24"/>
                <w:szCs w:val="24"/>
              </w:rPr>
              <w:t>კვირამდე</w:t>
            </w:r>
            <w:r w:rsidRPr="00BE4F57">
              <w:rPr>
                <w:rFonts w:ascii="Sylfaen" w:hAnsi="Sylfaen" w:cs="Sylfaen"/>
                <w:b/>
                <w:sz w:val="24"/>
                <w:szCs w:val="24"/>
                <w:lang w:val="ka-GE"/>
              </w:rPr>
              <w:t xml:space="preserve"> (რანდომიზებული, ორმაგი ბრმა)</w:t>
            </w:r>
          </w:p>
        </w:tc>
        <w:tc>
          <w:tcPr>
            <w:tcW w:w="1984" w:type="dxa"/>
            <w:gridSpan w:val="2"/>
            <w:tcBorders>
              <w:top w:val="single" w:sz="6" w:space="0" w:color="000000"/>
              <w:left w:val="single" w:sz="6" w:space="0" w:color="000000"/>
              <w:bottom w:val="single" w:sz="6" w:space="0" w:color="000000"/>
              <w:right w:val="single" w:sz="6" w:space="0" w:color="000000"/>
            </w:tcBorders>
          </w:tcPr>
          <w:p w14:paraId="606174D3"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lang w:val="ka-GE"/>
              </w:rPr>
              <w:t xml:space="preserve">მკურნალობა </w:t>
            </w:r>
            <w:r w:rsidRPr="00BE4F57">
              <w:rPr>
                <w:rFonts w:ascii="Sylfaen" w:hAnsi="Sylfaen"/>
                <w:b/>
                <w:sz w:val="24"/>
                <w:szCs w:val="24"/>
                <w:lang w:val="ka-GE"/>
              </w:rPr>
              <w:t>47</w:t>
            </w:r>
            <w:r w:rsidRPr="00BE4F57">
              <w:rPr>
                <w:rFonts w:ascii="Sylfaen" w:hAnsi="Sylfaen"/>
                <w:b/>
                <w:sz w:val="24"/>
                <w:szCs w:val="24"/>
              </w:rPr>
              <w:t xml:space="preserve"> </w:t>
            </w:r>
            <w:r w:rsidRPr="00BE4F57">
              <w:rPr>
                <w:rFonts w:ascii="Sylfaen" w:hAnsi="Sylfaen" w:cs="Sylfaen"/>
                <w:b/>
                <w:sz w:val="24"/>
                <w:szCs w:val="24"/>
              </w:rPr>
              <w:t>კვირ</w:t>
            </w:r>
            <w:r w:rsidRPr="00BE4F57">
              <w:rPr>
                <w:rFonts w:ascii="Sylfaen" w:hAnsi="Sylfaen" w:cs="Sylfaen"/>
                <w:b/>
                <w:sz w:val="24"/>
                <w:szCs w:val="24"/>
                <w:lang w:val="ka-GE"/>
              </w:rPr>
              <w:t>ამდე</w:t>
            </w:r>
          </w:p>
        </w:tc>
      </w:tr>
      <w:tr w:rsidR="008B1423" w:rsidRPr="00BE4F57" w14:paraId="4B44CB20" w14:textId="77777777" w:rsidTr="00871301">
        <w:trPr>
          <w:trHeight w:hRule="exact" w:val="979"/>
        </w:trPr>
        <w:tc>
          <w:tcPr>
            <w:tcW w:w="1318" w:type="dxa"/>
            <w:tcBorders>
              <w:top w:val="single" w:sz="6" w:space="0" w:color="000000"/>
              <w:left w:val="single" w:sz="6" w:space="0" w:color="000000"/>
              <w:bottom w:val="single" w:sz="6" w:space="0" w:color="000000"/>
              <w:right w:val="single" w:sz="6" w:space="0" w:color="000000"/>
            </w:tcBorders>
          </w:tcPr>
          <w:p w14:paraId="40AF4EE4"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207263D0"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რიული ანალიტი</w:t>
            </w:r>
          </w:p>
        </w:tc>
        <w:tc>
          <w:tcPr>
            <w:tcW w:w="2891" w:type="dxa"/>
            <w:tcBorders>
              <w:top w:val="single" w:sz="6" w:space="0" w:color="000000"/>
              <w:left w:val="single" w:sz="6" w:space="0" w:color="000000"/>
              <w:bottom w:val="single" w:sz="6" w:space="0" w:color="000000"/>
              <w:right w:val="single" w:sz="6" w:space="0" w:color="000000"/>
            </w:tcBorders>
          </w:tcPr>
          <w:p w14:paraId="5F6BD403"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46B172CC"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823" w:type="dxa"/>
            <w:tcBorders>
              <w:top w:val="single" w:sz="6" w:space="0" w:color="000000"/>
              <w:left w:val="single" w:sz="6" w:space="0" w:color="000000"/>
              <w:bottom w:val="single" w:sz="6" w:space="0" w:color="000000"/>
              <w:right w:val="single" w:sz="6" w:space="0" w:color="000000"/>
            </w:tcBorders>
          </w:tcPr>
          <w:p w14:paraId="208DD1AE"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244" w:type="dxa"/>
            <w:tcBorders>
              <w:top w:val="single" w:sz="6" w:space="0" w:color="000000"/>
              <w:left w:val="single" w:sz="6" w:space="0" w:color="000000"/>
              <w:bottom w:val="single" w:sz="6" w:space="0" w:color="000000"/>
              <w:right w:val="single" w:sz="6" w:space="0" w:color="000000"/>
            </w:tcBorders>
          </w:tcPr>
          <w:p w14:paraId="7BB1C451"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850" w:type="dxa"/>
            <w:tcBorders>
              <w:top w:val="single" w:sz="6" w:space="0" w:color="000000"/>
              <w:left w:val="single" w:sz="6" w:space="0" w:color="000000"/>
              <w:bottom w:val="single" w:sz="6" w:space="0" w:color="000000"/>
              <w:right w:val="single" w:sz="6" w:space="0" w:color="000000"/>
            </w:tcBorders>
          </w:tcPr>
          <w:p w14:paraId="6DC55BE6"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34" w:type="dxa"/>
            <w:tcBorders>
              <w:top w:val="single" w:sz="6" w:space="0" w:color="000000"/>
              <w:left w:val="single" w:sz="6" w:space="0" w:color="000000"/>
              <w:bottom w:val="single" w:sz="6" w:space="0" w:color="000000"/>
              <w:right w:val="single" w:sz="6" w:space="0" w:color="000000"/>
            </w:tcBorders>
          </w:tcPr>
          <w:p w14:paraId="476365CA"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53C122F1" w14:textId="77777777" w:rsidTr="00871301">
        <w:trPr>
          <w:trHeight w:hRule="exact" w:val="1275"/>
        </w:trPr>
        <w:tc>
          <w:tcPr>
            <w:tcW w:w="1318" w:type="dxa"/>
            <w:vMerge w:val="restart"/>
            <w:tcBorders>
              <w:top w:val="single" w:sz="6" w:space="0" w:color="000000"/>
              <w:left w:val="single" w:sz="6" w:space="0" w:color="000000"/>
              <w:bottom w:val="single" w:sz="4" w:space="0" w:color="auto"/>
              <w:right w:val="single" w:sz="6" w:space="0" w:color="000000"/>
            </w:tcBorders>
          </w:tcPr>
          <w:p w14:paraId="2931752D" w14:textId="77777777" w:rsidR="008B1423" w:rsidRPr="00BE4F57" w:rsidRDefault="008B1423" w:rsidP="00A14CA6">
            <w:pPr>
              <w:pStyle w:val="TableParagraph"/>
              <w:autoSpaceDE/>
              <w:autoSpaceDN/>
              <w:rPr>
                <w:rFonts w:ascii="Sylfaen" w:hAnsi="Sylfaen"/>
                <w:sz w:val="24"/>
                <w:szCs w:val="24"/>
              </w:rPr>
            </w:pPr>
          </w:p>
          <w:p w14:paraId="6968FE0F" w14:textId="77777777" w:rsidR="008B1423" w:rsidRPr="00BE4F57" w:rsidRDefault="008B1423" w:rsidP="00A14CA6">
            <w:pPr>
              <w:pStyle w:val="TableParagraph"/>
              <w:autoSpaceDE/>
              <w:autoSpaceDN/>
              <w:rPr>
                <w:rFonts w:ascii="Sylfaen" w:hAnsi="Sylfaen"/>
                <w:sz w:val="24"/>
                <w:szCs w:val="24"/>
              </w:rPr>
            </w:pPr>
          </w:p>
          <w:p w14:paraId="7BE786EC"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საერთო ქოლესტერინი უზმოზე</w:t>
            </w:r>
          </w:p>
        </w:tc>
        <w:tc>
          <w:tcPr>
            <w:tcW w:w="2891" w:type="dxa"/>
            <w:vMerge w:val="restart"/>
            <w:tcBorders>
              <w:top w:val="single" w:sz="6" w:space="0" w:color="000000"/>
              <w:left w:val="single" w:sz="6" w:space="0" w:color="000000"/>
              <w:bottom w:val="single" w:sz="4" w:space="0" w:color="auto"/>
              <w:right w:val="single" w:sz="6" w:space="0" w:color="000000"/>
            </w:tcBorders>
          </w:tcPr>
          <w:p w14:paraId="7C30072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200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&gt;240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598ED036"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56D6834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47</w:t>
            </w:r>
          </w:p>
        </w:tc>
        <w:tc>
          <w:tcPr>
            <w:tcW w:w="1244" w:type="dxa"/>
            <w:tcBorders>
              <w:top w:val="single" w:sz="6" w:space="0" w:color="000000"/>
              <w:left w:val="single" w:sz="6" w:space="0" w:color="000000"/>
              <w:bottom w:val="single" w:sz="6" w:space="0" w:color="000000"/>
              <w:right w:val="single" w:sz="6" w:space="0" w:color="000000"/>
            </w:tcBorders>
          </w:tcPr>
          <w:p w14:paraId="7E76341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w:t>
            </w:r>
          </w:p>
        </w:tc>
        <w:tc>
          <w:tcPr>
            <w:tcW w:w="850" w:type="dxa"/>
            <w:tcBorders>
              <w:top w:val="single" w:sz="6" w:space="0" w:color="000000"/>
              <w:left w:val="single" w:sz="6" w:space="0" w:color="000000"/>
              <w:bottom w:val="single" w:sz="6" w:space="0" w:color="000000"/>
              <w:right w:val="single" w:sz="6" w:space="0" w:color="000000"/>
            </w:tcBorders>
          </w:tcPr>
          <w:p w14:paraId="17B8801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83</w:t>
            </w:r>
          </w:p>
        </w:tc>
        <w:tc>
          <w:tcPr>
            <w:tcW w:w="1134" w:type="dxa"/>
            <w:tcBorders>
              <w:top w:val="single" w:sz="6" w:space="0" w:color="000000"/>
              <w:left w:val="single" w:sz="6" w:space="0" w:color="000000"/>
              <w:bottom w:val="single" w:sz="6" w:space="0" w:color="000000"/>
              <w:right w:val="single" w:sz="6" w:space="0" w:color="000000"/>
            </w:tcBorders>
          </w:tcPr>
          <w:p w14:paraId="1C17AFD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19.3%</w:t>
            </w:r>
          </w:p>
        </w:tc>
      </w:tr>
      <w:tr w:rsidR="008B1423" w:rsidRPr="00BE4F57" w14:paraId="0D2BFCB4" w14:textId="77777777" w:rsidTr="00871301">
        <w:trPr>
          <w:trHeight w:hRule="exact" w:val="560"/>
        </w:trPr>
        <w:tc>
          <w:tcPr>
            <w:tcW w:w="1318" w:type="dxa"/>
            <w:vMerge/>
            <w:tcBorders>
              <w:left w:val="single" w:sz="6" w:space="0" w:color="000000"/>
              <w:bottom w:val="single" w:sz="4" w:space="0" w:color="auto"/>
              <w:right w:val="single" w:sz="6" w:space="0" w:color="000000"/>
            </w:tcBorders>
          </w:tcPr>
          <w:p w14:paraId="336669F8"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7AFC1094"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314F487"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45F5B52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59</w:t>
            </w:r>
          </w:p>
        </w:tc>
        <w:tc>
          <w:tcPr>
            <w:tcW w:w="1244" w:type="dxa"/>
            <w:tcBorders>
              <w:top w:val="single" w:sz="6" w:space="0" w:color="000000"/>
              <w:left w:val="single" w:sz="6" w:space="0" w:color="000000"/>
              <w:bottom w:val="single" w:sz="6" w:space="0" w:color="000000"/>
              <w:right w:val="single" w:sz="6" w:space="0" w:color="000000"/>
            </w:tcBorders>
          </w:tcPr>
          <w:p w14:paraId="7E32CE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3.4%</w:t>
            </w:r>
          </w:p>
        </w:tc>
        <w:tc>
          <w:tcPr>
            <w:tcW w:w="850" w:type="dxa"/>
            <w:tcBorders>
              <w:top w:val="single" w:sz="6" w:space="0" w:color="000000"/>
              <w:left w:val="single" w:sz="6" w:space="0" w:color="000000"/>
              <w:bottom w:val="single" w:sz="6" w:space="0" w:color="000000"/>
              <w:right w:val="single" w:sz="6" w:space="0" w:color="000000"/>
            </w:tcBorders>
          </w:tcPr>
          <w:p w14:paraId="7E1EE1C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01C8BDF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03CAEE5E" w14:textId="77777777" w:rsidTr="00871301">
        <w:trPr>
          <w:trHeight w:hRule="exact" w:val="1148"/>
        </w:trPr>
        <w:tc>
          <w:tcPr>
            <w:tcW w:w="1318" w:type="dxa"/>
            <w:vMerge/>
            <w:tcBorders>
              <w:left w:val="single" w:sz="6" w:space="0" w:color="000000"/>
              <w:bottom w:val="single" w:sz="4" w:space="0" w:color="auto"/>
              <w:right w:val="single" w:sz="6" w:space="0" w:color="000000"/>
            </w:tcBorders>
          </w:tcPr>
          <w:p w14:paraId="6B8A4EAC"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6" w:space="0" w:color="000000"/>
              <w:left w:val="single" w:sz="6" w:space="0" w:color="000000"/>
              <w:bottom w:val="single" w:sz="4" w:space="0" w:color="auto"/>
              <w:right w:val="single" w:sz="6" w:space="0" w:color="000000"/>
            </w:tcBorders>
          </w:tcPr>
          <w:p w14:paraId="33F8FFA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20</w:t>
            </w:r>
            <w:r w:rsidRPr="00BE4F57">
              <w:rPr>
                <w:rFonts w:ascii="Sylfaen" w:hAnsi="Sylfaen"/>
                <w:sz w:val="24"/>
                <w:szCs w:val="24"/>
              </w:rPr>
              <w:t xml:space="preserve">0 </w:t>
            </w:r>
            <w:r w:rsidRPr="00BE4F57">
              <w:rPr>
                <w:rFonts w:ascii="Sylfaen" w:hAnsi="Sylfaen" w:cs="Sylfaen"/>
                <w:sz w:val="24"/>
                <w:szCs w:val="24"/>
                <w:lang w:val="ka-GE"/>
              </w:rPr>
              <w:t xml:space="preserve"> და (&lt;240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240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727593CB"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23B3CDE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75</w:t>
            </w:r>
          </w:p>
        </w:tc>
        <w:tc>
          <w:tcPr>
            <w:tcW w:w="1244" w:type="dxa"/>
            <w:tcBorders>
              <w:top w:val="single" w:sz="6" w:space="0" w:color="000000"/>
              <w:left w:val="single" w:sz="6" w:space="0" w:color="000000"/>
              <w:bottom w:val="single" w:sz="6" w:space="0" w:color="000000"/>
              <w:right w:val="single" w:sz="6" w:space="0" w:color="000000"/>
            </w:tcBorders>
          </w:tcPr>
          <w:p w14:paraId="43EFEE9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28.0%</w:t>
            </w:r>
          </w:p>
        </w:tc>
        <w:tc>
          <w:tcPr>
            <w:tcW w:w="850" w:type="dxa"/>
            <w:tcBorders>
              <w:top w:val="single" w:sz="6" w:space="0" w:color="000000"/>
              <w:left w:val="single" w:sz="6" w:space="0" w:color="000000"/>
              <w:bottom w:val="single" w:sz="6" w:space="0" w:color="000000"/>
              <w:right w:val="single" w:sz="6" w:space="0" w:color="000000"/>
            </w:tcBorders>
          </w:tcPr>
          <w:p w14:paraId="66A1DDF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73</w:t>
            </w:r>
          </w:p>
        </w:tc>
        <w:tc>
          <w:tcPr>
            <w:tcW w:w="1134" w:type="dxa"/>
            <w:tcBorders>
              <w:top w:val="single" w:sz="6" w:space="0" w:color="000000"/>
              <w:left w:val="single" w:sz="6" w:space="0" w:color="000000"/>
              <w:bottom w:val="single" w:sz="6" w:space="0" w:color="000000"/>
              <w:right w:val="single" w:sz="6" w:space="0" w:color="000000"/>
            </w:tcBorders>
          </w:tcPr>
          <w:p w14:paraId="6ACE34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69.9%</w:t>
            </w:r>
          </w:p>
        </w:tc>
      </w:tr>
      <w:tr w:rsidR="008B1423" w:rsidRPr="00BE4F57" w14:paraId="434F7E30" w14:textId="77777777" w:rsidTr="00871301">
        <w:trPr>
          <w:trHeight w:hRule="exact" w:val="580"/>
        </w:trPr>
        <w:tc>
          <w:tcPr>
            <w:tcW w:w="1318" w:type="dxa"/>
            <w:vMerge/>
            <w:tcBorders>
              <w:left w:val="single" w:sz="6" w:space="0" w:color="000000"/>
              <w:bottom w:val="single" w:sz="4" w:space="0" w:color="auto"/>
              <w:right w:val="single" w:sz="6" w:space="0" w:color="000000"/>
            </w:tcBorders>
          </w:tcPr>
          <w:p w14:paraId="1B27313E"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4998C7A1"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052F367F"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7F4A52C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83</w:t>
            </w:r>
          </w:p>
        </w:tc>
        <w:tc>
          <w:tcPr>
            <w:tcW w:w="1244" w:type="dxa"/>
            <w:tcBorders>
              <w:top w:val="single" w:sz="6" w:space="0" w:color="000000"/>
              <w:left w:val="single" w:sz="6" w:space="0" w:color="000000"/>
              <w:bottom w:val="single" w:sz="6" w:space="0" w:color="000000"/>
              <w:right w:val="single" w:sz="6" w:space="0" w:color="000000"/>
            </w:tcBorders>
          </w:tcPr>
          <w:p w14:paraId="6157197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20.5%</w:t>
            </w:r>
          </w:p>
        </w:tc>
        <w:tc>
          <w:tcPr>
            <w:tcW w:w="850" w:type="dxa"/>
            <w:tcBorders>
              <w:top w:val="single" w:sz="6" w:space="0" w:color="000000"/>
              <w:left w:val="single" w:sz="6" w:space="0" w:color="000000"/>
              <w:bottom w:val="single" w:sz="6" w:space="0" w:color="000000"/>
              <w:right w:val="single" w:sz="6" w:space="0" w:color="000000"/>
            </w:tcBorders>
          </w:tcPr>
          <w:p w14:paraId="65792E2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74ED011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0BADA136" w14:textId="77777777" w:rsidTr="005046EA">
        <w:trPr>
          <w:trHeight w:hRule="exact" w:val="1248"/>
        </w:trPr>
        <w:tc>
          <w:tcPr>
            <w:tcW w:w="1318" w:type="dxa"/>
            <w:vMerge w:val="restart"/>
            <w:tcBorders>
              <w:top w:val="single" w:sz="4" w:space="0" w:color="auto"/>
              <w:left w:val="single" w:sz="6" w:space="0" w:color="000000"/>
              <w:right w:val="single" w:sz="6" w:space="0" w:color="000000"/>
            </w:tcBorders>
            <w:vAlign w:val="center"/>
          </w:tcPr>
          <w:p w14:paraId="5BA8BF24"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lang w:val="ka-GE"/>
              </w:rPr>
              <w:t>დსლ ქოლესტერინი უზმოზე</w:t>
            </w:r>
          </w:p>
        </w:tc>
        <w:tc>
          <w:tcPr>
            <w:tcW w:w="2891" w:type="dxa"/>
            <w:tcBorders>
              <w:top w:val="single" w:sz="4" w:space="0" w:color="auto"/>
              <w:left w:val="single" w:sz="6" w:space="0" w:color="000000"/>
              <w:bottom w:val="single" w:sz="4" w:space="0" w:color="auto"/>
              <w:right w:val="single" w:sz="6" w:space="0" w:color="000000"/>
            </w:tcBorders>
          </w:tcPr>
          <w:p w14:paraId="73B9C1C2"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100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160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384B2F15"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3759F8F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22</w:t>
            </w:r>
          </w:p>
        </w:tc>
        <w:tc>
          <w:tcPr>
            <w:tcW w:w="1244" w:type="dxa"/>
            <w:tcBorders>
              <w:top w:val="single" w:sz="6" w:space="0" w:color="000000"/>
              <w:left w:val="single" w:sz="6" w:space="0" w:color="000000"/>
              <w:bottom w:val="single" w:sz="6" w:space="0" w:color="000000"/>
              <w:right w:val="single" w:sz="6" w:space="0" w:color="000000"/>
            </w:tcBorders>
          </w:tcPr>
          <w:p w14:paraId="11B2033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4.5%</w:t>
            </w:r>
          </w:p>
        </w:tc>
        <w:tc>
          <w:tcPr>
            <w:tcW w:w="850" w:type="dxa"/>
            <w:tcBorders>
              <w:top w:val="single" w:sz="6" w:space="0" w:color="000000"/>
              <w:left w:val="single" w:sz="6" w:space="0" w:color="000000"/>
              <w:bottom w:val="single" w:sz="6" w:space="0" w:color="000000"/>
              <w:right w:val="single" w:sz="6" w:space="0" w:color="000000"/>
            </w:tcBorders>
          </w:tcPr>
          <w:p w14:paraId="7533024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46</w:t>
            </w:r>
          </w:p>
        </w:tc>
        <w:tc>
          <w:tcPr>
            <w:tcW w:w="1134" w:type="dxa"/>
            <w:tcBorders>
              <w:top w:val="single" w:sz="6" w:space="0" w:color="000000"/>
              <w:left w:val="single" w:sz="6" w:space="0" w:color="000000"/>
              <w:bottom w:val="single" w:sz="6" w:space="0" w:color="000000"/>
              <w:right w:val="single" w:sz="6" w:space="0" w:color="000000"/>
            </w:tcBorders>
          </w:tcPr>
          <w:p w14:paraId="40EAD30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8.7%</w:t>
            </w:r>
          </w:p>
        </w:tc>
      </w:tr>
      <w:tr w:rsidR="008B1423" w:rsidRPr="00BE4F57" w14:paraId="1EB30C3F" w14:textId="77777777" w:rsidTr="009D3D8D">
        <w:trPr>
          <w:trHeight w:hRule="exact" w:val="1149"/>
        </w:trPr>
        <w:tc>
          <w:tcPr>
            <w:tcW w:w="1318" w:type="dxa"/>
            <w:vMerge/>
            <w:tcBorders>
              <w:left w:val="single" w:sz="6" w:space="0" w:color="000000"/>
              <w:right w:val="single" w:sz="6" w:space="0" w:color="000000"/>
            </w:tcBorders>
          </w:tcPr>
          <w:p w14:paraId="1F0E51E9" w14:textId="77777777" w:rsidR="008B1423" w:rsidRPr="00BE4F57" w:rsidRDefault="008B1423" w:rsidP="00A14CA6">
            <w:pPr>
              <w:spacing w:after="0" w:line="240" w:lineRule="auto"/>
              <w:rPr>
                <w:rFonts w:ascii="Sylfaen" w:hAnsi="Sylfaen"/>
                <w:sz w:val="24"/>
                <w:szCs w:val="24"/>
              </w:rPr>
            </w:pPr>
          </w:p>
        </w:tc>
        <w:tc>
          <w:tcPr>
            <w:tcW w:w="2891" w:type="dxa"/>
            <w:tcBorders>
              <w:top w:val="single" w:sz="4" w:space="0" w:color="auto"/>
              <w:left w:val="single" w:sz="6" w:space="0" w:color="000000"/>
              <w:bottom w:val="single" w:sz="4" w:space="0" w:color="auto"/>
              <w:right w:val="single" w:sz="6" w:space="0" w:color="000000"/>
            </w:tcBorders>
          </w:tcPr>
          <w:p w14:paraId="03692174"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73350F64"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559C6EA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w:t>
            </w:r>
          </w:p>
        </w:tc>
        <w:tc>
          <w:tcPr>
            <w:tcW w:w="1244" w:type="dxa"/>
            <w:tcBorders>
              <w:top w:val="single" w:sz="6" w:space="0" w:color="000000"/>
              <w:left w:val="single" w:sz="6" w:space="0" w:color="000000"/>
              <w:bottom w:val="single" w:sz="6" w:space="0" w:color="000000"/>
              <w:right w:val="single" w:sz="6" w:space="0" w:color="000000"/>
            </w:tcBorders>
          </w:tcPr>
          <w:p w14:paraId="6D4D07B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850" w:type="dxa"/>
            <w:tcBorders>
              <w:top w:val="single" w:sz="6" w:space="0" w:color="000000"/>
              <w:left w:val="single" w:sz="6" w:space="0" w:color="000000"/>
              <w:bottom w:val="single" w:sz="6" w:space="0" w:color="000000"/>
              <w:right w:val="single" w:sz="6" w:space="0" w:color="000000"/>
            </w:tcBorders>
          </w:tcPr>
          <w:p w14:paraId="3F2D6FD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4D2850D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74A1E73E" w14:textId="77777777" w:rsidTr="009D3D8D">
        <w:trPr>
          <w:trHeight w:hRule="exact" w:val="1149"/>
        </w:trPr>
        <w:tc>
          <w:tcPr>
            <w:tcW w:w="1318" w:type="dxa"/>
            <w:vMerge/>
            <w:tcBorders>
              <w:left w:val="single" w:sz="6" w:space="0" w:color="000000"/>
              <w:right w:val="single" w:sz="6" w:space="0" w:color="000000"/>
            </w:tcBorders>
          </w:tcPr>
          <w:p w14:paraId="55E99E2F"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right w:val="single" w:sz="6" w:space="0" w:color="000000"/>
            </w:tcBorders>
          </w:tcPr>
          <w:p w14:paraId="7E664DFB" w14:textId="77777777" w:rsidR="008B1423" w:rsidRPr="00BE4F57" w:rsidRDefault="008B1423" w:rsidP="00A14CA6">
            <w:pPr>
              <w:spacing w:after="0" w:line="240" w:lineRule="auto"/>
              <w:rPr>
                <w:rFonts w:ascii="Sylfaen" w:hAnsi="Sylfaen" w:cs="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cs="Sylfaen"/>
                <w:sz w:val="24"/>
                <w:szCs w:val="24"/>
                <w:lang w:val="ka-GE"/>
              </w:rPr>
              <w:t xml:space="preserve"> და (&lt;160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160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35CA9F61"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3951163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115</w:t>
            </w:r>
          </w:p>
          <w:p w14:paraId="76CD3A5A" w14:textId="77777777" w:rsidR="008B1423" w:rsidRPr="00BE4F57" w:rsidRDefault="008B1423" w:rsidP="00A14CA6">
            <w:pPr>
              <w:spacing w:after="0" w:line="240" w:lineRule="auto"/>
              <w:rPr>
                <w:rFonts w:ascii="Sylfaen" w:hAnsi="Sylfaen"/>
                <w:sz w:val="24"/>
                <w:szCs w:val="24"/>
              </w:rPr>
            </w:pPr>
          </w:p>
        </w:tc>
        <w:tc>
          <w:tcPr>
            <w:tcW w:w="1244" w:type="dxa"/>
            <w:tcBorders>
              <w:top w:val="single" w:sz="6" w:space="0" w:color="000000"/>
              <w:left w:val="single" w:sz="6" w:space="0" w:color="000000"/>
              <w:bottom w:val="single" w:sz="6" w:space="0" w:color="000000"/>
              <w:right w:val="single" w:sz="6" w:space="0" w:color="000000"/>
            </w:tcBorders>
          </w:tcPr>
          <w:p w14:paraId="3A4485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17.4%</w:t>
            </w:r>
          </w:p>
        </w:tc>
        <w:tc>
          <w:tcPr>
            <w:tcW w:w="850" w:type="dxa"/>
            <w:tcBorders>
              <w:top w:val="single" w:sz="6" w:space="0" w:color="000000"/>
              <w:left w:val="single" w:sz="6" w:space="0" w:color="000000"/>
              <w:bottom w:val="single" w:sz="6" w:space="0" w:color="000000"/>
              <w:right w:val="single" w:sz="6" w:space="0" w:color="000000"/>
            </w:tcBorders>
          </w:tcPr>
          <w:p w14:paraId="71CC2F1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128</w:t>
            </w:r>
          </w:p>
        </w:tc>
        <w:tc>
          <w:tcPr>
            <w:tcW w:w="1134" w:type="dxa"/>
            <w:tcBorders>
              <w:top w:val="single" w:sz="6" w:space="0" w:color="000000"/>
              <w:left w:val="single" w:sz="6" w:space="0" w:color="000000"/>
              <w:bottom w:val="single" w:sz="6" w:space="0" w:color="000000"/>
              <w:right w:val="single" w:sz="6" w:space="0" w:color="000000"/>
            </w:tcBorders>
          </w:tcPr>
          <w:p w14:paraId="4136F6A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46.9%</w:t>
            </w:r>
          </w:p>
        </w:tc>
      </w:tr>
      <w:tr w:rsidR="008B1423" w:rsidRPr="00BE4F57" w14:paraId="07A40B7D" w14:textId="77777777" w:rsidTr="009D3D8D">
        <w:trPr>
          <w:trHeight w:hRule="exact" w:val="1149"/>
        </w:trPr>
        <w:tc>
          <w:tcPr>
            <w:tcW w:w="1318" w:type="dxa"/>
            <w:vMerge/>
            <w:tcBorders>
              <w:left w:val="single" w:sz="6" w:space="0" w:color="000000"/>
              <w:bottom w:val="single" w:sz="4" w:space="0" w:color="auto"/>
              <w:right w:val="single" w:sz="6" w:space="0" w:color="000000"/>
            </w:tcBorders>
          </w:tcPr>
          <w:p w14:paraId="02312FA9"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33FE1CDE" w14:textId="77777777" w:rsidR="008B1423" w:rsidRPr="00BE4F57" w:rsidRDefault="008B1423" w:rsidP="00A14CA6">
            <w:pPr>
              <w:spacing w:after="0" w:line="240" w:lineRule="auto"/>
              <w:rPr>
                <w:rFonts w:ascii="Sylfaen" w:hAnsi="Sylfaen" w:cs="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6A64C84"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24D2229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134</w:t>
            </w:r>
          </w:p>
        </w:tc>
        <w:tc>
          <w:tcPr>
            <w:tcW w:w="1244" w:type="dxa"/>
            <w:tcBorders>
              <w:top w:val="single" w:sz="6" w:space="0" w:color="000000"/>
              <w:left w:val="single" w:sz="6" w:space="0" w:color="000000"/>
              <w:bottom w:val="single" w:sz="6" w:space="0" w:color="000000"/>
              <w:right w:val="single" w:sz="6" w:space="0" w:color="000000"/>
            </w:tcBorders>
          </w:tcPr>
          <w:p w14:paraId="2C85F55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10.4%</w:t>
            </w:r>
          </w:p>
        </w:tc>
        <w:tc>
          <w:tcPr>
            <w:tcW w:w="850" w:type="dxa"/>
            <w:tcBorders>
              <w:top w:val="single" w:sz="6" w:space="0" w:color="000000"/>
              <w:left w:val="single" w:sz="6" w:space="0" w:color="000000"/>
              <w:bottom w:val="single" w:sz="6" w:space="0" w:color="000000"/>
              <w:right w:val="single" w:sz="6" w:space="0" w:color="000000"/>
            </w:tcBorders>
          </w:tcPr>
          <w:p w14:paraId="2A22C9F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13AA4EF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0010FCC8" w14:textId="77777777" w:rsidTr="005046EA">
        <w:trPr>
          <w:trHeight w:hRule="exact" w:val="1137"/>
        </w:trPr>
        <w:tc>
          <w:tcPr>
            <w:tcW w:w="1318" w:type="dxa"/>
            <w:vMerge w:val="restart"/>
            <w:tcBorders>
              <w:top w:val="single" w:sz="4" w:space="0" w:color="auto"/>
              <w:left w:val="single" w:sz="6" w:space="0" w:color="000000"/>
              <w:right w:val="single" w:sz="6" w:space="0" w:color="000000"/>
            </w:tcBorders>
            <w:vAlign w:val="center"/>
          </w:tcPr>
          <w:p w14:paraId="3B595EE7"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lang w:val="ka-GE"/>
              </w:rPr>
              <w:t>მსლ ქოლესტერინი უზმოზე</w:t>
            </w:r>
          </w:p>
        </w:tc>
        <w:tc>
          <w:tcPr>
            <w:tcW w:w="2891" w:type="dxa"/>
            <w:vMerge w:val="restart"/>
            <w:tcBorders>
              <w:top w:val="single" w:sz="4" w:space="0" w:color="auto"/>
              <w:left w:val="single" w:sz="6" w:space="0" w:color="000000"/>
              <w:right w:val="single" w:sz="6" w:space="0" w:color="000000"/>
            </w:tcBorders>
          </w:tcPr>
          <w:p w14:paraId="6E9A8900"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w:t>
            </w:r>
            <w:r w:rsidRPr="00BE4F57">
              <w:rPr>
                <w:rFonts w:ascii="Sylfaen" w:hAnsi="Sylfaen"/>
                <w:sz w:val="24"/>
                <w:szCs w:val="24"/>
                <w:lang w:val="ka-GE"/>
              </w:rPr>
              <w:t>40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&gt;40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3986B0F9"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7F40108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199</w:t>
            </w:r>
          </w:p>
        </w:tc>
        <w:tc>
          <w:tcPr>
            <w:tcW w:w="1244" w:type="dxa"/>
            <w:tcBorders>
              <w:top w:val="single" w:sz="6" w:space="0" w:color="000000"/>
              <w:left w:val="single" w:sz="6" w:space="0" w:color="000000"/>
              <w:bottom w:val="single" w:sz="6" w:space="0" w:color="000000"/>
              <w:right w:val="single" w:sz="6" w:space="0" w:color="000000"/>
            </w:tcBorders>
          </w:tcPr>
          <w:p w14:paraId="57C7F81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39.2%</w:t>
            </w:r>
          </w:p>
        </w:tc>
        <w:tc>
          <w:tcPr>
            <w:tcW w:w="850" w:type="dxa"/>
            <w:tcBorders>
              <w:top w:val="single" w:sz="6" w:space="0" w:color="000000"/>
              <w:left w:val="single" w:sz="6" w:space="0" w:color="000000"/>
              <w:bottom w:val="single" w:sz="6" w:space="0" w:color="000000"/>
              <w:right w:val="single" w:sz="6" w:space="0" w:color="000000"/>
            </w:tcBorders>
          </w:tcPr>
          <w:p w14:paraId="2D8588C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193</w:t>
            </w:r>
          </w:p>
        </w:tc>
        <w:tc>
          <w:tcPr>
            <w:tcW w:w="1134" w:type="dxa"/>
            <w:tcBorders>
              <w:top w:val="single" w:sz="6" w:space="0" w:color="000000"/>
              <w:left w:val="single" w:sz="6" w:space="0" w:color="000000"/>
              <w:bottom w:val="single" w:sz="6" w:space="0" w:color="000000"/>
              <w:right w:val="single" w:sz="6" w:space="0" w:color="000000"/>
            </w:tcBorders>
          </w:tcPr>
          <w:p w14:paraId="76DC64B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45.1%</w:t>
            </w:r>
          </w:p>
        </w:tc>
      </w:tr>
      <w:tr w:rsidR="008B1423" w:rsidRPr="00BE4F57" w14:paraId="5FC9C23C" w14:textId="77777777" w:rsidTr="005046EA">
        <w:trPr>
          <w:trHeight w:hRule="exact" w:val="557"/>
        </w:trPr>
        <w:tc>
          <w:tcPr>
            <w:tcW w:w="1318" w:type="dxa"/>
            <w:vMerge/>
            <w:tcBorders>
              <w:left w:val="single" w:sz="6" w:space="0" w:color="000000"/>
              <w:bottom w:val="single" w:sz="4" w:space="0" w:color="auto"/>
              <w:right w:val="single" w:sz="6" w:space="0" w:color="000000"/>
            </w:tcBorders>
          </w:tcPr>
          <w:p w14:paraId="26BE239A"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4" w:space="0" w:color="auto"/>
              <w:right w:val="single" w:sz="6" w:space="0" w:color="000000"/>
            </w:tcBorders>
          </w:tcPr>
          <w:p w14:paraId="6768A575"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4A0712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0A22352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208</w:t>
            </w:r>
          </w:p>
        </w:tc>
        <w:tc>
          <w:tcPr>
            <w:tcW w:w="1244" w:type="dxa"/>
            <w:tcBorders>
              <w:top w:val="single" w:sz="6" w:space="0" w:color="000000"/>
              <w:left w:val="single" w:sz="6" w:space="0" w:color="000000"/>
              <w:bottom w:val="single" w:sz="6" w:space="0" w:color="000000"/>
              <w:right w:val="single" w:sz="6" w:space="0" w:color="000000"/>
            </w:tcBorders>
          </w:tcPr>
          <w:p w14:paraId="5D5E957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25.5%</w:t>
            </w:r>
          </w:p>
        </w:tc>
        <w:tc>
          <w:tcPr>
            <w:tcW w:w="850" w:type="dxa"/>
            <w:tcBorders>
              <w:top w:val="single" w:sz="6" w:space="0" w:color="000000"/>
              <w:left w:val="single" w:sz="6" w:space="0" w:color="000000"/>
              <w:bottom w:val="single" w:sz="6" w:space="0" w:color="000000"/>
              <w:right w:val="single" w:sz="6" w:space="0" w:color="000000"/>
            </w:tcBorders>
          </w:tcPr>
          <w:p w14:paraId="10984D0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3DCF96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51DA87A5" w14:textId="77777777" w:rsidTr="005046EA">
        <w:trPr>
          <w:trHeight w:hRule="exact" w:val="1236"/>
        </w:trPr>
        <w:tc>
          <w:tcPr>
            <w:tcW w:w="1318" w:type="dxa"/>
            <w:vMerge w:val="restart"/>
            <w:tcBorders>
              <w:top w:val="single" w:sz="4" w:space="0" w:color="auto"/>
              <w:left w:val="single" w:sz="6" w:space="0" w:color="000000"/>
              <w:right w:val="single" w:sz="6" w:space="0" w:color="000000"/>
            </w:tcBorders>
            <w:vAlign w:val="center"/>
          </w:tcPr>
          <w:p w14:paraId="5A2D6950" w14:textId="77777777" w:rsidR="008B1423" w:rsidRPr="00BE4F57" w:rsidRDefault="008B1423" w:rsidP="00A14CA6">
            <w:pPr>
              <w:spacing w:after="0" w:line="240" w:lineRule="auto"/>
              <w:rPr>
                <w:rFonts w:ascii="Sylfaen" w:hAnsi="Sylfaen"/>
                <w:sz w:val="24"/>
                <w:szCs w:val="24"/>
                <w:lang w:val="ka-GE"/>
              </w:rPr>
            </w:pPr>
            <w:r w:rsidRPr="00BE4F57">
              <w:rPr>
                <w:rFonts w:ascii="Sylfaen" w:hAnsi="Sylfaen"/>
                <w:sz w:val="24"/>
                <w:szCs w:val="24"/>
                <w:lang w:val="ka-GE"/>
              </w:rPr>
              <w:lastRenderedPageBreak/>
              <w:t>ტრიგლიცე რიდები უზმოზე</w:t>
            </w:r>
          </w:p>
        </w:tc>
        <w:tc>
          <w:tcPr>
            <w:tcW w:w="2891" w:type="dxa"/>
            <w:vMerge w:val="restart"/>
            <w:tcBorders>
              <w:top w:val="single" w:sz="4" w:space="0" w:color="auto"/>
              <w:left w:val="single" w:sz="6" w:space="0" w:color="000000"/>
              <w:bottom w:val="single" w:sz="4" w:space="0" w:color="auto"/>
              <w:right w:val="single" w:sz="6" w:space="0" w:color="000000"/>
            </w:tcBorders>
          </w:tcPr>
          <w:p w14:paraId="1B2E0306"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w:t>
            </w:r>
            <w:r w:rsidRPr="00BE4F57">
              <w:rPr>
                <w:rFonts w:ascii="Sylfaen" w:hAnsi="Sylfaen"/>
                <w:sz w:val="24"/>
                <w:szCs w:val="24"/>
                <w:lang w:val="ka-GE"/>
              </w:rPr>
              <w:t>&lt;150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4F36B24E"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00632BD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68</w:t>
            </w:r>
          </w:p>
        </w:tc>
        <w:tc>
          <w:tcPr>
            <w:tcW w:w="1244" w:type="dxa"/>
            <w:tcBorders>
              <w:top w:val="single" w:sz="6" w:space="0" w:color="000000"/>
              <w:left w:val="single" w:sz="6" w:space="0" w:color="000000"/>
              <w:bottom w:val="single" w:sz="6" w:space="0" w:color="000000"/>
              <w:right w:val="single" w:sz="6" w:space="0" w:color="000000"/>
            </w:tcBorders>
          </w:tcPr>
          <w:p w14:paraId="7796625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16.2%</w:t>
            </w:r>
          </w:p>
        </w:tc>
        <w:tc>
          <w:tcPr>
            <w:tcW w:w="850" w:type="dxa"/>
            <w:tcBorders>
              <w:top w:val="single" w:sz="6" w:space="0" w:color="000000"/>
              <w:left w:val="single" w:sz="6" w:space="0" w:color="000000"/>
              <w:bottom w:val="single" w:sz="6" w:space="0" w:color="000000"/>
              <w:right w:val="single" w:sz="6" w:space="0" w:color="000000"/>
            </w:tcBorders>
          </w:tcPr>
          <w:p w14:paraId="5F48D35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115</w:t>
            </w:r>
          </w:p>
        </w:tc>
        <w:tc>
          <w:tcPr>
            <w:tcW w:w="1134" w:type="dxa"/>
            <w:tcBorders>
              <w:top w:val="single" w:sz="6" w:space="0" w:color="000000"/>
              <w:left w:val="single" w:sz="6" w:space="0" w:color="000000"/>
              <w:bottom w:val="single" w:sz="6" w:space="0" w:color="000000"/>
              <w:right w:val="single" w:sz="6" w:space="0" w:color="000000"/>
            </w:tcBorders>
          </w:tcPr>
          <w:p w14:paraId="07E0B05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46.1%</w:t>
            </w:r>
          </w:p>
        </w:tc>
      </w:tr>
      <w:tr w:rsidR="008B1423" w:rsidRPr="00BE4F57" w14:paraId="63D386A3" w14:textId="77777777" w:rsidTr="009D3D8D">
        <w:trPr>
          <w:trHeight w:hRule="exact" w:val="580"/>
        </w:trPr>
        <w:tc>
          <w:tcPr>
            <w:tcW w:w="1318" w:type="dxa"/>
            <w:vMerge/>
            <w:tcBorders>
              <w:left w:val="single" w:sz="6" w:space="0" w:color="000000"/>
              <w:right w:val="single" w:sz="6" w:space="0" w:color="000000"/>
            </w:tcBorders>
          </w:tcPr>
          <w:p w14:paraId="4792B70F" w14:textId="77777777" w:rsidR="008B1423" w:rsidRPr="00BE4F57" w:rsidRDefault="008B1423" w:rsidP="00A14CA6">
            <w:pPr>
              <w:spacing w:after="0" w:line="240" w:lineRule="auto"/>
              <w:rPr>
                <w:rFonts w:ascii="Sylfaen" w:hAnsi="Sylfaen"/>
                <w:sz w:val="24"/>
                <w:szCs w:val="24"/>
              </w:rPr>
            </w:pPr>
          </w:p>
        </w:tc>
        <w:tc>
          <w:tcPr>
            <w:tcW w:w="2891" w:type="dxa"/>
            <w:vMerge/>
            <w:tcBorders>
              <w:top w:val="single" w:sz="6" w:space="0" w:color="000000"/>
              <w:left w:val="single" w:sz="6" w:space="0" w:color="000000"/>
              <w:bottom w:val="single" w:sz="4" w:space="0" w:color="auto"/>
              <w:right w:val="single" w:sz="6" w:space="0" w:color="000000"/>
            </w:tcBorders>
          </w:tcPr>
          <w:p w14:paraId="6285866D" w14:textId="77777777" w:rsidR="008B1423" w:rsidRPr="00BE4F57" w:rsidRDefault="008B1423" w:rsidP="00A14CA6">
            <w:pPr>
              <w:spacing w:after="0" w:line="240" w:lineRule="auto"/>
              <w:rPr>
                <w:rFonts w:ascii="Sylfaen" w:hAnsi="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3782E47B"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3384173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74</w:t>
            </w:r>
          </w:p>
        </w:tc>
        <w:tc>
          <w:tcPr>
            <w:tcW w:w="1244" w:type="dxa"/>
            <w:tcBorders>
              <w:top w:val="single" w:sz="6" w:space="0" w:color="000000"/>
              <w:left w:val="single" w:sz="6" w:space="0" w:color="000000"/>
              <w:bottom w:val="single" w:sz="6" w:space="0" w:color="000000"/>
              <w:right w:val="single" w:sz="6" w:space="0" w:color="000000"/>
            </w:tcBorders>
          </w:tcPr>
          <w:p w14:paraId="6D7AFB8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5.4%</w:t>
            </w:r>
          </w:p>
        </w:tc>
        <w:tc>
          <w:tcPr>
            <w:tcW w:w="850" w:type="dxa"/>
            <w:tcBorders>
              <w:top w:val="single" w:sz="6" w:space="0" w:color="000000"/>
              <w:left w:val="single" w:sz="6" w:space="0" w:color="000000"/>
              <w:bottom w:val="single" w:sz="6" w:space="0" w:color="000000"/>
              <w:right w:val="single" w:sz="6" w:space="0" w:color="000000"/>
            </w:tcBorders>
          </w:tcPr>
          <w:p w14:paraId="221081D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6E523BF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22A62369" w14:textId="77777777" w:rsidTr="009D3D8D">
        <w:trPr>
          <w:trHeight w:hRule="exact" w:val="1262"/>
        </w:trPr>
        <w:tc>
          <w:tcPr>
            <w:tcW w:w="1318" w:type="dxa"/>
            <w:vMerge/>
            <w:tcBorders>
              <w:left w:val="single" w:sz="6" w:space="0" w:color="000000"/>
              <w:right w:val="single" w:sz="6" w:space="0" w:color="000000"/>
            </w:tcBorders>
          </w:tcPr>
          <w:p w14:paraId="44E10AA2" w14:textId="77777777" w:rsidR="008B1423" w:rsidRPr="00BE4F57" w:rsidRDefault="008B1423" w:rsidP="00A14CA6">
            <w:pPr>
              <w:spacing w:after="0" w:line="240" w:lineRule="auto"/>
              <w:rPr>
                <w:rFonts w:ascii="Sylfaen" w:hAnsi="Sylfaen"/>
                <w:sz w:val="24"/>
                <w:szCs w:val="24"/>
              </w:rPr>
            </w:pPr>
          </w:p>
        </w:tc>
        <w:tc>
          <w:tcPr>
            <w:tcW w:w="2891" w:type="dxa"/>
            <w:vMerge w:val="restart"/>
            <w:tcBorders>
              <w:top w:val="single" w:sz="4" w:space="0" w:color="auto"/>
              <w:left w:val="single" w:sz="6" w:space="0" w:color="000000"/>
              <w:right w:val="single" w:sz="6" w:space="0" w:color="000000"/>
            </w:tcBorders>
          </w:tcPr>
          <w:p w14:paraId="0861C684"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15</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cs="Sylfaen"/>
                <w:sz w:val="24"/>
                <w:szCs w:val="24"/>
                <w:lang w:val="ka-GE"/>
              </w:rPr>
              <w:t xml:space="preserve"> და (&lt;200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421" w:type="dxa"/>
            <w:tcBorders>
              <w:top w:val="single" w:sz="6" w:space="0" w:color="000000"/>
              <w:left w:val="single" w:sz="6" w:space="0" w:color="000000"/>
              <w:bottom w:val="single" w:sz="6" w:space="0" w:color="000000"/>
              <w:right w:val="single" w:sz="6" w:space="0" w:color="000000"/>
            </w:tcBorders>
          </w:tcPr>
          <w:p w14:paraId="2A096B61"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w:t>
            </w:r>
            <w:r w:rsidRPr="00BE4F57">
              <w:rPr>
                <w:rFonts w:ascii="Sylfaen" w:hAnsi="Sylfaen" w:cs="Sylfaen"/>
                <w:sz w:val="24"/>
                <w:szCs w:val="24"/>
                <w:lang w:val="ka-GE"/>
              </w:rPr>
              <w:t xml:space="preserve"> </w:t>
            </w:r>
            <w:r w:rsidRPr="00BE4F57">
              <w:rPr>
                <w:rFonts w:ascii="Sylfaen" w:hAnsi="Sylfaen" w:cs="Sylfaen"/>
                <w:sz w:val="24"/>
                <w:szCs w:val="24"/>
              </w:rPr>
              <w:t>ტინის</w:t>
            </w:r>
            <w:r w:rsidRPr="00BE4F57">
              <w:rPr>
                <w:rFonts w:ascii="Sylfaen" w:hAnsi="Sylfaen"/>
                <w:sz w:val="24"/>
                <w:szCs w:val="24"/>
              </w:rPr>
              <w:t xml:space="preserve"> </w:t>
            </w:r>
            <w:r w:rsidRPr="00BE4F57">
              <w:rPr>
                <w:rFonts w:ascii="Sylfaen" w:hAnsi="Sylfaen" w:cs="Sylfaen"/>
                <w:sz w:val="24"/>
                <w:szCs w:val="24"/>
              </w:rPr>
              <w:t>კომბინაცია</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46692F45"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47</w:t>
            </w:r>
          </w:p>
        </w:tc>
        <w:tc>
          <w:tcPr>
            <w:tcW w:w="1244" w:type="dxa"/>
            <w:tcBorders>
              <w:top w:val="single" w:sz="6" w:space="0" w:color="000000"/>
              <w:left w:val="single" w:sz="6" w:space="0" w:color="000000"/>
              <w:bottom w:val="single" w:sz="6" w:space="0" w:color="000000"/>
              <w:right w:val="single" w:sz="6" w:space="0" w:color="000000"/>
            </w:tcBorders>
          </w:tcPr>
          <w:p w14:paraId="4C474B66"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51.1%</w:t>
            </w:r>
          </w:p>
        </w:tc>
        <w:tc>
          <w:tcPr>
            <w:tcW w:w="850" w:type="dxa"/>
            <w:tcBorders>
              <w:top w:val="single" w:sz="6" w:space="0" w:color="000000"/>
              <w:left w:val="single" w:sz="6" w:space="0" w:color="000000"/>
              <w:bottom w:val="single" w:sz="6" w:space="0" w:color="000000"/>
              <w:right w:val="single" w:sz="6" w:space="0" w:color="000000"/>
            </w:tcBorders>
          </w:tcPr>
          <w:p w14:paraId="66246005"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40</w:t>
            </w:r>
          </w:p>
        </w:tc>
        <w:tc>
          <w:tcPr>
            <w:tcW w:w="1134" w:type="dxa"/>
            <w:tcBorders>
              <w:top w:val="single" w:sz="6" w:space="0" w:color="000000"/>
              <w:left w:val="single" w:sz="6" w:space="0" w:color="000000"/>
              <w:bottom w:val="single" w:sz="6" w:space="0" w:color="000000"/>
              <w:right w:val="single" w:sz="6" w:space="0" w:color="000000"/>
            </w:tcBorders>
          </w:tcPr>
          <w:p w14:paraId="1C848319"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72.5%</w:t>
            </w:r>
          </w:p>
        </w:tc>
      </w:tr>
      <w:tr w:rsidR="008B1423" w:rsidRPr="00BE4F57" w14:paraId="49701F9C" w14:textId="77777777" w:rsidTr="005046EA">
        <w:trPr>
          <w:trHeight w:hRule="exact" w:val="571"/>
        </w:trPr>
        <w:tc>
          <w:tcPr>
            <w:tcW w:w="1318" w:type="dxa"/>
            <w:vMerge/>
            <w:tcBorders>
              <w:left w:val="single" w:sz="6" w:space="0" w:color="000000"/>
              <w:bottom w:val="single" w:sz="6" w:space="0" w:color="000000"/>
              <w:right w:val="single" w:sz="6" w:space="0" w:color="000000"/>
            </w:tcBorders>
          </w:tcPr>
          <w:p w14:paraId="5AA93801" w14:textId="77777777" w:rsidR="008B1423" w:rsidRPr="00BE4F57" w:rsidRDefault="008B1423" w:rsidP="00A14CA6">
            <w:pPr>
              <w:spacing w:after="0" w:line="240" w:lineRule="auto"/>
              <w:rPr>
                <w:rFonts w:ascii="Sylfaen" w:hAnsi="Sylfaen"/>
                <w:sz w:val="24"/>
                <w:szCs w:val="24"/>
              </w:rPr>
            </w:pPr>
          </w:p>
        </w:tc>
        <w:tc>
          <w:tcPr>
            <w:tcW w:w="2891" w:type="dxa"/>
            <w:vMerge/>
            <w:tcBorders>
              <w:left w:val="single" w:sz="6" w:space="0" w:color="000000"/>
              <w:bottom w:val="single" w:sz="6" w:space="0" w:color="000000"/>
              <w:right w:val="single" w:sz="6" w:space="0" w:color="000000"/>
            </w:tcBorders>
          </w:tcPr>
          <w:p w14:paraId="28D6556F" w14:textId="77777777" w:rsidR="008B1423" w:rsidRPr="00BE4F57" w:rsidRDefault="008B1423" w:rsidP="00A14CA6">
            <w:pPr>
              <w:spacing w:after="0" w:line="240" w:lineRule="auto"/>
              <w:rPr>
                <w:rFonts w:ascii="Sylfaen" w:hAnsi="Sylfaen" w:cs="Sylfaen"/>
                <w:sz w:val="24"/>
                <w:szCs w:val="24"/>
              </w:rPr>
            </w:pPr>
          </w:p>
        </w:tc>
        <w:tc>
          <w:tcPr>
            <w:tcW w:w="1421" w:type="dxa"/>
            <w:tcBorders>
              <w:top w:val="single" w:sz="6" w:space="0" w:color="000000"/>
              <w:left w:val="single" w:sz="6" w:space="0" w:color="000000"/>
              <w:bottom w:val="single" w:sz="6" w:space="0" w:color="000000"/>
              <w:right w:val="single" w:sz="6" w:space="0" w:color="000000"/>
            </w:tcBorders>
          </w:tcPr>
          <w:p w14:paraId="41983959"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cs="Sylfaen"/>
                <w:sz w:val="24"/>
                <w:szCs w:val="24"/>
              </w:rPr>
              <w:t>ფლუოქსეტინი</w:t>
            </w:r>
          </w:p>
        </w:tc>
        <w:tc>
          <w:tcPr>
            <w:tcW w:w="823" w:type="dxa"/>
            <w:tcBorders>
              <w:top w:val="single" w:sz="6" w:space="0" w:color="000000"/>
              <w:left w:val="single" w:sz="6" w:space="0" w:color="000000"/>
              <w:bottom w:val="single" w:sz="6" w:space="0" w:color="000000"/>
              <w:right w:val="single" w:sz="6" w:space="0" w:color="000000"/>
            </w:tcBorders>
          </w:tcPr>
          <w:p w14:paraId="07DCE3C0"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41</w:t>
            </w:r>
          </w:p>
        </w:tc>
        <w:tc>
          <w:tcPr>
            <w:tcW w:w="1244" w:type="dxa"/>
            <w:tcBorders>
              <w:top w:val="single" w:sz="6" w:space="0" w:color="000000"/>
              <w:left w:val="single" w:sz="6" w:space="0" w:color="000000"/>
              <w:bottom w:val="single" w:sz="6" w:space="0" w:color="000000"/>
              <w:right w:val="single" w:sz="6" w:space="0" w:color="000000"/>
            </w:tcBorders>
          </w:tcPr>
          <w:p w14:paraId="4019FD1D"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26.8%</w:t>
            </w:r>
          </w:p>
        </w:tc>
        <w:tc>
          <w:tcPr>
            <w:tcW w:w="850" w:type="dxa"/>
            <w:tcBorders>
              <w:top w:val="single" w:sz="6" w:space="0" w:color="000000"/>
              <w:left w:val="single" w:sz="6" w:space="0" w:color="000000"/>
              <w:bottom w:val="single" w:sz="6" w:space="0" w:color="000000"/>
              <w:right w:val="single" w:sz="6" w:space="0" w:color="000000"/>
            </w:tcBorders>
          </w:tcPr>
          <w:p w14:paraId="40101C80"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4522219B" w14:textId="77777777" w:rsidR="008B1423" w:rsidRPr="00BE4F57" w:rsidRDefault="008B1423" w:rsidP="00A14CA6">
            <w:pPr>
              <w:pStyle w:val="TableParagraph"/>
              <w:autoSpaceDE/>
              <w:autoSpaceDN/>
              <w:rPr>
                <w:rFonts w:ascii="Sylfaen" w:hAnsi="Sylfaen" w:cs="Calibri"/>
                <w:sz w:val="24"/>
                <w:szCs w:val="24"/>
              </w:rPr>
            </w:pPr>
            <w:r w:rsidRPr="00BE4F57">
              <w:rPr>
                <w:rFonts w:ascii="Sylfaen" w:hAnsi="Sylfaen" w:cs="Calibri"/>
                <w:sz w:val="24"/>
                <w:szCs w:val="24"/>
              </w:rPr>
              <w:t>NAa</w:t>
            </w:r>
          </w:p>
        </w:tc>
      </w:tr>
    </w:tbl>
    <w:p w14:paraId="6D797784" w14:textId="77777777" w:rsidR="008B1423" w:rsidRPr="00BE4F57" w:rsidRDefault="008B1423" w:rsidP="00A14CA6">
      <w:pPr>
        <w:spacing w:after="0" w:line="240" w:lineRule="auto"/>
        <w:jc w:val="both"/>
        <w:rPr>
          <w:rFonts w:ascii="Sylfaen" w:hAnsi="Sylfaen"/>
          <w:color w:val="FF0000"/>
          <w:sz w:val="24"/>
          <w:szCs w:val="24"/>
          <w:lang w:val="ka-GE"/>
        </w:rPr>
      </w:pPr>
    </w:p>
    <w:p w14:paraId="67EAE69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cs="Calibri"/>
          <w:sz w:val="24"/>
          <w:szCs w:val="24"/>
          <w:lang w:val="ka-GE"/>
        </w:rPr>
        <w:t xml:space="preserve"> </w:t>
      </w:r>
      <w:r w:rsidRPr="00BE4F57">
        <w:rPr>
          <w:rFonts w:ascii="Sylfaen" w:hAnsi="Sylfaen"/>
          <w:sz w:val="24"/>
          <w:szCs w:val="24"/>
          <w:lang w:val="ka-GE"/>
        </w:rPr>
        <w:t>არ არის ხელმისაწვდომი</w:t>
      </w:r>
    </w:p>
    <w:p w14:paraId="399DB8A0" w14:textId="77777777" w:rsidR="008B1423" w:rsidRPr="00BE4F57" w:rsidRDefault="008B1423" w:rsidP="00A14CA6">
      <w:pPr>
        <w:spacing w:after="0" w:line="240" w:lineRule="auto"/>
        <w:jc w:val="both"/>
        <w:rPr>
          <w:rFonts w:ascii="Sylfaen" w:hAnsi="Sylfaen"/>
          <w:color w:val="FF0000"/>
          <w:sz w:val="24"/>
          <w:szCs w:val="24"/>
          <w:lang w:val="ka-GE"/>
        </w:rPr>
      </w:pPr>
    </w:p>
    <w:p w14:paraId="72C0B6A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კომბის გამოყენებისას ლიპიდების მონაცემები უზმოზე შეზღუდულია; თუმცა, 12 კვირამდე მკურნალობის ხანგრძლივობისას ოლანზაპინის მონოთერაპიის 5 პლაცებო-კონტროლირებადი კვლევის ანალიზში, ოლანზაპინით ნამკურნალებ პაციენტებში უზმოზე საერთო ქოლესტერინის, დსლ ქოლესტერინის და ტრიგლიცერიდების საშუალო მაჩვენებლების 5.3 მგ/დლ, 3.0 მგ/დლ და 20.8 მგ/დლ–ით, შესაბამისად, საწის მაჩვენებელთან შედარებით მატება დაფიქსირდა, შედარებით პლაცებოთი ნამკურნალებ პაციენტებთან, რომლებშიც აღინიშნა უზმოზე საერთო ქოლესტერინის, დსლ ქოლესტერინის და ტრიგლიცერიდების საშუალო მაჩვენებლების  6.1 მგ/დლ-ით, 4.3 მგ/დლ-ით და 10.7 მგ/დლ-ით შემცირება საწყის მაჩვენებელთან შედარებით. უზმოზე მსლ ქოლესტერინის მხრივ  კლინიკურად მნიშვნელოვანი განსხვავებები არ დაფიქსირებულა ოლანზაპინით ნამკურნალებ და პლაცებოს მიმღებ პაციენტებს შორის. უზმოზე ლიპიდების დონის (საერთო ქოლესტერინი, დსლ ქოლესტერინი და ტრიგლიცერიდები) საშუალო მატება უფრო მეტი იყო იმ პაციენტებში, რომლებსაც საწყის ეტაპზე ლიპიდური რეგულაციის დარღვევის ნიშნები არ აღენიშნებოდათ. ლიპიდური რეგულაციის დარღვევის სახით აქ მოიაზრება პაციენტები, რომლებსაც დაუდგინდათ დისლიპიდემია ან მასთან დაკავშირებული გვერდითი რეაქციები, პაციენტები, რომლებსაც მკურნალობდნენ ჰიპოლიპიდემიური საშუალებებით და პაციენტები ლიპიდების მომატებული დონით საწყის ეტაპზე.</w:t>
      </w:r>
    </w:p>
    <w:p w14:paraId="662D01E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გრძელვადიან კვლევებში (მინიმუმ 48 კვირა), პაციენტებს აღენიშნებოდათ უზმოზე საერთო ქოლესტერინის, დსლ ქოლესტერინის და ტრიგლიცერიდების საშუალო დონის ზრდა საწყის დონესთან შედარებით შესაბამისად 5.6 მგ/დლ, 2.5 მგ/დლ და 18.7 მგ/დლ–ით, ხოლო უზმოზე მსლ ქოლესტერინის საშუალო დონის შემცირება 0.16 მგ/დლ-ით. 12-თვიანი თერაპიის დასრულების შემდეგ პაციენტების ანალიზისას, ჭამის შემდეგ საერთო ქოლესტერინის საშუალო მაჩვენებელი დაახლოებით 4-6 თვის შემდეგ აღარ გაზრდილა.</w:t>
      </w:r>
    </w:p>
    <w:p w14:paraId="67AF133F" w14:textId="77777777" w:rsidR="008B1423" w:rsidRPr="00BE4F57" w:rsidRDefault="008B1423" w:rsidP="00A14CA6">
      <w:pPr>
        <w:spacing w:after="0" w:line="240" w:lineRule="auto"/>
        <w:jc w:val="both"/>
        <w:rPr>
          <w:rFonts w:ascii="Sylfaen" w:hAnsi="Sylfaen"/>
          <w:sz w:val="24"/>
          <w:szCs w:val="24"/>
          <w:lang w:val="ka-GE"/>
        </w:rPr>
      </w:pPr>
    </w:p>
    <w:p w14:paraId="42823C4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ოლანზაპინით ნამკურნალები პაციენტების წილი, რომლებთანაც აღინიშნა საერთო ქოლესტერინის, დსლ ქოლესტერინის ან ტრიგლიცერიდების დონის ცვლილება (ერთხელ მაინც) ნორმალურიდან ან ზღვრულად მაღლიდან ან მსლ ქოლესტერინის დონის ნორმალურიდან ან ზღვრულად დაბლიდან, იყო უფრო მაღალი გრძელვადიან კვლევებში (მინიმუმ 48 კვირა) ხანმოკლე კვლევებთან შედარებით. ცხრილი 8 აჩვენებს უზმოზე ლიპიდების მნიშვნელობების კატეგორიულ ცვლილებებს.</w:t>
      </w:r>
    </w:p>
    <w:p w14:paraId="194FCC03" w14:textId="77777777" w:rsidR="008B1423" w:rsidRPr="00BE4F57" w:rsidRDefault="008B1423" w:rsidP="00A14CA6">
      <w:pPr>
        <w:spacing w:after="0" w:line="240" w:lineRule="auto"/>
        <w:jc w:val="both"/>
        <w:rPr>
          <w:rFonts w:ascii="Sylfaen" w:hAnsi="Sylfaen"/>
          <w:sz w:val="24"/>
          <w:szCs w:val="24"/>
          <w:lang w:val="ka-GE"/>
        </w:rPr>
      </w:pPr>
    </w:p>
    <w:p w14:paraId="25523C8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8: უზმოზე ლიპიდების მნიშვნელობების ცვლილებები მოზრდილებში ოლანზაპინის მონოთერაპიის კვლევებში.</w:t>
      </w:r>
    </w:p>
    <w:p w14:paraId="5EE7B0D2" w14:textId="77777777" w:rsidR="008B1423" w:rsidRPr="00BE4F57" w:rsidRDefault="008B1423" w:rsidP="00A14CA6">
      <w:pPr>
        <w:spacing w:after="0" w:line="240" w:lineRule="auto"/>
        <w:jc w:val="both"/>
        <w:rPr>
          <w:rFonts w:ascii="Sylfaen" w:hAnsi="Sylfaen"/>
          <w:sz w:val="24"/>
          <w:szCs w:val="24"/>
          <w:lang w:val="ka-GE"/>
        </w:rPr>
      </w:pPr>
    </w:p>
    <w:tbl>
      <w:tblPr>
        <w:tblW w:w="9539" w:type="dxa"/>
        <w:tblInd w:w="108" w:type="dxa"/>
        <w:tblLayout w:type="fixed"/>
        <w:tblCellMar>
          <w:left w:w="0" w:type="dxa"/>
          <w:right w:w="0" w:type="dxa"/>
        </w:tblCellMar>
        <w:tblLook w:val="01E0" w:firstRow="1" w:lastRow="1" w:firstColumn="1" w:lastColumn="1" w:noHBand="0" w:noVBand="0"/>
      </w:tblPr>
      <w:tblGrid>
        <w:gridCol w:w="1318"/>
        <w:gridCol w:w="2835"/>
        <w:gridCol w:w="56"/>
        <w:gridCol w:w="1279"/>
        <w:gridCol w:w="823"/>
        <w:gridCol w:w="1244"/>
        <w:gridCol w:w="850"/>
        <w:gridCol w:w="1134"/>
      </w:tblGrid>
      <w:tr w:rsidR="008B1423" w:rsidRPr="00BE4F57" w14:paraId="56E82B4E" w14:textId="77777777" w:rsidTr="00B35F73">
        <w:trPr>
          <w:trHeight w:hRule="exact" w:val="871"/>
        </w:trPr>
        <w:tc>
          <w:tcPr>
            <w:tcW w:w="1318" w:type="dxa"/>
            <w:vMerge w:val="restart"/>
            <w:tcBorders>
              <w:top w:val="single" w:sz="6" w:space="0" w:color="000000"/>
              <w:left w:val="single" w:sz="6" w:space="0" w:color="000000"/>
              <w:right w:val="single" w:sz="6" w:space="0" w:color="000000"/>
            </w:tcBorders>
          </w:tcPr>
          <w:p w14:paraId="79775C93"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73277001" w14:textId="77777777" w:rsidR="008B1423" w:rsidRPr="00BE4F57" w:rsidRDefault="008B1423" w:rsidP="00A14CA6">
            <w:pPr>
              <w:spacing w:after="0" w:line="240" w:lineRule="auto"/>
              <w:rPr>
                <w:rFonts w:ascii="Sylfaen" w:hAnsi="Sylfaen"/>
                <w:sz w:val="24"/>
                <w:szCs w:val="24"/>
              </w:rPr>
            </w:pPr>
            <w:r w:rsidRPr="00BE4F57">
              <w:rPr>
                <w:rFonts w:ascii="Sylfaen" w:hAnsi="Sylfaen"/>
                <w:b/>
                <w:bCs/>
                <w:sz w:val="24"/>
                <w:szCs w:val="24"/>
                <w:lang w:val="ka-GE"/>
              </w:rPr>
              <w:t>რიული ანალიტი</w:t>
            </w:r>
          </w:p>
        </w:tc>
        <w:tc>
          <w:tcPr>
            <w:tcW w:w="2891" w:type="dxa"/>
            <w:gridSpan w:val="2"/>
            <w:vMerge w:val="restart"/>
            <w:tcBorders>
              <w:top w:val="single" w:sz="6" w:space="0" w:color="000000"/>
              <w:left w:val="single" w:sz="6" w:space="0" w:color="000000"/>
              <w:right w:val="single" w:sz="6" w:space="0" w:color="000000"/>
            </w:tcBorders>
          </w:tcPr>
          <w:p w14:paraId="4B00D943"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279" w:type="dxa"/>
            <w:vMerge w:val="restart"/>
            <w:tcBorders>
              <w:top w:val="single" w:sz="6" w:space="0" w:color="000000"/>
              <w:left w:val="single" w:sz="6" w:space="0" w:color="000000"/>
              <w:right w:val="single" w:sz="6" w:space="0" w:color="000000"/>
            </w:tcBorders>
          </w:tcPr>
          <w:p w14:paraId="7A9BC5C3"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2067" w:type="dxa"/>
            <w:gridSpan w:val="2"/>
            <w:tcBorders>
              <w:top w:val="single" w:sz="6" w:space="0" w:color="000000"/>
              <w:left w:val="single" w:sz="6" w:space="0" w:color="000000"/>
              <w:bottom w:val="single" w:sz="6" w:space="0" w:color="000000"/>
              <w:right w:val="single" w:sz="6" w:space="0" w:color="000000"/>
            </w:tcBorders>
          </w:tcPr>
          <w:p w14:paraId="44FED5A8"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12</w:t>
            </w:r>
            <w:r w:rsidRPr="00BE4F57">
              <w:rPr>
                <w:rFonts w:ascii="Sylfaen" w:hAnsi="Sylfaen"/>
                <w:b/>
                <w:sz w:val="24"/>
                <w:szCs w:val="24"/>
              </w:rPr>
              <w:t xml:space="preserve"> </w:t>
            </w:r>
            <w:r w:rsidRPr="00BE4F57">
              <w:rPr>
                <w:rFonts w:ascii="Sylfaen" w:hAnsi="Sylfaen" w:cs="Sylfaen"/>
                <w:b/>
                <w:sz w:val="24"/>
                <w:szCs w:val="24"/>
              </w:rPr>
              <w:t>კვირამდე</w:t>
            </w:r>
            <w:r w:rsidRPr="00BE4F57">
              <w:rPr>
                <w:rFonts w:ascii="Sylfaen" w:hAnsi="Sylfaen" w:cs="Sylfaen"/>
                <w:b/>
                <w:sz w:val="24"/>
                <w:szCs w:val="24"/>
                <w:lang w:val="ka-GE"/>
              </w:rPr>
              <w:t xml:space="preserve"> </w:t>
            </w:r>
          </w:p>
        </w:tc>
        <w:tc>
          <w:tcPr>
            <w:tcW w:w="1984" w:type="dxa"/>
            <w:gridSpan w:val="2"/>
            <w:tcBorders>
              <w:top w:val="single" w:sz="6" w:space="0" w:color="000000"/>
              <w:left w:val="single" w:sz="6" w:space="0" w:color="000000"/>
              <w:bottom w:val="single" w:sz="6" w:space="0" w:color="000000"/>
              <w:right w:val="single" w:sz="6" w:space="0" w:color="000000"/>
            </w:tcBorders>
          </w:tcPr>
          <w:p w14:paraId="7F5765C5" w14:textId="77777777" w:rsidR="008B1423" w:rsidRPr="00BE4F57" w:rsidRDefault="008B1423" w:rsidP="00A14CA6">
            <w:pPr>
              <w:spacing w:after="0" w:line="240" w:lineRule="auto"/>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cs="Sylfaen"/>
                <w:b/>
                <w:sz w:val="24"/>
                <w:szCs w:val="24"/>
                <w:lang w:val="ka-GE"/>
              </w:rPr>
              <w:t xml:space="preserve"> მინიმუმ</w:t>
            </w:r>
            <w:r w:rsidRPr="00BE4F57">
              <w:rPr>
                <w:rFonts w:ascii="Sylfaen" w:hAnsi="Sylfaen"/>
                <w:b/>
                <w:sz w:val="24"/>
                <w:szCs w:val="24"/>
              </w:rPr>
              <w:t xml:space="preserve"> </w:t>
            </w:r>
            <w:r w:rsidRPr="00BE4F57">
              <w:rPr>
                <w:rFonts w:ascii="Sylfaen" w:hAnsi="Sylfaen"/>
                <w:b/>
                <w:sz w:val="24"/>
                <w:szCs w:val="24"/>
                <w:lang w:val="ka-GE"/>
              </w:rPr>
              <w:t>28</w:t>
            </w:r>
            <w:r w:rsidRPr="00BE4F57">
              <w:rPr>
                <w:rFonts w:ascii="Sylfaen" w:hAnsi="Sylfaen"/>
                <w:b/>
                <w:sz w:val="24"/>
                <w:szCs w:val="24"/>
              </w:rPr>
              <w:t xml:space="preserve"> </w:t>
            </w:r>
            <w:r w:rsidRPr="00BE4F57">
              <w:rPr>
                <w:rFonts w:ascii="Sylfaen" w:hAnsi="Sylfaen" w:cs="Sylfaen"/>
                <w:b/>
                <w:sz w:val="24"/>
                <w:szCs w:val="24"/>
              </w:rPr>
              <w:t>კვირ</w:t>
            </w:r>
            <w:r w:rsidRPr="00BE4F57">
              <w:rPr>
                <w:rFonts w:ascii="Sylfaen" w:hAnsi="Sylfaen" w:cs="Sylfaen"/>
                <w:b/>
                <w:sz w:val="24"/>
                <w:szCs w:val="24"/>
                <w:lang w:val="ka-GE"/>
              </w:rPr>
              <w:t>ის განმავლობაში</w:t>
            </w:r>
          </w:p>
        </w:tc>
      </w:tr>
      <w:tr w:rsidR="008B1423" w:rsidRPr="00BE4F57" w14:paraId="70627118" w14:textId="77777777" w:rsidTr="00B35F73">
        <w:trPr>
          <w:trHeight w:hRule="exact" w:val="572"/>
        </w:trPr>
        <w:tc>
          <w:tcPr>
            <w:tcW w:w="1318" w:type="dxa"/>
            <w:vMerge/>
            <w:tcBorders>
              <w:left w:val="single" w:sz="6" w:space="0" w:color="000000"/>
              <w:bottom w:val="single" w:sz="6" w:space="0" w:color="000000"/>
              <w:right w:val="single" w:sz="6" w:space="0" w:color="000000"/>
            </w:tcBorders>
          </w:tcPr>
          <w:p w14:paraId="23D2292D" w14:textId="77777777" w:rsidR="008B1423" w:rsidRPr="00BE4F57" w:rsidRDefault="008B1423" w:rsidP="00A14CA6">
            <w:pPr>
              <w:pStyle w:val="TableParagraph"/>
              <w:autoSpaceDE/>
              <w:autoSpaceDN/>
              <w:rPr>
                <w:rFonts w:ascii="Sylfaen" w:hAnsi="Sylfaen"/>
                <w:b/>
                <w:sz w:val="24"/>
                <w:szCs w:val="24"/>
                <w:lang w:val="ka-GE"/>
              </w:rPr>
            </w:pPr>
          </w:p>
        </w:tc>
        <w:tc>
          <w:tcPr>
            <w:tcW w:w="2891" w:type="dxa"/>
            <w:gridSpan w:val="2"/>
            <w:vMerge/>
            <w:tcBorders>
              <w:left w:val="single" w:sz="6" w:space="0" w:color="000000"/>
              <w:bottom w:val="single" w:sz="6" w:space="0" w:color="000000"/>
              <w:right w:val="single" w:sz="6" w:space="0" w:color="000000"/>
            </w:tcBorders>
          </w:tcPr>
          <w:p w14:paraId="50827505" w14:textId="77777777" w:rsidR="008B1423" w:rsidRPr="00BE4F57" w:rsidRDefault="008B1423" w:rsidP="00A14CA6">
            <w:pPr>
              <w:pStyle w:val="TableParagraph"/>
              <w:autoSpaceDE/>
              <w:autoSpaceDN/>
              <w:rPr>
                <w:rFonts w:ascii="Sylfaen" w:hAnsi="Sylfaen"/>
                <w:b/>
                <w:sz w:val="24"/>
                <w:szCs w:val="24"/>
              </w:rPr>
            </w:pPr>
          </w:p>
        </w:tc>
        <w:tc>
          <w:tcPr>
            <w:tcW w:w="1279" w:type="dxa"/>
            <w:vMerge/>
            <w:tcBorders>
              <w:left w:val="single" w:sz="6" w:space="0" w:color="000000"/>
              <w:bottom w:val="single" w:sz="6" w:space="0" w:color="000000"/>
              <w:right w:val="single" w:sz="6" w:space="0" w:color="000000"/>
            </w:tcBorders>
          </w:tcPr>
          <w:p w14:paraId="37D01A35" w14:textId="77777777" w:rsidR="008B1423" w:rsidRPr="00BE4F57" w:rsidRDefault="008B1423" w:rsidP="00A14CA6">
            <w:pPr>
              <w:pStyle w:val="TableParagraph"/>
              <w:autoSpaceDE/>
              <w:autoSpaceDN/>
              <w:rPr>
                <w:rFonts w:ascii="Sylfaen" w:hAnsi="Sylfaen"/>
                <w:b/>
                <w:sz w:val="24"/>
                <w:szCs w:val="24"/>
              </w:rPr>
            </w:pPr>
          </w:p>
        </w:tc>
        <w:tc>
          <w:tcPr>
            <w:tcW w:w="823" w:type="dxa"/>
            <w:tcBorders>
              <w:top w:val="single" w:sz="6" w:space="0" w:color="000000"/>
              <w:left w:val="single" w:sz="6" w:space="0" w:color="000000"/>
              <w:bottom w:val="single" w:sz="6" w:space="0" w:color="000000"/>
              <w:right w:val="single" w:sz="6" w:space="0" w:color="000000"/>
            </w:tcBorders>
          </w:tcPr>
          <w:p w14:paraId="458A317B"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244" w:type="dxa"/>
            <w:tcBorders>
              <w:top w:val="single" w:sz="6" w:space="0" w:color="000000"/>
              <w:left w:val="single" w:sz="6" w:space="0" w:color="000000"/>
              <w:bottom w:val="single" w:sz="6" w:space="0" w:color="000000"/>
              <w:right w:val="single" w:sz="6" w:space="0" w:color="000000"/>
            </w:tcBorders>
          </w:tcPr>
          <w:p w14:paraId="6199076F"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850" w:type="dxa"/>
            <w:tcBorders>
              <w:top w:val="single" w:sz="6" w:space="0" w:color="000000"/>
              <w:left w:val="single" w:sz="6" w:space="0" w:color="000000"/>
              <w:bottom w:val="single" w:sz="6" w:space="0" w:color="000000"/>
              <w:right w:val="single" w:sz="6" w:space="0" w:color="000000"/>
            </w:tcBorders>
          </w:tcPr>
          <w:p w14:paraId="46BF1FAA"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34" w:type="dxa"/>
            <w:tcBorders>
              <w:top w:val="single" w:sz="6" w:space="0" w:color="000000"/>
              <w:left w:val="single" w:sz="6" w:space="0" w:color="000000"/>
              <w:bottom w:val="single" w:sz="6" w:space="0" w:color="000000"/>
              <w:right w:val="single" w:sz="6" w:space="0" w:color="000000"/>
            </w:tcBorders>
          </w:tcPr>
          <w:p w14:paraId="2D2E9DA4"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1FDE27BA" w14:textId="77777777" w:rsidTr="00022191">
        <w:trPr>
          <w:trHeight w:val="252"/>
        </w:trPr>
        <w:tc>
          <w:tcPr>
            <w:tcW w:w="9539" w:type="dxa"/>
            <w:gridSpan w:val="8"/>
            <w:tcBorders>
              <w:left w:val="single" w:sz="6" w:space="0" w:color="000000"/>
              <w:right w:val="single" w:sz="6" w:space="0" w:color="000000"/>
            </w:tcBorders>
          </w:tcPr>
          <w:p w14:paraId="0B99A1BB" w14:textId="77777777" w:rsidR="008B1423" w:rsidRPr="00BE4F57" w:rsidRDefault="008B1423" w:rsidP="00A14CA6">
            <w:pPr>
              <w:pStyle w:val="TableParagraph"/>
              <w:autoSpaceDE/>
              <w:autoSpaceDN/>
              <w:jc w:val="center"/>
              <w:rPr>
                <w:rFonts w:ascii="Sylfaen" w:hAnsi="Sylfaen"/>
                <w:b/>
                <w:bCs/>
                <w:sz w:val="24"/>
                <w:szCs w:val="24"/>
                <w:lang w:val="ka-GE"/>
              </w:rPr>
            </w:pPr>
          </w:p>
        </w:tc>
      </w:tr>
      <w:tr w:rsidR="008B1423" w:rsidRPr="00BE4F57" w14:paraId="367521DA" w14:textId="77777777" w:rsidTr="00A43BB4">
        <w:trPr>
          <w:trHeight w:hRule="exact" w:val="258"/>
        </w:trPr>
        <w:tc>
          <w:tcPr>
            <w:tcW w:w="1318" w:type="dxa"/>
            <w:vMerge w:val="restart"/>
            <w:tcBorders>
              <w:top w:val="single" w:sz="6" w:space="0" w:color="000000"/>
              <w:left w:val="single" w:sz="6" w:space="0" w:color="000000"/>
              <w:bottom w:val="single" w:sz="4" w:space="0" w:color="auto"/>
              <w:right w:val="single" w:sz="6" w:space="0" w:color="000000"/>
            </w:tcBorders>
            <w:vAlign w:val="center"/>
          </w:tcPr>
          <w:p w14:paraId="28A6C52A" w14:textId="77777777" w:rsidR="008B1423" w:rsidRPr="00BE4F57" w:rsidRDefault="008B1423" w:rsidP="00A14CA6">
            <w:pPr>
              <w:pStyle w:val="TableParagraph"/>
              <w:autoSpaceDE/>
              <w:autoSpaceDN/>
              <w:jc w:val="center"/>
              <w:rPr>
                <w:rFonts w:ascii="Sylfaen" w:hAnsi="Sylfaen"/>
                <w:sz w:val="24"/>
                <w:szCs w:val="24"/>
              </w:rPr>
            </w:pPr>
          </w:p>
          <w:p w14:paraId="20E6B7BF" w14:textId="77777777" w:rsidR="008B1423" w:rsidRPr="00BE4F57" w:rsidRDefault="008B1423" w:rsidP="00A14CA6">
            <w:pPr>
              <w:pStyle w:val="TableParagraph"/>
              <w:autoSpaceDE/>
              <w:autoSpaceDN/>
              <w:jc w:val="center"/>
              <w:rPr>
                <w:rFonts w:ascii="Sylfaen" w:hAnsi="Sylfaen"/>
                <w:sz w:val="24"/>
                <w:szCs w:val="24"/>
              </w:rPr>
            </w:pPr>
          </w:p>
          <w:p w14:paraId="4E23EBE8" w14:textId="77777777" w:rsidR="008B1423" w:rsidRPr="00BE4F57" w:rsidRDefault="008B1423" w:rsidP="00A14CA6">
            <w:pPr>
              <w:pStyle w:val="TableParagraph"/>
              <w:autoSpaceDE/>
              <w:autoSpaceDN/>
              <w:jc w:val="center"/>
              <w:rPr>
                <w:rFonts w:ascii="Sylfaen" w:hAnsi="Sylfaen"/>
                <w:sz w:val="24"/>
                <w:szCs w:val="24"/>
                <w:lang w:val="ka-GE"/>
              </w:rPr>
            </w:pPr>
            <w:r w:rsidRPr="00BE4F57">
              <w:rPr>
                <w:rFonts w:ascii="Sylfaen" w:hAnsi="Sylfaen"/>
                <w:sz w:val="24"/>
                <w:szCs w:val="24"/>
                <w:lang w:val="ka-GE"/>
              </w:rPr>
              <w:t>ტრიგლიცერიდები უზმოზე</w:t>
            </w:r>
          </w:p>
        </w:tc>
        <w:tc>
          <w:tcPr>
            <w:tcW w:w="2835" w:type="dxa"/>
            <w:vMerge w:val="restart"/>
            <w:tcBorders>
              <w:top w:val="single" w:sz="6" w:space="0" w:color="000000"/>
              <w:left w:val="single" w:sz="6" w:space="0" w:color="000000"/>
              <w:bottom w:val="single" w:sz="4" w:space="0" w:color="auto"/>
              <w:right w:val="single" w:sz="6" w:space="0" w:color="000000"/>
            </w:tcBorders>
          </w:tcPr>
          <w:p w14:paraId="531E151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≥50 მგ/დლ ზრდა</w:t>
            </w:r>
          </w:p>
        </w:tc>
        <w:tc>
          <w:tcPr>
            <w:tcW w:w="1335" w:type="dxa"/>
            <w:gridSpan w:val="2"/>
            <w:tcBorders>
              <w:top w:val="single" w:sz="6" w:space="0" w:color="000000"/>
              <w:left w:val="single" w:sz="6" w:space="0" w:color="000000"/>
              <w:bottom w:val="single" w:sz="6" w:space="0" w:color="000000"/>
              <w:right w:val="single" w:sz="6" w:space="0" w:color="000000"/>
            </w:tcBorders>
          </w:tcPr>
          <w:p w14:paraId="441C368D"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09658A3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745</w:t>
            </w:r>
          </w:p>
        </w:tc>
        <w:tc>
          <w:tcPr>
            <w:tcW w:w="1244" w:type="dxa"/>
            <w:tcBorders>
              <w:top w:val="single" w:sz="6" w:space="0" w:color="000000"/>
              <w:left w:val="single" w:sz="6" w:space="0" w:color="000000"/>
              <w:bottom w:val="single" w:sz="6" w:space="0" w:color="000000"/>
              <w:right w:val="single" w:sz="6" w:space="0" w:color="000000"/>
            </w:tcBorders>
          </w:tcPr>
          <w:p w14:paraId="1774A61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39.6%</w:t>
            </w:r>
          </w:p>
        </w:tc>
        <w:tc>
          <w:tcPr>
            <w:tcW w:w="850" w:type="dxa"/>
            <w:tcBorders>
              <w:top w:val="single" w:sz="6" w:space="0" w:color="000000"/>
              <w:left w:val="single" w:sz="6" w:space="0" w:color="000000"/>
              <w:bottom w:val="single" w:sz="6" w:space="0" w:color="000000"/>
              <w:right w:val="single" w:sz="6" w:space="0" w:color="000000"/>
            </w:tcBorders>
          </w:tcPr>
          <w:p w14:paraId="7114A41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487</w:t>
            </w:r>
          </w:p>
        </w:tc>
        <w:tc>
          <w:tcPr>
            <w:tcW w:w="1134" w:type="dxa"/>
            <w:tcBorders>
              <w:top w:val="single" w:sz="6" w:space="0" w:color="000000"/>
              <w:left w:val="single" w:sz="6" w:space="0" w:color="000000"/>
              <w:bottom w:val="single" w:sz="6" w:space="0" w:color="000000"/>
              <w:right w:val="single" w:sz="6" w:space="0" w:color="000000"/>
            </w:tcBorders>
          </w:tcPr>
          <w:p w14:paraId="3FE7B0C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61.4%</w:t>
            </w:r>
          </w:p>
        </w:tc>
      </w:tr>
      <w:tr w:rsidR="008B1423" w:rsidRPr="00BE4F57" w14:paraId="5BE48388" w14:textId="77777777" w:rsidTr="00A43BB4">
        <w:trPr>
          <w:trHeight w:hRule="exact" w:val="292"/>
        </w:trPr>
        <w:tc>
          <w:tcPr>
            <w:tcW w:w="1318" w:type="dxa"/>
            <w:vMerge/>
            <w:tcBorders>
              <w:left w:val="single" w:sz="6" w:space="0" w:color="000000"/>
              <w:bottom w:val="single" w:sz="4" w:space="0" w:color="auto"/>
              <w:right w:val="single" w:sz="6" w:space="0" w:color="000000"/>
            </w:tcBorders>
            <w:vAlign w:val="center"/>
          </w:tcPr>
          <w:p w14:paraId="46A06915"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12EC3003"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09FA8D5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6C0D7A4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402</w:t>
            </w:r>
          </w:p>
        </w:tc>
        <w:tc>
          <w:tcPr>
            <w:tcW w:w="1244" w:type="dxa"/>
            <w:tcBorders>
              <w:top w:val="single" w:sz="6" w:space="0" w:color="000000"/>
              <w:left w:val="single" w:sz="6" w:space="0" w:color="000000"/>
              <w:bottom w:val="single" w:sz="6" w:space="0" w:color="000000"/>
              <w:right w:val="single" w:sz="6" w:space="0" w:color="000000"/>
            </w:tcBorders>
          </w:tcPr>
          <w:p w14:paraId="5C17F12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26.1%</w:t>
            </w:r>
          </w:p>
        </w:tc>
        <w:tc>
          <w:tcPr>
            <w:tcW w:w="850" w:type="dxa"/>
            <w:tcBorders>
              <w:top w:val="single" w:sz="6" w:space="0" w:color="000000"/>
              <w:left w:val="single" w:sz="6" w:space="0" w:color="000000"/>
              <w:bottom w:val="single" w:sz="6" w:space="0" w:color="000000"/>
              <w:right w:val="single" w:sz="6" w:space="0" w:color="000000"/>
            </w:tcBorders>
          </w:tcPr>
          <w:p w14:paraId="1D8BEBA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1BDBD76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5A21C58B" w14:textId="77777777" w:rsidTr="007232FD">
        <w:trPr>
          <w:trHeight w:hRule="exact" w:val="672"/>
        </w:trPr>
        <w:tc>
          <w:tcPr>
            <w:tcW w:w="1318" w:type="dxa"/>
            <w:vMerge/>
            <w:tcBorders>
              <w:left w:val="single" w:sz="6" w:space="0" w:color="000000"/>
              <w:bottom w:val="single" w:sz="4" w:space="0" w:color="auto"/>
              <w:right w:val="single" w:sz="6" w:space="0" w:color="000000"/>
            </w:tcBorders>
            <w:vAlign w:val="center"/>
          </w:tcPr>
          <w:p w14:paraId="6896D9D0" w14:textId="77777777" w:rsidR="008B1423" w:rsidRPr="00BE4F57" w:rsidRDefault="008B1423" w:rsidP="00A14CA6">
            <w:pPr>
              <w:spacing w:after="0" w:line="240" w:lineRule="auto"/>
              <w:jc w:val="center"/>
              <w:rPr>
                <w:rFonts w:ascii="Sylfaen" w:hAnsi="Sylfaen"/>
                <w:sz w:val="24"/>
                <w:szCs w:val="24"/>
              </w:rPr>
            </w:pPr>
          </w:p>
        </w:tc>
        <w:tc>
          <w:tcPr>
            <w:tcW w:w="2835" w:type="dxa"/>
            <w:vMerge w:val="restart"/>
            <w:tcBorders>
              <w:top w:val="single" w:sz="6" w:space="0" w:color="000000"/>
              <w:left w:val="single" w:sz="6" w:space="0" w:color="000000"/>
              <w:bottom w:val="single" w:sz="4" w:space="0" w:color="auto"/>
              <w:right w:val="single" w:sz="6" w:space="0" w:color="000000"/>
            </w:tcBorders>
          </w:tcPr>
          <w:p w14:paraId="7E2EDF7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(&lt;1</w:t>
            </w:r>
            <w:r w:rsidRPr="00BE4F57">
              <w:rPr>
                <w:rFonts w:ascii="Sylfaen" w:hAnsi="Sylfaen"/>
                <w:sz w:val="24"/>
                <w:szCs w:val="24"/>
                <w:lang w:val="ka-GE"/>
              </w:rPr>
              <w:t>50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6740EA4B"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4069337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457</w:t>
            </w:r>
          </w:p>
        </w:tc>
        <w:tc>
          <w:tcPr>
            <w:tcW w:w="1244" w:type="dxa"/>
            <w:tcBorders>
              <w:top w:val="single" w:sz="6" w:space="0" w:color="000000"/>
              <w:left w:val="single" w:sz="6" w:space="0" w:color="000000"/>
              <w:bottom w:val="single" w:sz="6" w:space="0" w:color="000000"/>
              <w:right w:val="single" w:sz="6" w:space="0" w:color="000000"/>
            </w:tcBorders>
          </w:tcPr>
          <w:p w14:paraId="1EE8052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9.2%</w:t>
            </w:r>
          </w:p>
        </w:tc>
        <w:tc>
          <w:tcPr>
            <w:tcW w:w="850" w:type="dxa"/>
            <w:tcBorders>
              <w:top w:val="single" w:sz="6" w:space="0" w:color="000000"/>
              <w:left w:val="single" w:sz="6" w:space="0" w:color="000000"/>
              <w:bottom w:val="single" w:sz="6" w:space="0" w:color="000000"/>
              <w:right w:val="single" w:sz="6" w:space="0" w:color="000000"/>
            </w:tcBorders>
          </w:tcPr>
          <w:p w14:paraId="461A16A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293</w:t>
            </w:r>
          </w:p>
        </w:tc>
        <w:tc>
          <w:tcPr>
            <w:tcW w:w="1134" w:type="dxa"/>
            <w:tcBorders>
              <w:top w:val="single" w:sz="6" w:space="0" w:color="000000"/>
              <w:left w:val="single" w:sz="6" w:space="0" w:color="000000"/>
              <w:bottom w:val="single" w:sz="6" w:space="0" w:color="000000"/>
              <w:right w:val="single" w:sz="6" w:space="0" w:color="000000"/>
            </w:tcBorders>
          </w:tcPr>
          <w:p w14:paraId="71E430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32.4%</w:t>
            </w:r>
          </w:p>
        </w:tc>
      </w:tr>
      <w:tr w:rsidR="008B1423" w:rsidRPr="00BE4F57" w14:paraId="618752FF" w14:textId="77777777" w:rsidTr="00B35F73">
        <w:trPr>
          <w:trHeight w:hRule="exact" w:val="417"/>
        </w:trPr>
        <w:tc>
          <w:tcPr>
            <w:tcW w:w="1318" w:type="dxa"/>
            <w:vMerge/>
            <w:tcBorders>
              <w:left w:val="single" w:sz="6" w:space="0" w:color="000000"/>
              <w:bottom w:val="single" w:sz="4" w:space="0" w:color="auto"/>
              <w:right w:val="single" w:sz="6" w:space="0" w:color="000000"/>
            </w:tcBorders>
            <w:vAlign w:val="center"/>
          </w:tcPr>
          <w:p w14:paraId="5CA45583"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277171A3"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46213509"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02FC644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251</w:t>
            </w:r>
          </w:p>
        </w:tc>
        <w:tc>
          <w:tcPr>
            <w:tcW w:w="1244" w:type="dxa"/>
            <w:tcBorders>
              <w:top w:val="single" w:sz="6" w:space="0" w:color="000000"/>
              <w:left w:val="single" w:sz="6" w:space="0" w:color="000000"/>
              <w:bottom w:val="single" w:sz="6" w:space="0" w:color="000000"/>
              <w:right w:val="single" w:sz="6" w:space="0" w:color="000000"/>
            </w:tcBorders>
          </w:tcPr>
          <w:p w14:paraId="27A0A32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4.4%</w:t>
            </w:r>
          </w:p>
        </w:tc>
        <w:tc>
          <w:tcPr>
            <w:tcW w:w="850" w:type="dxa"/>
            <w:tcBorders>
              <w:top w:val="single" w:sz="6" w:space="0" w:color="000000"/>
              <w:left w:val="single" w:sz="6" w:space="0" w:color="000000"/>
              <w:bottom w:val="single" w:sz="6" w:space="0" w:color="000000"/>
              <w:right w:val="single" w:sz="6" w:space="0" w:color="000000"/>
            </w:tcBorders>
          </w:tcPr>
          <w:p w14:paraId="589F1BE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6AFF5C5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77420BB8" w14:textId="77777777" w:rsidTr="00B35F73">
        <w:trPr>
          <w:trHeight w:hRule="exact" w:val="580"/>
        </w:trPr>
        <w:tc>
          <w:tcPr>
            <w:tcW w:w="1318" w:type="dxa"/>
            <w:vMerge/>
            <w:tcBorders>
              <w:left w:val="single" w:sz="6" w:space="0" w:color="000000"/>
              <w:bottom w:val="single" w:sz="4" w:space="0" w:color="auto"/>
              <w:right w:val="single" w:sz="6" w:space="0" w:color="000000"/>
            </w:tcBorders>
            <w:vAlign w:val="center"/>
          </w:tcPr>
          <w:p w14:paraId="1F87DA2E" w14:textId="77777777" w:rsidR="008B1423" w:rsidRPr="00BE4F57" w:rsidRDefault="008B1423" w:rsidP="00A14CA6">
            <w:pPr>
              <w:spacing w:after="0" w:line="240" w:lineRule="auto"/>
              <w:jc w:val="center"/>
              <w:rPr>
                <w:rFonts w:ascii="Sylfaen" w:hAnsi="Sylfaen"/>
                <w:sz w:val="24"/>
                <w:szCs w:val="24"/>
              </w:rPr>
            </w:pPr>
          </w:p>
        </w:tc>
        <w:tc>
          <w:tcPr>
            <w:tcW w:w="2835" w:type="dxa"/>
            <w:vMerge w:val="restart"/>
            <w:tcBorders>
              <w:top w:val="single" w:sz="4" w:space="0" w:color="auto"/>
              <w:left w:val="single" w:sz="6" w:space="0" w:color="000000"/>
              <w:bottom w:val="single" w:sz="4" w:space="0" w:color="auto"/>
              <w:right w:val="single" w:sz="6" w:space="0" w:color="000000"/>
            </w:tcBorders>
          </w:tcPr>
          <w:p w14:paraId="39C9CC8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(≥1</w:t>
            </w:r>
            <w:r w:rsidRPr="00BE4F57">
              <w:rPr>
                <w:rFonts w:ascii="Sylfaen" w:hAnsi="Sylfaen"/>
                <w:sz w:val="24"/>
                <w:szCs w:val="24"/>
                <w:lang w:val="ka-GE"/>
              </w:rPr>
              <w:t>5</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0DB7811B"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53E08F2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135</w:t>
            </w:r>
          </w:p>
        </w:tc>
        <w:tc>
          <w:tcPr>
            <w:tcW w:w="1244" w:type="dxa"/>
            <w:tcBorders>
              <w:top w:val="single" w:sz="6" w:space="0" w:color="000000"/>
              <w:left w:val="single" w:sz="6" w:space="0" w:color="000000"/>
              <w:bottom w:val="single" w:sz="6" w:space="0" w:color="000000"/>
              <w:right w:val="single" w:sz="6" w:space="0" w:color="000000"/>
            </w:tcBorders>
          </w:tcPr>
          <w:p w14:paraId="68E164D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39.3%</w:t>
            </w:r>
          </w:p>
        </w:tc>
        <w:tc>
          <w:tcPr>
            <w:tcW w:w="850" w:type="dxa"/>
            <w:tcBorders>
              <w:top w:val="single" w:sz="6" w:space="0" w:color="000000"/>
              <w:left w:val="single" w:sz="6" w:space="0" w:color="000000"/>
              <w:bottom w:val="single" w:sz="6" w:space="0" w:color="000000"/>
              <w:right w:val="single" w:sz="6" w:space="0" w:color="000000"/>
            </w:tcBorders>
          </w:tcPr>
          <w:p w14:paraId="29E5C453"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75</w:t>
            </w:r>
          </w:p>
        </w:tc>
        <w:tc>
          <w:tcPr>
            <w:tcW w:w="1134" w:type="dxa"/>
            <w:tcBorders>
              <w:top w:val="single" w:sz="6" w:space="0" w:color="000000"/>
              <w:left w:val="single" w:sz="6" w:space="0" w:color="000000"/>
              <w:bottom w:val="single" w:sz="6" w:space="0" w:color="000000"/>
              <w:right w:val="single" w:sz="6" w:space="0" w:color="000000"/>
            </w:tcBorders>
          </w:tcPr>
          <w:p w14:paraId="6EA97D8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70.7%</w:t>
            </w:r>
          </w:p>
        </w:tc>
      </w:tr>
      <w:tr w:rsidR="008B1423" w:rsidRPr="00BE4F57" w14:paraId="74079F00" w14:textId="77777777" w:rsidTr="00B35F73">
        <w:trPr>
          <w:trHeight w:hRule="exact" w:val="843"/>
        </w:trPr>
        <w:tc>
          <w:tcPr>
            <w:tcW w:w="1318" w:type="dxa"/>
            <w:vMerge/>
            <w:tcBorders>
              <w:left w:val="single" w:sz="6" w:space="0" w:color="000000"/>
              <w:bottom w:val="single" w:sz="4" w:space="0" w:color="auto"/>
              <w:right w:val="single" w:sz="6" w:space="0" w:color="000000"/>
            </w:tcBorders>
            <w:vAlign w:val="center"/>
          </w:tcPr>
          <w:p w14:paraId="3BC883F6"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167B406C"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116330B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2550F99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65</w:t>
            </w:r>
          </w:p>
        </w:tc>
        <w:tc>
          <w:tcPr>
            <w:tcW w:w="1244" w:type="dxa"/>
            <w:tcBorders>
              <w:top w:val="single" w:sz="6" w:space="0" w:color="000000"/>
              <w:left w:val="single" w:sz="6" w:space="0" w:color="000000"/>
              <w:bottom w:val="single" w:sz="6" w:space="0" w:color="000000"/>
              <w:right w:val="single" w:sz="6" w:space="0" w:color="000000"/>
            </w:tcBorders>
          </w:tcPr>
          <w:p w14:paraId="2E84855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20.0%</w:t>
            </w:r>
          </w:p>
        </w:tc>
        <w:tc>
          <w:tcPr>
            <w:tcW w:w="850" w:type="dxa"/>
            <w:tcBorders>
              <w:top w:val="single" w:sz="6" w:space="0" w:color="000000"/>
              <w:left w:val="single" w:sz="6" w:space="0" w:color="000000"/>
              <w:bottom w:val="single" w:sz="6" w:space="0" w:color="000000"/>
              <w:right w:val="single" w:sz="6" w:space="0" w:color="000000"/>
            </w:tcBorders>
          </w:tcPr>
          <w:p w14:paraId="2CFBAF1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4E78314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343B80F5" w14:textId="77777777" w:rsidTr="00022191">
        <w:trPr>
          <w:trHeight w:hRule="exact" w:val="228"/>
        </w:trPr>
        <w:tc>
          <w:tcPr>
            <w:tcW w:w="9539" w:type="dxa"/>
            <w:gridSpan w:val="8"/>
            <w:tcBorders>
              <w:top w:val="single" w:sz="4" w:space="0" w:color="auto"/>
              <w:left w:val="single" w:sz="6" w:space="0" w:color="000000"/>
              <w:bottom w:val="single" w:sz="4" w:space="0" w:color="auto"/>
              <w:right w:val="single" w:sz="6" w:space="0" w:color="000000"/>
            </w:tcBorders>
            <w:vAlign w:val="center"/>
          </w:tcPr>
          <w:p w14:paraId="636BA8E7" w14:textId="77777777" w:rsidR="008B1423" w:rsidRPr="00BE4F57" w:rsidRDefault="008B1423" w:rsidP="00A14CA6">
            <w:pPr>
              <w:pStyle w:val="TableParagraph"/>
              <w:autoSpaceDE/>
              <w:autoSpaceDN/>
              <w:jc w:val="center"/>
              <w:rPr>
                <w:rFonts w:ascii="Sylfaen" w:hAnsi="Sylfaen"/>
                <w:sz w:val="24"/>
                <w:szCs w:val="24"/>
              </w:rPr>
            </w:pPr>
          </w:p>
        </w:tc>
      </w:tr>
      <w:tr w:rsidR="008B1423" w:rsidRPr="00BE4F57" w14:paraId="6CCE7A66" w14:textId="77777777" w:rsidTr="00A43BB4">
        <w:trPr>
          <w:trHeight w:hRule="exact" w:val="289"/>
        </w:trPr>
        <w:tc>
          <w:tcPr>
            <w:tcW w:w="1318" w:type="dxa"/>
            <w:vMerge w:val="restart"/>
            <w:tcBorders>
              <w:top w:val="single" w:sz="4" w:space="0" w:color="auto"/>
              <w:left w:val="single" w:sz="6" w:space="0" w:color="000000"/>
              <w:right w:val="single" w:sz="6" w:space="0" w:color="000000"/>
            </w:tcBorders>
            <w:vAlign w:val="center"/>
          </w:tcPr>
          <w:p w14:paraId="69CF0514"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საერთო ქოლესტერინი უზმოზე</w:t>
            </w:r>
          </w:p>
        </w:tc>
        <w:tc>
          <w:tcPr>
            <w:tcW w:w="2835" w:type="dxa"/>
            <w:vMerge w:val="restart"/>
            <w:tcBorders>
              <w:top w:val="single" w:sz="4" w:space="0" w:color="auto"/>
              <w:left w:val="single" w:sz="6" w:space="0" w:color="000000"/>
              <w:right w:val="single" w:sz="6" w:space="0" w:color="000000"/>
            </w:tcBorders>
          </w:tcPr>
          <w:p w14:paraId="4602B472"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4</w:t>
            </w:r>
            <w:r w:rsidRPr="00BE4F57">
              <w:rPr>
                <w:rFonts w:ascii="Sylfaen" w:hAnsi="Sylfaen"/>
                <w:sz w:val="24"/>
                <w:szCs w:val="24"/>
              </w:rPr>
              <w:t>0 მგ/დლ ზრდა</w:t>
            </w:r>
          </w:p>
        </w:tc>
        <w:tc>
          <w:tcPr>
            <w:tcW w:w="1335" w:type="dxa"/>
            <w:gridSpan w:val="2"/>
            <w:tcBorders>
              <w:top w:val="single" w:sz="4" w:space="0" w:color="auto"/>
              <w:left w:val="single" w:sz="6" w:space="0" w:color="000000"/>
              <w:bottom w:val="single" w:sz="6" w:space="0" w:color="000000"/>
              <w:right w:val="single" w:sz="6" w:space="0" w:color="000000"/>
            </w:tcBorders>
          </w:tcPr>
          <w:p w14:paraId="70D14DA1"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4" w:space="0" w:color="auto"/>
              <w:left w:val="single" w:sz="6" w:space="0" w:color="000000"/>
              <w:bottom w:val="single" w:sz="6" w:space="0" w:color="000000"/>
              <w:right w:val="single" w:sz="6" w:space="0" w:color="000000"/>
            </w:tcBorders>
          </w:tcPr>
          <w:p w14:paraId="289C1FF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745</w:t>
            </w:r>
          </w:p>
        </w:tc>
        <w:tc>
          <w:tcPr>
            <w:tcW w:w="1244" w:type="dxa"/>
            <w:tcBorders>
              <w:top w:val="single" w:sz="4" w:space="0" w:color="auto"/>
              <w:left w:val="single" w:sz="6" w:space="0" w:color="000000"/>
              <w:bottom w:val="single" w:sz="6" w:space="0" w:color="000000"/>
              <w:right w:val="single" w:sz="6" w:space="0" w:color="000000"/>
            </w:tcBorders>
          </w:tcPr>
          <w:p w14:paraId="0883E23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21.6%</w:t>
            </w:r>
          </w:p>
        </w:tc>
        <w:tc>
          <w:tcPr>
            <w:tcW w:w="850" w:type="dxa"/>
            <w:tcBorders>
              <w:top w:val="single" w:sz="4" w:space="0" w:color="auto"/>
              <w:left w:val="single" w:sz="6" w:space="0" w:color="000000"/>
              <w:bottom w:val="single" w:sz="6" w:space="0" w:color="000000"/>
              <w:right w:val="single" w:sz="6" w:space="0" w:color="000000"/>
            </w:tcBorders>
          </w:tcPr>
          <w:p w14:paraId="4689048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489</w:t>
            </w:r>
          </w:p>
        </w:tc>
        <w:tc>
          <w:tcPr>
            <w:tcW w:w="1134" w:type="dxa"/>
            <w:tcBorders>
              <w:top w:val="single" w:sz="4" w:space="0" w:color="auto"/>
              <w:left w:val="single" w:sz="6" w:space="0" w:color="000000"/>
              <w:bottom w:val="single" w:sz="6" w:space="0" w:color="000000"/>
              <w:right w:val="single" w:sz="6" w:space="0" w:color="000000"/>
            </w:tcBorders>
          </w:tcPr>
          <w:p w14:paraId="117FBEF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32.9%</w:t>
            </w:r>
          </w:p>
        </w:tc>
      </w:tr>
      <w:tr w:rsidR="008B1423" w:rsidRPr="00BE4F57" w14:paraId="6CDBCA6D" w14:textId="77777777" w:rsidTr="00A43BB4">
        <w:trPr>
          <w:trHeight w:hRule="exact" w:val="284"/>
        </w:trPr>
        <w:tc>
          <w:tcPr>
            <w:tcW w:w="1318" w:type="dxa"/>
            <w:vMerge/>
            <w:tcBorders>
              <w:left w:val="single" w:sz="6" w:space="0" w:color="000000"/>
              <w:right w:val="single" w:sz="6" w:space="0" w:color="000000"/>
            </w:tcBorders>
          </w:tcPr>
          <w:p w14:paraId="483A8561"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081BAA7D"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2868457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433EC29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402</w:t>
            </w:r>
          </w:p>
        </w:tc>
        <w:tc>
          <w:tcPr>
            <w:tcW w:w="1244" w:type="dxa"/>
            <w:tcBorders>
              <w:top w:val="single" w:sz="6" w:space="0" w:color="000000"/>
              <w:left w:val="single" w:sz="6" w:space="0" w:color="000000"/>
              <w:bottom w:val="single" w:sz="6" w:space="0" w:color="000000"/>
              <w:right w:val="single" w:sz="6" w:space="0" w:color="000000"/>
            </w:tcBorders>
          </w:tcPr>
          <w:p w14:paraId="59BB460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9.5%</w:t>
            </w:r>
          </w:p>
        </w:tc>
        <w:tc>
          <w:tcPr>
            <w:tcW w:w="850" w:type="dxa"/>
            <w:tcBorders>
              <w:top w:val="single" w:sz="6" w:space="0" w:color="000000"/>
              <w:left w:val="single" w:sz="6" w:space="0" w:color="000000"/>
              <w:bottom w:val="single" w:sz="6" w:space="0" w:color="000000"/>
              <w:right w:val="single" w:sz="6" w:space="0" w:color="000000"/>
            </w:tcBorders>
          </w:tcPr>
          <w:p w14:paraId="007AAFC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7DB6E77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135F8BC3" w14:textId="77777777" w:rsidTr="00A43BB4">
        <w:trPr>
          <w:trHeight w:hRule="exact" w:val="540"/>
        </w:trPr>
        <w:tc>
          <w:tcPr>
            <w:tcW w:w="1318" w:type="dxa"/>
            <w:vMerge/>
            <w:tcBorders>
              <w:left w:val="single" w:sz="6" w:space="0" w:color="000000"/>
              <w:right w:val="single" w:sz="6" w:space="0" w:color="000000"/>
            </w:tcBorders>
          </w:tcPr>
          <w:p w14:paraId="46F1B481"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41A68AE9"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240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2D2BE284"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079D9B9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392</w:t>
            </w:r>
          </w:p>
        </w:tc>
        <w:tc>
          <w:tcPr>
            <w:tcW w:w="1244" w:type="dxa"/>
            <w:tcBorders>
              <w:top w:val="single" w:sz="6" w:space="0" w:color="000000"/>
              <w:left w:val="single" w:sz="6" w:space="0" w:color="000000"/>
              <w:bottom w:val="single" w:sz="6" w:space="0" w:color="000000"/>
              <w:right w:val="single" w:sz="6" w:space="0" w:color="000000"/>
            </w:tcBorders>
          </w:tcPr>
          <w:p w14:paraId="4466240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2.8%</w:t>
            </w:r>
          </w:p>
        </w:tc>
        <w:tc>
          <w:tcPr>
            <w:tcW w:w="850" w:type="dxa"/>
            <w:tcBorders>
              <w:top w:val="single" w:sz="6" w:space="0" w:color="000000"/>
              <w:left w:val="single" w:sz="6" w:space="0" w:color="000000"/>
              <w:bottom w:val="single" w:sz="6" w:space="0" w:color="000000"/>
              <w:right w:val="single" w:sz="6" w:space="0" w:color="000000"/>
            </w:tcBorders>
          </w:tcPr>
          <w:p w14:paraId="1D81014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283</w:t>
            </w:r>
          </w:p>
        </w:tc>
        <w:tc>
          <w:tcPr>
            <w:tcW w:w="1134" w:type="dxa"/>
            <w:tcBorders>
              <w:top w:val="single" w:sz="6" w:space="0" w:color="000000"/>
              <w:left w:val="single" w:sz="6" w:space="0" w:color="000000"/>
              <w:bottom w:val="single" w:sz="6" w:space="0" w:color="000000"/>
              <w:right w:val="single" w:sz="6" w:space="0" w:color="000000"/>
            </w:tcBorders>
          </w:tcPr>
          <w:p w14:paraId="791AC75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14.8%</w:t>
            </w:r>
          </w:p>
        </w:tc>
      </w:tr>
      <w:tr w:rsidR="008B1423" w:rsidRPr="00BE4F57" w14:paraId="7DE8AC84" w14:textId="77777777" w:rsidTr="00A43BB4">
        <w:trPr>
          <w:trHeight w:hRule="exact" w:val="434"/>
        </w:trPr>
        <w:tc>
          <w:tcPr>
            <w:tcW w:w="1318" w:type="dxa"/>
            <w:vMerge/>
            <w:tcBorders>
              <w:left w:val="single" w:sz="6" w:space="0" w:color="000000"/>
              <w:right w:val="single" w:sz="6" w:space="0" w:color="000000"/>
            </w:tcBorders>
          </w:tcPr>
          <w:p w14:paraId="5381823E" w14:textId="77777777" w:rsidR="008B1423" w:rsidRPr="00BE4F57" w:rsidRDefault="008B1423" w:rsidP="00A14CA6">
            <w:pPr>
              <w:spacing w:after="0" w:line="240" w:lineRule="auto"/>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2A6E6C87"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69462F03"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44867A3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207</w:t>
            </w:r>
          </w:p>
        </w:tc>
        <w:tc>
          <w:tcPr>
            <w:tcW w:w="1244" w:type="dxa"/>
            <w:tcBorders>
              <w:top w:val="single" w:sz="6" w:space="0" w:color="000000"/>
              <w:left w:val="single" w:sz="6" w:space="0" w:color="000000"/>
              <w:bottom w:val="single" w:sz="6" w:space="0" w:color="000000"/>
              <w:right w:val="single" w:sz="6" w:space="0" w:color="000000"/>
            </w:tcBorders>
          </w:tcPr>
          <w:p w14:paraId="760BF1B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w:t>
            </w:r>
          </w:p>
        </w:tc>
        <w:tc>
          <w:tcPr>
            <w:tcW w:w="850" w:type="dxa"/>
            <w:tcBorders>
              <w:top w:val="single" w:sz="6" w:space="0" w:color="000000"/>
              <w:left w:val="single" w:sz="6" w:space="0" w:color="000000"/>
              <w:bottom w:val="single" w:sz="6" w:space="0" w:color="000000"/>
              <w:right w:val="single" w:sz="6" w:space="0" w:color="000000"/>
            </w:tcBorders>
          </w:tcPr>
          <w:p w14:paraId="4345C45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668B026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79C75A95" w14:textId="77777777" w:rsidTr="00A43BB4">
        <w:trPr>
          <w:trHeight w:hRule="exact" w:val="724"/>
        </w:trPr>
        <w:tc>
          <w:tcPr>
            <w:tcW w:w="1318" w:type="dxa"/>
            <w:vMerge/>
            <w:tcBorders>
              <w:left w:val="single" w:sz="6" w:space="0" w:color="000000"/>
              <w:right w:val="single" w:sz="6" w:space="0" w:color="000000"/>
            </w:tcBorders>
          </w:tcPr>
          <w:p w14:paraId="622F4880"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bottom w:val="single" w:sz="4" w:space="0" w:color="auto"/>
              <w:right w:val="single" w:sz="6" w:space="0" w:color="000000"/>
            </w:tcBorders>
          </w:tcPr>
          <w:p w14:paraId="4AFD3CC7"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20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240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240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701175CE"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68E1660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222</w:t>
            </w:r>
          </w:p>
        </w:tc>
        <w:tc>
          <w:tcPr>
            <w:tcW w:w="1244" w:type="dxa"/>
            <w:tcBorders>
              <w:top w:val="single" w:sz="6" w:space="0" w:color="000000"/>
              <w:left w:val="single" w:sz="6" w:space="0" w:color="000000"/>
              <w:bottom w:val="single" w:sz="6" w:space="0" w:color="000000"/>
              <w:right w:val="single" w:sz="6" w:space="0" w:color="000000"/>
            </w:tcBorders>
          </w:tcPr>
          <w:p w14:paraId="2A14270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23.0%</w:t>
            </w:r>
          </w:p>
        </w:tc>
        <w:tc>
          <w:tcPr>
            <w:tcW w:w="850" w:type="dxa"/>
            <w:tcBorders>
              <w:top w:val="single" w:sz="6" w:space="0" w:color="000000"/>
              <w:left w:val="single" w:sz="6" w:space="0" w:color="000000"/>
              <w:bottom w:val="single" w:sz="6" w:space="0" w:color="000000"/>
              <w:right w:val="single" w:sz="6" w:space="0" w:color="000000"/>
            </w:tcBorders>
          </w:tcPr>
          <w:p w14:paraId="622A4DD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125</w:t>
            </w:r>
          </w:p>
        </w:tc>
        <w:tc>
          <w:tcPr>
            <w:tcW w:w="1134" w:type="dxa"/>
            <w:tcBorders>
              <w:top w:val="single" w:sz="6" w:space="0" w:color="000000"/>
              <w:left w:val="single" w:sz="6" w:space="0" w:color="000000"/>
              <w:bottom w:val="single" w:sz="6" w:space="0" w:color="000000"/>
              <w:right w:val="single" w:sz="6" w:space="0" w:color="000000"/>
            </w:tcBorders>
          </w:tcPr>
          <w:p w14:paraId="0BF965E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55.2%</w:t>
            </w:r>
          </w:p>
        </w:tc>
      </w:tr>
      <w:tr w:rsidR="008B1423" w:rsidRPr="00BE4F57" w14:paraId="333372F1" w14:textId="77777777" w:rsidTr="00A43BB4">
        <w:trPr>
          <w:trHeight w:hRule="exact" w:val="706"/>
        </w:trPr>
        <w:tc>
          <w:tcPr>
            <w:tcW w:w="1318" w:type="dxa"/>
            <w:vMerge/>
            <w:tcBorders>
              <w:left w:val="single" w:sz="6" w:space="0" w:color="000000"/>
              <w:bottom w:val="single" w:sz="4" w:space="0" w:color="auto"/>
              <w:right w:val="single" w:sz="6" w:space="0" w:color="000000"/>
            </w:tcBorders>
          </w:tcPr>
          <w:p w14:paraId="6FEAF625" w14:textId="77777777" w:rsidR="008B1423" w:rsidRPr="00BE4F57" w:rsidRDefault="008B1423" w:rsidP="00A14CA6">
            <w:pPr>
              <w:spacing w:after="0" w:line="240" w:lineRule="auto"/>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23F1D890"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4" w:space="0" w:color="auto"/>
              <w:right w:val="single" w:sz="6" w:space="0" w:color="000000"/>
            </w:tcBorders>
          </w:tcPr>
          <w:p w14:paraId="100DCE2D"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4" w:space="0" w:color="auto"/>
              <w:right w:val="single" w:sz="6" w:space="0" w:color="000000"/>
            </w:tcBorders>
          </w:tcPr>
          <w:p w14:paraId="7CAB613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112</w:t>
            </w:r>
          </w:p>
        </w:tc>
        <w:tc>
          <w:tcPr>
            <w:tcW w:w="1244" w:type="dxa"/>
            <w:tcBorders>
              <w:top w:val="single" w:sz="6" w:space="0" w:color="000000"/>
              <w:left w:val="single" w:sz="6" w:space="0" w:color="000000"/>
              <w:bottom w:val="single" w:sz="4" w:space="0" w:color="auto"/>
              <w:right w:val="single" w:sz="6" w:space="0" w:color="000000"/>
            </w:tcBorders>
          </w:tcPr>
          <w:p w14:paraId="55BDAF7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12.5%</w:t>
            </w:r>
          </w:p>
        </w:tc>
        <w:tc>
          <w:tcPr>
            <w:tcW w:w="850" w:type="dxa"/>
            <w:tcBorders>
              <w:top w:val="single" w:sz="6" w:space="0" w:color="000000"/>
              <w:left w:val="single" w:sz="6" w:space="0" w:color="000000"/>
              <w:bottom w:val="single" w:sz="4" w:space="0" w:color="auto"/>
              <w:right w:val="single" w:sz="6" w:space="0" w:color="000000"/>
            </w:tcBorders>
          </w:tcPr>
          <w:p w14:paraId="6901F18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4" w:space="0" w:color="auto"/>
              <w:right w:val="single" w:sz="6" w:space="0" w:color="000000"/>
            </w:tcBorders>
          </w:tcPr>
          <w:p w14:paraId="0A9C8F5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7AA2C794" w14:textId="77777777" w:rsidTr="00A43BB4">
        <w:trPr>
          <w:trHeight w:hRule="exact" w:val="264"/>
        </w:trPr>
        <w:tc>
          <w:tcPr>
            <w:tcW w:w="9539" w:type="dxa"/>
            <w:gridSpan w:val="8"/>
            <w:tcBorders>
              <w:top w:val="single" w:sz="4" w:space="0" w:color="auto"/>
              <w:left w:val="single" w:sz="6" w:space="0" w:color="000000"/>
              <w:bottom w:val="single" w:sz="4" w:space="0" w:color="auto"/>
              <w:right w:val="single" w:sz="6" w:space="0" w:color="000000"/>
            </w:tcBorders>
          </w:tcPr>
          <w:p w14:paraId="57CD50D4" w14:textId="77777777" w:rsidR="008B1423" w:rsidRPr="00BE4F57" w:rsidRDefault="008B1423" w:rsidP="00A14CA6">
            <w:pPr>
              <w:pStyle w:val="TableParagraph"/>
              <w:autoSpaceDE/>
              <w:autoSpaceDN/>
              <w:rPr>
                <w:rFonts w:ascii="Sylfaen" w:hAnsi="Sylfaen"/>
                <w:sz w:val="24"/>
                <w:szCs w:val="24"/>
              </w:rPr>
            </w:pPr>
          </w:p>
        </w:tc>
      </w:tr>
      <w:tr w:rsidR="008B1423" w:rsidRPr="00BE4F57" w14:paraId="0C130DA5" w14:textId="77777777" w:rsidTr="00022191">
        <w:trPr>
          <w:trHeight w:hRule="exact" w:val="297"/>
        </w:trPr>
        <w:tc>
          <w:tcPr>
            <w:tcW w:w="1318" w:type="dxa"/>
            <w:vMerge w:val="restart"/>
            <w:tcBorders>
              <w:top w:val="single" w:sz="4" w:space="0" w:color="auto"/>
              <w:left w:val="single" w:sz="6" w:space="0" w:color="000000"/>
              <w:right w:val="single" w:sz="6" w:space="0" w:color="000000"/>
            </w:tcBorders>
            <w:vAlign w:val="center"/>
          </w:tcPr>
          <w:p w14:paraId="51CF6E8D"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დსლ ქოლესტერინი უზმოზე</w:t>
            </w:r>
          </w:p>
        </w:tc>
        <w:tc>
          <w:tcPr>
            <w:tcW w:w="2835" w:type="dxa"/>
            <w:vMerge w:val="restart"/>
            <w:tcBorders>
              <w:top w:val="single" w:sz="4" w:space="0" w:color="auto"/>
              <w:left w:val="single" w:sz="6" w:space="0" w:color="000000"/>
              <w:right w:val="single" w:sz="6" w:space="0" w:color="000000"/>
            </w:tcBorders>
          </w:tcPr>
          <w:p w14:paraId="1DD105BF"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3</w:t>
            </w:r>
            <w:r w:rsidRPr="00BE4F57">
              <w:rPr>
                <w:rFonts w:ascii="Sylfaen" w:hAnsi="Sylfaen"/>
                <w:sz w:val="24"/>
                <w:szCs w:val="24"/>
              </w:rPr>
              <w:t>0 მგ/დლ ზრდა</w:t>
            </w:r>
          </w:p>
        </w:tc>
        <w:tc>
          <w:tcPr>
            <w:tcW w:w="1335" w:type="dxa"/>
            <w:gridSpan w:val="2"/>
            <w:tcBorders>
              <w:top w:val="single" w:sz="4" w:space="0" w:color="auto"/>
              <w:left w:val="single" w:sz="6" w:space="0" w:color="000000"/>
              <w:bottom w:val="single" w:sz="6" w:space="0" w:color="000000"/>
              <w:right w:val="single" w:sz="6" w:space="0" w:color="000000"/>
            </w:tcBorders>
          </w:tcPr>
          <w:p w14:paraId="76D620CA"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4" w:space="0" w:color="auto"/>
              <w:left w:val="single" w:sz="6" w:space="0" w:color="000000"/>
              <w:bottom w:val="single" w:sz="6" w:space="0" w:color="000000"/>
              <w:right w:val="single" w:sz="6" w:space="0" w:color="000000"/>
            </w:tcBorders>
          </w:tcPr>
          <w:p w14:paraId="0FB4CC4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536</w:t>
            </w:r>
          </w:p>
        </w:tc>
        <w:tc>
          <w:tcPr>
            <w:tcW w:w="1244" w:type="dxa"/>
            <w:tcBorders>
              <w:top w:val="single" w:sz="4" w:space="0" w:color="auto"/>
              <w:left w:val="single" w:sz="6" w:space="0" w:color="000000"/>
              <w:bottom w:val="single" w:sz="6" w:space="0" w:color="000000"/>
              <w:right w:val="single" w:sz="6" w:space="0" w:color="000000"/>
            </w:tcBorders>
          </w:tcPr>
          <w:p w14:paraId="260CE8F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23.7%</w:t>
            </w:r>
          </w:p>
        </w:tc>
        <w:tc>
          <w:tcPr>
            <w:tcW w:w="850" w:type="dxa"/>
            <w:tcBorders>
              <w:top w:val="single" w:sz="4" w:space="0" w:color="auto"/>
              <w:left w:val="single" w:sz="6" w:space="0" w:color="000000"/>
              <w:bottom w:val="single" w:sz="6" w:space="0" w:color="000000"/>
              <w:right w:val="single" w:sz="6" w:space="0" w:color="000000"/>
            </w:tcBorders>
          </w:tcPr>
          <w:p w14:paraId="58519E7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483</w:t>
            </w:r>
          </w:p>
        </w:tc>
        <w:tc>
          <w:tcPr>
            <w:tcW w:w="1134" w:type="dxa"/>
            <w:tcBorders>
              <w:top w:val="single" w:sz="4" w:space="0" w:color="auto"/>
              <w:left w:val="single" w:sz="6" w:space="0" w:color="000000"/>
              <w:bottom w:val="single" w:sz="6" w:space="0" w:color="000000"/>
              <w:right w:val="single" w:sz="6" w:space="0" w:color="000000"/>
            </w:tcBorders>
          </w:tcPr>
          <w:p w14:paraId="4E396CE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39.8%</w:t>
            </w:r>
          </w:p>
        </w:tc>
      </w:tr>
      <w:tr w:rsidR="008B1423" w:rsidRPr="00BE4F57" w14:paraId="260A6BB9" w14:textId="77777777" w:rsidTr="00022191">
        <w:trPr>
          <w:trHeight w:hRule="exact" w:val="280"/>
        </w:trPr>
        <w:tc>
          <w:tcPr>
            <w:tcW w:w="1318" w:type="dxa"/>
            <w:vMerge/>
            <w:tcBorders>
              <w:left w:val="single" w:sz="6" w:space="0" w:color="000000"/>
              <w:right w:val="single" w:sz="6" w:space="0" w:color="000000"/>
            </w:tcBorders>
          </w:tcPr>
          <w:p w14:paraId="51FF29DD"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44F5E298"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2802BCDC"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0C13FD0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304</w:t>
            </w:r>
          </w:p>
        </w:tc>
        <w:tc>
          <w:tcPr>
            <w:tcW w:w="1244" w:type="dxa"/>
            <w:tcBorders>
              <w:top w:val="single" w:sz="6" w:space="0" w:color="000000"/>
              <w:left w:val="single" w:sz="6" w:space="0" w:color="000000"/>
              <w:bottom w:val="single" w:sz="6" w:space="0" w:color="000000"/>
              <w:right w:val="single" w:sz="6" w:space="0" w:color="000000"/>
            </w:tcBorders>
          </w:tcPr>
          <w:p w14:paraId="75DE6C0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14.1%</w:t>
            </w:r>
          </w:p>
        </w:tc>
        <w:tc>
          <w:tcPr>
            <w:tcW w:w="850" w:type="dxa"/>
            <w:tcBorders>
              <w:top w:val="single" w:sz="6" w:space="0" w:color="000000"/>
              <w:left w:val="single" w:sz="6" w:space="0" w:color="000000"/>
              <w:bottom w:val="single" w:sz="6" w:space="0" w:color="000000"/>
              <w:right w:val="single" w:sz="6" w:space="0" w:color="000000"/>
            </w:tcBorders>
          </w:tcPr>
          <w:p w14:paraId="70E31F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54463FC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405D6885" w14:textId="77777777" w:rsidTr="00022191">
        <w:trPr>
          <w:trHeight w:hRule="exact" w:val="427"/>
        </w:trPr>
        <w:tc>
          <w:tcPr>
            <w:tcW w:w="1318" w:type="dxa"/>
            <w:vMerge/>
            <w:tcBorders>
              <w:left w:val="single" w:sz="6" w:space="0" w:color="000000"/>
              <w:right w:val="single" w:sz="6" w:space="0" w:color="000000"/>
            </w:tcBorders>
          </w:tcPr>
          <w:p w14:paraId="78D36049"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6021C6AE"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 xml:space="preserve">100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160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0ACFEC49"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65A875A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154</w:t>
            </w:r>
          </w:p>
        </w:tc>
        <w:tc>
          <w:tcPr>
            <w:tcW w:w="1244" w:type="dxa"/>
            <w:tcBorders>
              <w:top w:val="single" w:sz="6" w:space="0" w:color="000000"/>
              <w:left w:val="single" w:sz="6" w:space="0" w:color="000000"/>
              <w:bottom w:val="single" w:sz="6" w:space="0" w:color="000000"/>
              <w:right w:val="single" w:sz="6" w:space="0" w:color="000000"/>
            </w:tcBorders>
          </w:tcPr>
          <w:p w14:paraId="0AB645F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850" w:type="dxa"/>
            <w:tcBorders>
              <w:top w:val="single" w:sz="6" w:space="0" w:color="000000"/>
              <w:left w:val="single" w:sz="6" w:space="0" w:color="000000"/>
              <w:bottom w:val="single" w:sz="6" w:space="0" w:color="000000"/>
              <w:right w:val="single" w:sz="6" w:space="0" w:color="000000"/>
            </w:tcBorders>
          </w:tcPr>
          <w:p w14:paraId="0DA5B97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123</w:t>
            </w:r>
          </w:p>
        </w:tc>
        <w:tc>
          <w:tcPr>
            <w:tcW w:w="1134" w:type="dxa"/>
            <w:tcBorders>
              <w:top w:val="single" w:sz="6" w:space="0" w:color="000000"/>
              <w:left w:val="single" w:sz="6" w:space="0" w:color="000000"/>
              <w:bottom w:val="single" w:sz="6" w:space="0" w:color="000000"/>
              <w:right w:val="single" w:sz="6" w:space="0" w:color="000000"/>
            </w:tcBorders>
          </w:tcPr>
          <w:p w14:paraId="29C9DE2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7.3%</w:t>
            </w:r>
          </w:p>
        </w:tc>
      </w:tr>
      <w:tr w:rsidR="008B1423" w:rsidRPr="00BE4F57" w14:paraId="4F7F63C1" w14:textId="77777777" w:rsidTr="00022191">
        <w:trPr>
          <w:trHeight w:hRule="exact" w:val="419"/>
        </w:trPr>
        <w:tc>
          <w:tcPr>
            <w:tcW w:w="1318" w:type="dxa"/>
            <w:vMerge/>
            <w:tcBorders>
              <w:left w:val="single" w:sz="6" w:space="0" w:color="000000"/>
              <w:right w:val="single" w:sz="6" w:space="0" w:color="000000"/>
            </w:tcBorders>
          </w:tcPr>
          <w:p w14:paraId="5A7FA00A"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6D2B84C9"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3991F51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2F74B77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82</w:t>
            </w:r>
          </w:p>
        </w:tc>
        <w:tc>
          <w:tcPr>
            <w:tcW w:w="1244" w:type="dxa"/>
            <w:tcBorders>
              <w:top w:val="single" w:sz="6" w:space="0" w:color="000000"/>
              <w:left w:val="single" w:sz="6" w:space="0" w:color="000000"/>
              <w:bottom w:val="single" w:sz="6" w:space="0" w:color="000000"/>
              <w:right w:val="single" w:sz="6" w:space="0" w:color="000000"/>
            </w:tcBorders>
          </w:tcPr>
          <w:p w14:paraId="2BAE517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w:t>
            </w:r>
          </w:p>
        </w:tc>
        <w:tc>
          <w:tcPr>
            <w:tcW w:w="850" w:type="dxa"/>
            <w:tcBorders>
              <w:top w:val="single" w:sz="6" w:space="0" w:color="000000"/>
              <w:left w:val="single" w:sz="6" w:space="0" w:color="000000"/>
              <w:bottom w:val="single" w:sz="6" w:space="0" w:color="000000"/>
              <w:right w:val="single" w:sz="6" w:space="0" w:color="000000"/>
            </w:tcBorders>
          </w:tcPr>
          <w:p w14:paraId="59779C1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5CAC0D1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429A5D71" w14:textId="77777777" w:rsidTr="009D3D8D">
        <w:trPr>
          <w:trHeight w:hRule="exact" w:val="706"/>
        </w:trPr>
        <w:tc>
          <w:tcPr>
            <w:tcW w:w="1318" w:type="dxa"/>
            <w:vMerge/>
            <w:tcBorders>
              <w:left w:val="single" w:sz="6" w:space="0" w:color="000000"/>
              <w:right w:val="single" w:sz="6" w:space="0" w:color="000000"/>
            </w:tcBorders>
          </w:tcPr>
          <w:p w14:paraId="6522BDA0"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00D18D27"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10</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და (</w:t>
            </w:r>
            <w:r w:rsidRPr="00BE4F57">
              <w:rPr>
                <w:rFonts w:ascii="Sylfaen" w:hAnsi="Sylfaen"/>
                <w:sz w:val="24"/>
                <w:szCs w:val="24"/>
              </w:rPr>
              <w:t>&lt;</w:t>
            </w:r>
            <w:r w:rsidRPr="00BE4F57">
              <w:rPr>
                <w:rFonts w:ascii="Sylfaen" w:hAnsi="Sylfaen"/>
                <w:sz w:val="24"/>
                <w:szCs w:val="24"/>
                <w:lang w:val="ka-GE"/>
              </w:rPr>
              <w:t xml:space="preserve">160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160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0220C579"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3E445E3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302</w:t>
            </w:r>
          </w:p>
        </w:tc>
        <w:tc>
          <w:tcPr>
            <w:tcW w:w="1244" w:type="dxa"/>
            <w:tcBorders>
              <w:top w:val="single" w:sz="6" w:space="0" w:color="000000"/>
              <w:left w:val="single" w:sz="6" w:space="0" w:color="000000"/>
              <w:bottom w:val="single" w:sz="6" w:space="0" w:color="000000"/>
              <w:right w:val="single" w:sz="6" w:space="0" w:color="000000"/>
            </w:tcBorders>
          </w:tcPr>
          <w:p w14:paraId="5FDE5BB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10.6%</w:t>
            </w:r>
          </w:p>
        </w:tc>
        <w:tc>
          <w:tcPr>
            <w:tcW w:w="850" w:type="dxa"/>
            <w:tcBorders>
              <w:top w:val="single" w:sz="6" w:space="0" w:color="000000"/>
              <w:left w:val="single" w:sz="6" w:space="0" w:color="000000"/>
              <w:bottom w:val="single" w:sz="6" w:space="0" w:color="000000"/>
              <w:right w:val="single" w:sz="6" w:space="0" w:color="000000"/>
            </w:tcBorders>
          </w:tcPr>
          <w:p w14:paraId="707192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284</w:t>
            </w:r>
          </w:p>
        </w:tc>
        <w:tc>
          <w:tcPr>
            <w:tcW w:w="1134" w:type="dxa"/>
            <w:tcBorders>
              <w:top w:val="single" w:sz="6" w:space="0" w:color="000000"/>
              <w:left w:val="single" w:sz="6" w:space="0" w:color="000000"/>
              <w:bottom w:val="single" w:sz="6" w:space="0" w:color="000000"/>
              <w:right w:val="single" w:sz="6" w:space="0" w:color="000000"/>
            </w:tcBorders>
          </w:tcPr>
          <w:p w14:paraId="5003F35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31.0%</w:t>
            </w:r>
          </w:p>
        </w:tc>
      </w:tr>
      <w:tr w:rsidR="008B1423" w:rsidRPr="00BE4F57" w14:paraId="6F870AED" w14:textId="77777777" w:rsidTr="009D3D8D">
        <w:trPr>
          <w:trHeight w:hRule="exact" w:val="706"/>
        </w:trPr>
        <w:tc>
          <w:tcPr>
            <w:tcW w:w="1318" w:type="dxa"/>
            <w:vMerge/>
            <w:tcBorders>
              <w:left w:val="single" w:sz="6" w:space="0" w:color="000000"/>
              <w:bottom w:val="single" w:sz="6" w:space="0" w:color="000000"/>
              <w:right w:val="single" w:sz="6" w:space="0" w:color="000000"/>
            </w:tcBorders>
          </w:tcPr>
          <w:p w14:paraId="36FF8AEC"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04815588"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70BAF50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4F58123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173</w:t>
            </w:r>
          </w:p>
        </w:tc>
        <w:tc>
          <w:tcPr>
            <w:tcW w:w="1244" w:type="dxa"/>
            <w:tcBorders>
              <w:top w:val="single" w:sz="6" w:space="0" w:color="000000"/>
              <w:left w:val="single" w:sz="6" w:space="0" w:color="000000"/>
              <w:bottom w:val="single" w:sz="6" w:space="0" w:color="000000"/>
              <w:right w:val="single" w:sz="6" w:space="0" w:color="000000"/>
            </w:tcBorders>
          </w:tcPr>
          <w:p w14:paraId="00BEE89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8.1%</w:t>
            </w:r>
          </w:p>
        </w:tc>
        <w:tc>
          <w:tcPr>
            <w:tcW w:w="850" w:type="dxa"/>
            <w:tcBorders>
              <w:top w:val="single" w:sz="6" w:space="0" w:color="000000"/>
              <w:left w:val="single" w:sz="6" w:space="0" w:color="000000"/>
              <w:bottom w:val="single" w:sz="6" w:space="0" w:color="000000"/>
              <w:right w:val="single" w:sz="6" w:space="0" w:color="000000"/>
            </w:tcBorders>
          </w:tcPr>
          <w:p w14:paraId="36EE06A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6482230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bl>
    <w:p w14:paraId="2ABB0D33" w14:textId="77777777" w:rsidR="008B1423" w:rsidRPr="00BE4F57" w:rsidRDefault="008B1423" w:rsidP="00A14CA6">
      <w:pPr>
        <w:spacing w:after="0" w:line="240" w:lineRule="auto"/>
        <w:jc w:val="both"/>
        <w:rPr>
          <w:rFonts w:ascii="Sylfaen" w:hAnsi="Sylfaen"/>
          <w:sz w:val="24"/>
          <w:szCs w:val="24"/>
          <w:lang w:val="ka-GE"/>
        </w:rPr>
      </w:pPr>
    </w:p>
    <w:p w14:paraId="64F634F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cs="Calibri"/>
          <w:sz w:val="24"/>
          <w:szCs w:val="24"/>
          <w:lang w:val="ka-GE"/>
        </w:rPr>
        <w:t xml:space="preserve"> </w:t>
      </w:r>
      <w:r w:rsidRPr="00BE4F57">
        <w:rPr>
          <w:rFonts w:ascii="Sylfaen" w:hAnsi="Sylfaen"/>
          <w:sz w:val="24"/>
          <w:szCs w:val="24"/>
          <w:lang w:val="ka-GE"/>
        </w:rPr>
        <w:t>არ არის ხელმისაწვდომი</w:t>
      </w:r>
    </w:p>
    <w:p w14:paraId="545AE6F5" w14:textId="77777777" w:rsidR="008B1423" w:rsidRPr="00BE4F57" w:rsidRDefault="008B1423" w:rsidP="00A14CA6">
      <w:pPr>
        <w:spacing w:after="0" w:line="240" w:lineRule="auto"/>
        <w:jc w:val="both"/>
        <w:rPr>
          <w:rFonts w:ascii="Sylfaen" w:hAnsi="Sylfaen"/>
          <w:sz w:val="24"/>
          <w:szCs w:val="24"/>
          <w:lang w:val="ka-GE"/>
        </w:rPr>
      </w:pPr>
    </w:p>
    <w:p w14:paraId="3E5B2F2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ინტერვენციული ეფექტურობის კლინიკური ანტიფსიქოზური კვლევების (CATIE) პირველ ფაზაში, ტრიგლიცერიდების საშუალო მატება პაციენტებში, რომლებიც იღებდნენ ოლანზაპინს საშუალოდ 9.2 თვის განმავლობაში, იყო 40.5 მგ/დლ. CATIE-ს პირველ ფაზაში საერთო ქოლესტერინის მედიანური მატება შეადგენდა 9.4 მგ/დლ.</w:t>
      </w:r>
    </w:p>
    <w:p w14:paraId="4B2DB9F2" w14:textId="77777777" w:rsidR="008B1423" w:rsidRPr="00BE4F57" w:rsidRDefault="008B1423" w:rsidP="00A14CA6">
      <w:pPr>
        <w:spacing w:after="0" w:line="240" w:lineRule="auto"/>
        <w:jc w:val="both"/>
        <w:rPr>
          <w:rFonts w:ascii="Sylfaen" w:hAnsi="Sylfaen"/>
          <w:sz w:val="24"/>
          <w:szCs w:val="24"/>
          <w:lang w:val="ka-GE"/>
        </w:rPr>
      </w:pPr>
    </w:p>
    <w:p w14:paraId="344368A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ბავშვები და მოზარდები - ერთჯერდ 8-კვირიან, რანდომიზებულ, პლაცებო-კონტროლირებად, ერთჯერად კლინიკურ კვლევაში, რომელიც იკვლევდა ოლანზაპინისა და ფლუოქსეტინის </w:t>
      </w:r>
      <w:r w:rsidRPr="00BE4F57">
        <w:rPr>
          <w:rFonts w:ascii="Sylfaen" w:hAnsi="Sylfaen"/>
          <w:sz w:val="24"/>
          <w:szCs w:val="24"/>
          <w:lang w:val="ka-GE"/>
        </w:rPr>
        <w:lastRenderedPageBreak/>
        <w:t>კომბინაციას ბიპოლარული I დეპრესიის სამკურნალოდ 10-დან 17 წლამდე ასაკის პაციენტებში, არ აღინიშნა მნიშვნელოვანი განსხვავება ოლანზაპინის და ფლუოქსეტინის კომბინაციასა და პლაცებოს შორის უზმოზე საერთო ქოლესტერინის (</w:t>
      </w:r>
      <w:r w:rsidRPr="00BE4F57">
        <w:rPr>
          <w:sz w:val="24"/>
          <w:szCs w:val="24"/>
          <w:lang w:val="ka-GE"/>
        </w:rPr>
        <w:t xml:space="preserve">+16.3 </w:t>
      </w:r>
      <w:r w:rsidRPr="00BE4F57">
        <w:rPr>
          <w:rFonts w:ascii="Sylfaen" w:hAnsi="Sylfaen"/>
          <w:sz w:val="24"/>
          <w:szCs w:val="24"/>
          <w:lang w:val="ka-GE"/>
        </w:rPr>
        <w:t>მგ/დლ შედარებით -4.3 მგ/დლ–თან, შესაბამისად), დსლ ქოლესტერინის (+9.7 მგ/დლ შედარებით -3.5 მგ/დლ–თან, შესაბამისად) და ტრიგლიცერიდების (+35.4 მგ/დლ შედარებით -3.5 მგ/დლ–თან, შესაბამისად) დონეების მხრივ.</w:t>
      </w:r>
    </w:p>
    <w:p w14:paraId="1911E20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ლიპიდების ცვლილებების ხარისხი და სიხშირე უფრო მაღალი იყო, ვიდრე ადრე მოზრდილებში დაფიქსირებული. ცხრილი 9 ასახავს უზმოზე ლიპიდების მნიშვნელობების კატეგორიულ ცვლილებებს ბავშვებში ოლანზაპინისა და ფლუოქსეტინის კომბინაციის კვლევაში.</w:t>
      </w:r>
    </w:p>
    <w:p w14:paraId="5E18CB7B" w14:textId="77777777" w:rsidR="008B1423" w:rsidRPr="00BE4F57" w:rsidRDefault="008B1423" w:rsidP="00A14CA6">
      <w:pPr>
        <w:spacing w:after="0" w:line="240" w:lineRule="auto"/>
        <w:jc w:val="both"/>
        <w:rPr>
          <w:rFonts w:ascii="Sylfaen" w:hAnsi="Sylfaen"/>
          <w:sz w:val="24"/>
          <w:szCs w:val="24"/>
          <w:lang w:val="ka-GE"/>
        </w:rPr>
      </w:pPr>
    </w:p>
    <w:p w14:paraId="78431C9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ცხრილი 9: უზმოზე ლიპიდების მნიშვნელობების ცვლილებები ბიპოლარული დეპრესიის დროს ოლანზაპინისა და ფლუოქსეტინის კომბინაციის ერთჯერად პედიატრიულ კვლევაში </w:t>
      </w:r>
    </w:p>
    <w:p w14:paraId="41AC2D03" w14:textId="77777777" w:rsidR="008B1423" w:rsidRPr="00BE4F57" w:rsidRDefault="008B1423" w:rsidP="00A14CA6">
      <w:pPr>
        <w:spacing w:after="0" w:line="240" w:lineRule="auto"/>
        <w:jc w:val="both"/>
        <w:rPr>
          <w:rFonts w:ascii="Sylfaen" w:hAnsi="Sylfaen"/>
          <w:b/>
          <w:sz w:val="24"/>
          <w:szCs w:val="24"/>
          <w:lang w:val="ka-G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3119"/>
        <w:gridCol w:w="1984"/>
        <w:gridCol w:w="811"/>
        <w:gridCol w:w="1457"/>
      </w:tblGrid>
      <w:tr w:rsidR="008B1423" w:rsidRPr="00BE4F57" w14:paraId="3181671B" w14:textId="77777777" w:rsidTr="007C600F">
        <w:tc>
          <w:tcPr>
            <w:tcW w:w="1951" w:type="dxa"/>
            <w:vMerge w:val="restart"/>
          </w:tcPr>
          <w:p w14:paraId="05479E7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b/>
                <w:bCs/>
                <w:sz w:val="24"/>
                <w:szCs w:val="24"/>
                <w:lang w:val="ka-GE"/>
              </w:rPr>
              <w:t>ლაბორატორიული ანალიტი</w:t>
            </w:r>
          </w:p>
        </w:tc>
        <w:tc>
          <w:tcPr>
            <w:tcW w:w="3119" w:type="dxa"/>
            <w:vMerge w:val="restart"/>
          </w:tcPr>
          <w:p w14:paraId="2795FA11"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984" w:type="dxa"/>
            <w:vMerge w:val="restart"/>
          </w:tcPr>
          <w:p w14:paraId="3FA72DAD"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2268" w:type="dxa"/>
            <w:gridSpan w:val="2"/>
          </w:tcPr>
          <w:p w14:paraId="0B9014FA" w14:textId="77777777" w:rsidR="008B1423" w:rsidRPr="00BE4F57" w:rsidRDefault="008B1423" w:rsidP="00A14CA6">
            <w:pPr>
              <w:spacing w:after="0" w:line="240" w:lineRule="auto"/>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8</w:t>
            </w:r>
            <w:r w:rsidRPr="00BE4F57">
              <w:rPr>
                <w:rFonts w:ascii="Sylfaen" w:hAnsi="Sylfaen"/>
                <w:b/>
                <w:sz w:val="24"/>
                <w:szCs w:val="24"/>
              </w:rPr>
              <w:t xml:space="preserve"> </w:t>
            </w:r>
            <w:r w:rsidRPr="00BE4F57">
              <w:rPr>
                <w:rFonts w:ascii="Sylfaen" w:hAnsi="Sylfaen" w:cs="Sylfaen"/>
                <w:b/>
                <w:sz w:val="24"/>
                <w:szCs w:val="24"/>
              </w:rPr>
              <w:t>კვირამდე</w:t>
            </w:r>
            <w:r w:rsidRPr="00BE4F57">
              <w:rPr>
                <w:rFonts w:ascii="Sylfaen" w:hAnsi="Sylfaen" w:cs="Sylfaen"/>
                <w:b/>
                <w:sz w:val="24"/>
                <w:szCs w:val="24"/>
                <w:lang w:val="ka-GE"/>
              </w:rPr>
              <w:t xml:space="preserve"> </w:t>
            </w:r>
          </w:p>
        </w:tc>
      </w:tr>
      <w:tr w:rsidR="008B1423" w:rsidRPr="00BE4F57" w14:paraId="60C87ED6" w14:textId="77777777" w:rsidTr="007C600F">
        <w:tc>
          <w:tcPr>
            <w:tcW w:w="1951" w:type="dxa"/>
            <w:vMerge/>
          </w:tcPr>
          <w:p w14:paraId="4C5D37B2"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2F2E8D0B" w14:textId="77777777" w:rsidR="008B1423" w:rsidRPr="00BE4F57" w:rsidRDefault="008B1423" w:rsidP="00A14CA6">
            <w:pPr>
              <w:spacing w:after="0" w:line="240" w:lineRule="auto"/>
              <w:jc w:val="both"/>
              <w:rPr>
                <w:rFonts w:ascii="Sylfaen" w:hAnsi="Sylfaen"/>
                <w:b/>
                <w:sz w:val="24"/>
                <w:szCs w:val="24"/>
                <w:lang w:val="ka-GE"/>
              </w:rPr>
            </w:pPr>
          </w:p>
        </w:tc>
        <w:tc>
          <w:tcPr>
            <w:tcW w:w="1984" w:type="dxa"/>
            <w:vMerge/>
          </w:tcPr>
          <w:p w14:paraId="27E5AF9F" w14:textId="77777777" w:rsidR="008B1423" w:rsidRPr="00BE4F57" w:rsidRDefault="008B1423" w:rsidP="00A14CA6">
            <w:pPr>
              <w:spacing w:after="0" w:line="240" w:lineRule="auto"/>
              <w:jc w:val="both"/>
              <w:rPr>
                <w:rFonts w:ascii="Sylfaen" w:hAnsi="Sylfaen"/>
                <w:b/>
                <w:sz w:val="24"/>
                <w:szCs w:val="24"/>
                <w:lang w:val="ka-GE"/>
              </w:rPr>
            </w:pPr>
          </w:p>
        </w:tc>
        <w:tc>
          <w:tcPr>
            <w:tcW w:w="811" w:type="dxa"/>
          </w:tcPr>
          <w:p w14:paraId="318F2B53"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457" w:type="dxa"/>
          </w:tcPr>
          <w:p w14:paraId="5C7DCA58"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პაციენტები</w:t>
            </w:r>
          </w:p>
        </w:tc>
      </w:tr>
      <w:tr w:rsidR="008B1423" w:rsidRPr="00BE4F57" w14:paraId="2F1715A2" w14:textId="77777777" w:rsidTr="007C600F">
        <w:trPr>
          <w:trHeight w:val="219"/>
        </w:trPr>
        <w:tc>
          <w:tcPr>
            <w:tcW w:w="9322" w:type="dxa"/>
            <w:gridSpan w:val="5"/>
          </w:tcPr>
          <w:p w14:paraId="06B6D507" w14:textId="77777777" w:rsidR="008B1423" w:rsidRPr="00BE4F57" w:rsidRDefault="008B1423" w:rsidP="00A14CA6">
            <w:pPr>
              <w:spacing w:after="0" w:line="240" w:lineRule="auto"/>
              <w:jc w:val="both"/>
              <w:rPr>
                <w:rFonts w:ascii="Sylfaen" w:hAnsi="Sylfaen"/>
                <w:b/>
                <w:sz w:val="24"/>
                <w:szCs w:val="24"/>
                <w:lang w:val="ka-GE"/>
              </w:rPr>
            </w:pPr>
          </w:p>
        </w:tc>
      </w:tr>
      <w:tr w:rsidR="008B1423" w:rsidRPr="00BE4F57" w14:paraId="1F303A42" w14:textId="77777777" w:rsidTr="007C600F">
        <w:tc>
          <w:tcPr>
            <w:tcW w:w="1951" w:type="dxa"/>
            <w:vMerge w:val="restart"/>
            <w:vAlign w:val="center"/>
          </w:tcPr>
          <w:p w14:paraId="23A5A226"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ტრიგლიცერიდები უზმოზე</w:t>
            </w:r>
          </w:p>
        </w:tc>
        <w:tc>
          <w:tcPr>
            <w:tcW w:w="3119" w:type="dxa"/>
            <w:vMerge w:val="restart"/>
          </w:tcPr>
          <w:p w14:paraId="244A4B6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≥50 მგ/დლ ზრდა</w:t>
            </w:r>
          </w:p>
        </w:tc>
        <w:tc>
          <w:tcPr>
            <w:tcW w:w="1984" w:type="dxa"/>
          </w:tcPr>
          <w:p w14:paraId="513C29E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0C1F66B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158</w:t>
            </w:r>
          </w:p>
        </w:tc>
        <w:tc>
          <w:tcPr>
            <w:tcW w:w="1457" w:type="dxa"/>
          </w:tcPr>
          <w:p w14:paraId="2BB378D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70.3%</w:t>
            </w:r>
          </w:p>
        </w:tc>
      </w:tr>
      <w:tr w:rsidR="008B1423" w:rsidRPr="00BE4F57" w14:paraId="1266EA5E" w14:textId="77777777" w:rsidTr="007C600F">
        <w:tc>
          <w:tcPr>
            <w:tcW w:w="1951" w:type="dxa"/>
            <w:vMerge/>
          </w:tcPr>
          <w:p w14:paraId="1837C182"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2E074F4D"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697A03D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08F2BBF5"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81</w:t>
            </w:r>
          </w:p>
        </w:tc>
        <w:tc>
          <w:tcPr>
            <w:tcW w:w="1457" w:type="dxa"/>
          </w:tcPr>
          <w:p w14:paraId="63215FD9"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38.3%</w:t>
            </w:r>
          </w:p>
        </w:tc>
      </w:tr>
      <w:tr w:rsidR="008B1423" w:rsidRPr="00BE4F57" w14:paraId="22FDE3F6" w14:textId="77777777" w:rsidTr="007C600F">
        <w:tc>
          <w:tcPr>
            <w:tcW w:w="1951" w:type="dxa"/>
            <w:vMerge/>
          </w:tcPr>
          <w:p w14:paraId="1139C628"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7073B4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90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21D65B7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378056ED"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71</w:t>
            </w:r>
          </w:p>
        </w:tc>
        <w:tc>
          <w:tcPr>
            <w:tcW w:w="1457" w:type="dxa"/>
          </w:tcPr>
          <w:p w14:paraId="51938263"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39.4%</w:t>
            </w:r>
          </w:p>
        </w:tc>
      </w:tr>
      <w:tr w:rsidR="008B1423" w:rsidRPr="00BE4F57" w14:paraId="23839F78" w14:textId="77777777" w:rsidTr="007C600F">
        <w:tc>
          <w:tcPr>
            <w:tcW w:w="1951" w:type="dxa"/>
            <w:vMerge/>
          </w:tcPr>
          <w:p w14:paraId="011F1F99"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220BF225"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3F554CC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46707E99"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31</w:t>
            </w:r>
          </w:p>
        </w:tc>
        <w:tc>
          <w:tcPr>
            <w:tcW w:w="1457" w:type="dxa"/>
          </w:tcPr>
          <w:p w14:paraId="64B58A3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19.4%</w:t>
            </w:r>
          </w:p>
        </w:tc>
      </w:tr>
      <w:tr w:rsidR="008B1423" w:rsidRPr="00BE4F57" w14:paraId="09D70F93" w14:textId="77777777" w:rsidTr="007C600F">
        <w:tc>
          <w:tcPr>
            <w:tcW w:w="1951" w:type="dxa"/>
            <w:vMerge/>
          </w:tcPr>
          <w:p w14:paraId="0B898960"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3667E5F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9</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130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4AEF0B0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4F85F503"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13</w:t>
            </w:r>
          </w:p>
        </w:tc>
        <w:tc>
          <w:tcPr>
            <w:tcW w:w="1457" w:type="dxa"/>
          </w:tcPr>
          <w:p w14:paraId="6115512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84.6%</w:t>
            </w:r>
          </w:p>
        </w:tc>
      </w:tr>
      <w:tr w:rsidR="008B1423" w:rsidRPr="00BE4F57" w14:paraId="145E0FA0" w14:textId="77777777" w:rsidTr="007C600F">
        <w:tc>
          <w:tcPr>
            <w:tcW w:w="1951" w:type="dxa"/>
            <w:vMerge/>
          </w:tcPr>
          <w:p w14:paraId="1A7D3C0B"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517529F7"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16D7DCD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72411F5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12</w:t>
            </w:r>
          </w:p>
        </w:tc>
        <w:tc>
          <w:tcPr>
            <w:tcW w:w="1457" w:type="dxa"/>
          </w:tcPr>
          <w:p w14:paraId="475B4B2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33.3%</w:t>
            </w:r>
          </w:p>
        </w:tc>
      </w:tr>
      <w:tr w:rsidR="008B1423" w:rsidRPr="00BE4F57" w14:paraId="6A6EB109" w14:textId="77777777" w:rsidTr="007C600F">
        <w:tc>
          <w:tcPr>
            <w:tcW w:w="1951" w:type="dxa"/>
            <w:vMerge/>
          </w:tcPr>
          <w:p w14:paraId="778A3068"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0B700A5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ნორმალურიდან</w:t>
            </w:r>
            <w:r w:rsidRPr="00BE4F57">
              <w:rPr>
                <w:rFonts w:ascii="Sylfaen" w:hAnsi="Sylfaen" w:cs="Sylfaen"/>
                <w:sz w:val="24"/>
                <w:szCs w:val="24"/>
                <w:lang w:val="ka-GE"/>
              </w:rPr>
              <w:t>/</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130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64491EC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642F2943"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106</w:t>
            </w:r>
          </w:p>
        </w:tc>
        <w:tc>
          <w:tcPr>
            <w:tcW w:w="1457" w:type="dxa"/>
          </w:tcPr>
          <w:p w14:paraId="004ECF2D"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52.8%</w:t>
            </w:r>
          </w:p>
        </w:tc>
      </w:tr>
      <w:tr w:rsidR="008B1423" w:rsidRPr="00BE4F57" w14:paraId="130370E1" w14:textId="77777777" w:rsidTr="007C600F">
        <w:tc>
          <w:tcPr>
            <w:tcW w:w="1951" w:type="dxa"/>
            <w:vMerge/>
          </w:tcPr>
          <w:p w14:paraId="338A8F3F"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65A6381B"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34C343F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4212501D"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56</w:t>
            </w:r>
          </w:p>
        </w:tc>
        <w:tc>
          <w:tcPr>
            <w:tcW w:w="1457" w:type="dxa"/>
          </w:tcPr>
          <w:p w14:paraId="5398410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25.0%</w:t>
            </w:r>
          </w:p>
        </w:tc>
      </w:tr>
      <w:tr w:rsidR="008B1423" w:rsidRPr="00BE4F57" w14:paraId="7ACF16BD" w14:textId="77777777" w:rsidTr="007C600F">
        <w:tc>
          <w:tcPr>
            <w:tcW w:w="1951" w:type="dxa"/>
            <w:vMerge/>
          </w:tcPr>
          <w:p w14:paraId="060E1839"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65C3E3D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ნორმალურიდან</w:t>
            </w:r>
            <w:r w:rsidRPr="00BE4F57">
              <w:rPr>
                <w:rFonts w:ascii="Sylfaen" w:hAnsi="Sylfaen" w:cs="Sylfaen"/>
                <w:sz w:val="24"/>
                <w:szCs w:val="24"/>
                <w:lang w:val="ka-GE"/>
              </w:rPr>
              <w:t xml:space="preserve"> </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90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90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2707FA6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781F339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71</w:t>
            </w:r>
          </w:p>
        </w:tc>
        <w:tc>
          <w:tcPr>
            <w:tcW w:w="1457" w:type="dxa"/>
          </w:tcPr>
          <w:p w14:paraId="600A00D7"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73.2%</w:t>
            </w:r>
          </w:p>
        </w:tc>
      </w:tr>
      <w:tr w:rsidR="008B1423" w:rsidRPr="00BE4F57" w14:paraId="691E3172" w14:textId="77777777" w:rsidTr="007C600F">
        <w:tc>
          <w:tcPr>
            <w:tcW w:w="1951" w:type="dxa"/>
            <w:vMerge/>
          </w:tcPr>
          <w:p w14:paraId="75A83A4E"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51D1C708"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77CD721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1F9FDE8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31</w:t>
            </w:r>
          </w:p>
        </w:tc>
        <w:tc>
          <w:tcPr>
            <w:tcW w:w="1457" w:type="dxa"/>
          </w:tcPr>
          <w:p w14:paraId="53290E8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41.9%</w:t>
            </w:r>
          </w:p>
        </w:tc>
      </w:tr>
      <w:tr w:rsidR="008B1423" w:rsidRPr="00BE4F57" w14:paraId="19491622" w14:textId="77777777" w:rsidTr="007C600F">
        <w:tc>
          <w:tcPr>
            <w:tcW w:w="1951" w:type="dxa"/>
            <w:vMerge/>
          </w:tcPr>
          <w:p w14:paraId="465BC04D"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48ED144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w:t>
            </w:r>
            <w:r w:rsidRPr="00BE4F57">
              <w:rPr>
                <w:rFonts w:ascii="Sylfaen" w:hAnsi="Sylfaen" w:cs="Sylfaen"/>
                <w:sz w:val="24"/>
                <w:szCs w:val="24"/>
                <w:lang w:val="ka-GE"/>
              </w:rPr>
              <w:t>/</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ო/მაღალი მაჩვენებლიდან ძალიან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500</w:t>
            </w:r>
            <w:r w:rsidRPr="00BE4F57">
              <w:rPr>
                <w:rFonts w:ascii="Sylfaen" w:hAnsi="Sylfaen"/>
                <w:sz w:val="24"/>
                <w:szCs w:val="24"/>
              </w:rPr>
              <w:t xml:space="preserve"> </w:t>
            </w:r>
            <w:r w:rsidRPr="00BE4F57">
              <w:rPr>
                <w:rFonts w:ascii="Sylfaen" w:hAnsi="Sylfaen" w:cs="Sylfaen"/>
                <w:sz w:val="24"/>
                <w:szCs w:val="24"/>
              </w:rPr>
              <w:lastRenderedPageBreak/>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500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4A30AF0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lastRenderedPageBreak/>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48B69BD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158</w:t>
            </w:r>
          </w:p>
        </w:tc>
        <w:tc>
          <w:tcPr>
            <w:tcW w:w="1457" w:type="dxa"/>
          </w:tcPr>
          <w:p w14:paraId="208494B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2.5%</w:t>
            </w:r>
          </w:p>
        </w:tc>
      </w:tr>
      <w:tr w:rsidR="008B1423" w:rsidRPr="00BE4F57" w14:paraId="1FE072E1" w14:textId="77777777" w:rsidTr="007C600F">
        <w:tc>
          <w:tcPr>
            <w:tcW w:w="1951" w:type="dxa"/>
            <w:vMerge/>
          </w:tcPr>
          <w:p w14:paraId="23E2C2F0"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4D5D2796"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09C47A6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5197FA1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81</w:t>
            </w:r>
          </w:p>
        </w:tc>
        <w:tc>
          <w:tcPr>
            <w:tcW w:w="1457" w:type="dxa"/>
          </w:tcPr>
          <w:p w14:paraId="4E61FAD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1.2%</w:t>
            </w:r>
          </w:p>
        </w:tc>
      </w:tr>
      <w:tr w:rsidR="008B1423" w:rsidRPr="00BE4F57" w14:paraId="2C3102DF" w14:textId="77777777" w:rsidTr="007C600F">
        <w:tc>
          <w:tcPr>
            <w:tcW w:w="9322" w:type="dxa"/>
            <w:gridSpan w:val="5"/>
          </w:tcPr>
          <w:p w14:paraId="00A3EFBE" w14:textId="77777777" w:rsidR="008B1423" w:rsidRPr="00BE4F57" w:rsidRDefault="008B1423" w:rsidP="00A14CA6">
            <w:pPr>
              <w:spacing w:after="0" w:line="240" w:lineRule="auto"/>
              <w:jc w:val="both"/>
              <w:rPr>
                <w:rFonts w:ascii="Sylfaen" w:hAnsi="Sylfaen"/>
                <w:b/>
                <w:sz w:val="24"/>
                <w:szCs w:val="24"/>
                <w:lang w:val="ka-GE"/>
              </w:rPr>
            </w:pPr>
          </w:p>
        </w:tc>
      </w:tr>
      <w:tr w:rsidR="008B1423" w:rsidRPr="00BE4F57" w14:paraId="67710DF0" w14:textId="77777777" w:rsidTr="007C600F">
        <w:tc>
          <w:tcPr>
            <w:tcW w:w="1951" w:type="dxa"/>
            <w:vMerge w:val="restart"/>
            <w:vAlign w:val="center"/>
          </w:tcPr>
          <w:p w14:paraId="6F47FD5A"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საერთო ქოლესტერინი უზმოზე</w:t>
            </w:r>
          </w:p>
        </w:tc>
        <w:tc>
          <w:tcPr>
            <w:tcW w:w="3119" w:type="dxa"/>
            <w:vMerge w:val="restart"/>
          </w:tcPr>
          <w:p w14:paraId="37CF50F5"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4</w:t>
            </w:r>
            <w:r w:rsidRPr="00BE4F57">
              <w:rPr>
                <w:rFonts w:ascii="Sylfaen" w:hAnsi="Sylfaen"/>
                <w:sz w:val="24"/>
                <w:szCs w:val="24"/>
              </w:rPr>
              <w:t>0 მგ/დლ ზრდა</w:t>
            </w:r>
          </w:p>
        </w:tc>
        <w:tc>
          <w:tcPr>
            <w:tcW w:w="1984" w:type="dxa"/>
          </w:tcPr>
          <w:p w14:paraId="27618E6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64A12FF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158</w:t>
            </w:r>
          </w:p>
        </w:tc>
        <w:tc>
          <w:tcPr>
            <w:tcW w:w="1457" w:type="dxa"/>
          </w:tcPr>
          <w:p w14:paraId="16B98D5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52.5%</w:t>
            </w:r>
          </w:p>
        </w:tc>
      </w:tr>
      <w:tr w:rsidR="008B1423" w:rsidRPr="00BE4F57" w14:paraId="0E5BA132" w14:textId="77777777" w:rsidTr="007C600F">
        <w:tc>
          <w:tcPr>
            <w:tcW w:w="1951" w:type="dxa"/>
            <w:vMerge/>
          </w:tcPr>
          <w:p w14:paraId="77309244"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1D6831FE"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4152975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1884DC0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81</w:t>
            </w:r>
          </w:p>
        </w:tc>
        <w:tc>
          <w:tcPr>
            <w:tcW w:w="1457" w:type="dxa"/>
          </w:tcPr>
          <w:p w14:paraId="3BFA5A0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%%8.6</w:t>
            </w:r>
          </w:p>
        </w:tc>
      </w:tr>
      <w:tr w:rsidR="008B1423" w:rsidRPr="00BE4F57" w14:paraId="6A0E568E" w14:textId="77777777" w:rsidTr="007C600F">
        <w:tc>
          <w:tcPr>
            <w:tcW w:w="1951" w:type="dxa"/>
            <w:vMerge/>
          </w:tcPr>
          <w:p w14:paraId="6C43C3EB"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7EBFF685"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170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256138B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1DCA7E35"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81</w:t>
            </w:r>
          </w:p>
        </w:tc>
        <w:tc>
          <w:tcPr>
            <w:tcW w:w="1457" w:type="dxa"/>
          </w:tcPr>
          <w:p w14:paraId="7C587F08"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12.3%</w:t>
            </w:r>
          </w:p>
        </w:tc>
      </w:tr>
      <w:tr w:rsidR="008B1423" w:rsidRPr="00BE4F57" w14:paraId="649EF4D0" w14:textId="77777777" w:rsidTr="007C600F">
        <w:tc>
          <w:tcPr>
            <w:tcW w:w="1951" w:type="dxa"/>
            <w:vMerge/>
          </w:tcPr>
          <w:p w14:paraId="431B8125"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11363013"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66DF154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173F3BF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44</w:t>
            </w:r>
          </w:p>
        </w:tc>
        <w:tc>
          <w:tcPr>
            <w:tcW w:w="1457" w:type="dxa"/>
          </w:tcPr>
          <w:p w14:paraId="6FECA5B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4.5%</w:t>
            </w:r>
          </w:p>
        </w:tc>
      </w:tr>
      <w:tr w:rsidR="008B1423" w:rsidRPr="00BE4F57" w14:paraId="09D155E1" w14:textId="77777777" w:rsidTr="007C600F">
        <w:tc>
          <w:tcPr>
            <w:tcW w:w="1951" w:type="dxa"/>
            <w:vMerge/>
          </w:tcPr>
          <w:p w14:paraId="4122AF65"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6AAF9BBE"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17</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200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6DF6B0F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2BF112D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22</w:t>
            </w:r>
          </w:p>
        </w:tc>
        <w:tc>
          <w:tcPr>
            <w:tcW w:w="1457" w:type="dxa"/>
          </w:tcPr>
          <w:p w14:paraId="5A6C5A4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72.7%</w:t>
            </w:r>
          </w:p>
        </w:tc>
      </w:tr>
      <w:tr w:rsidR="008B1423" w:rsidRPr="00BE4F57" w14:paraId="2A54ED9F" w14:textId="77777777" w:rsidTr="007C600F">
        <w:tc>
          <w:tcPr>
            <w:tcW w:w="1951" w:type="dxa"/>
            <w:vMerge/>
          </w:tcPr>
          <w:p w14:paraId="3ED84FA9"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0B74E5B5"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1E9D060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08FD1A0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11</w:t>
            </w:r>
          </w:p>
        </w:tc>
        <w:tc>
          <w:tcPr>
            <w:tcW w:w="1457" w:type="dxa"/>
          </w:tcPr>
          <w:p w14:paraId="70DB5B9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24.3%</w:t>
            </w:r>
          </w:p>
        </w:tc>
      </w:tr>
      <w:tr w:rsidR="008B1423" w:rsidRPr="00BE4F57" w14:paraId="35B098F8" w14:textId="77777777" w:rsidTr="007C600F">
        <w:tc>
          <w:tcPr>
            <w:tcW w:w="1951" w:type="dxa"/>
            <w:vMerge/>
          </w:tcPr>
          <w:p w14:paraId="172CB0B9"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2884796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ნორმალურიდან</w:t>
            </w:r>
            <w:r w:rsidRPr="00BE4F57">
              <w:rPr>
                <w:rFonts w:ascii="Sylfaen" w:hAnsi="Sylfaen" w:cs="Sylfaen"/>
                <w:sz w:val="24"/>
                <w:szCs w:val="24"/>
                <w:lang w:val="ka-GE"/>
              </w:rPr>
              <w:t>/</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200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lang w:val="ka-GE"/>
              </w:rPr>
              <w:t xml:space="preserve"> </w:t>
            </w:r>
            <w:r w:rsidRPr="00BE4F57">
              <w:rPr>
                <w:rFonts w:ascii="Sylfaen" w:hAnsi="Sylfaen"/>
                <w:sz w:val="24"/>
                <w:szCs w:val="24"/>
                <w:u w:val="single"/>
                <w:lang w:val="ka-GE"/>
              </w:rPr>
              <w:t>≥</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7D3165B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6B17F166"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126</w:t>
            </w:r>
          </w:p>
        </w:tc>
        <w:tc>
          <w:tcPr>
            <w:tcW w:w="1457" w:type="dxa"/>
          </w:tcPr>
          <w:p w14:paraId="1094C0A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32.5%</w:t>
            </w:r>
          </w:p>
        </w:tc>
      </w:tr>
      <w:tr w:rsidR="008B1423" w:rsidRPr="00BE4F57" w14:paraId="60B65545" w14:textId="77777777" w:rsidTr="007C600F">
        <w:tc>
          <w:tcPr>
            <w:tcW w:w="1951" w:type="dxa"/>
            <w:vMerge/>
          </w:tcPr>
          <w:p w14:paraId="52E9400E"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594B2A62"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33A5CE8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7AF05A6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67</w:t>
            </w:r>
          </w:p>
        </w:tc>
        <w:tc>
          <w:tcPr>
            <w:tcW w:w="1457" w:type="dxa"/>
          </w:tcPr>
          <w:p w14:paraId="71C9AB1C"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10.4%</w:t>
            </w:r>
          </w:p>
        </w:tc>
      </w:tr>
      <w:tr w:rsidR="008B1423" w:rsidRPr="00BE4F57" w14:paraId="4F3C458F" w14:textId="77777777" w:rsidTr="007C600F">
        <w:tc>
          <w:tcPr>
            <w:tcW w:w="1951" w:type="dxa"/>
            <w:vMerge/>
          </w:tcPr>
          <w:p w14:paraId="4DF21AE5"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5BFEB36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w:t>
            </w:r>
            <w:r w:rsidRPr="00BE4F57">
              <w:rPr>
                <w:rFonts w:ascii="Sylfaen" w:hAnsi="Sylfaen" w:cs="Sylfaen"/>
                <w:sz w:val="24"/>
                <w:szCs w:val="24"/>
                <w:lang w:val="ka-GE"/>
              </w:rPr>
              <w:t xml:space="preserve">დან </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 xml:space="preserve">ო/მაღალ მაჩვენებლამდე </w:t>
            </w:r>
            <w:r w:rsidRPr="00BE4F57">
              <w:rPr>
                <w:rFonts w:ascii="Sylfaen" w:hAnsi="Sylfaen"/>
                <w:sz w:val="24"/>
                <w:szCs w:val="24"/>
              </w:rPr>
              <w:t>(&lt;</w:t>
            </w:r>
            <w:r w:rsidRPr="00BE4F57">
              <w:rPr>
                <w:rFonts w:ascii="Sylfaen" w:hAnsi="Sylfaen"/>
                <w:sz w:val="24"/>
                <w:szCs w:val="24"/>
                <w:lang w:val="ka-GE"/>
              </w:rPr>
              <w:t>170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170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553686E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27E26D77"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81</w:t>
            </w:r>
          </w:p>
        </w:tc>
        <w:tc>
          <w:tcPr>
            <w:tcW w:w="1457" w:type="dxa"/>
          </w:tcPr>
          <w:p w14:paraId="348E396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58.0%</w:t>
            </w:r>
          </w:p>
        </w:tc>
      </w:tr>
      <w:tr w:rsidR="008B1423" w:rsidRPr="00BE4F57" w14:paraId="04DEFFB3" w14:textId="77777777" w:rsidTr="007C600F">
        <w:tc>
          <w:tcPr>
            <w:tcW w:w="1951" w:type="dxa"/>
            <w:vMerge/>
          </w:tcPr>
          <w:p w14:paraId="56455A70"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3DAB4C36"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6F977F1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21F2AC0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44</w:t>
            </w:r>
          </w:p>
        </w:tc>
        <w:tc>
          <w:tcPr>
            <w:tcW w:w="1457" w:type="dxa"/>
          </w:tcPr>
          <w:p w14:paraId="75BD93E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31.8%</w:t>
            </w:r>
          </w:p>
        </w:tc>
      </w:tr>
      <w:tr w:rsidR="008B1423" w:rsidRPr="00BE4F57" w14:paraId="0CFE086F" w14:textId="77777777" w:rsidTr="007C600F">
        <w:tc>
          <w:tcPr>
            <w:tcW w:w="9322" w:type="dxa"/>
            <w:gridSpan w:val="5"/>
          </w:tcPr>
          <w:p w14:paraId="7A042B4C" w14:textId="77777777" w:rsidR="008B1423" w:rsidRPr="00BE4F57" w:rsidRDefault="008B1423" w:rsidP="00A14CA6">
            <w:pPr>
              <w:spacing w:after="0" w:line="240" w:lineRule="auto"/>
              <w:jc w:val="both"/>
              <w:rPr>
                <w:rFonts w:ascii="Sylfaen" w:hAnsi="Sylfaen"/>
                <w:b/>
                <w:sz w:val="24"/>
                <w:szCs w:val="24"/>
                <w:lang w:val="ka-GE"/>
              </w:rPr>
            </w:pPr>
          </w:p>
        </w:tc>
      </w:tr>
      <w:tr w:rsidR="008B1423" w:rsidRPr="00BE4F57" w14:paraId="28DB1FF5" w14:textId="77777777" w:rsidTr="007C600F">
        <w:tc>
          <w:tcPr>
            <w:tcW w:w="1951" w:type="dxa"/>
            <w:vMerge w:val="restart"/>
            <w:vAlign w:val="center"/>
          </w:tcPr>
          <w:p w14:paraId="08964DB0"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დსლ ქოლესტერინი უზმოზე</w:t>
            </w:r>
          </w:p>
        </w:tc>
        <w:tc>
          <w:tcPr>
            <w:tcW w:w="3119" w:type="dxa"/>
            <w:vMerge w:val="restart"/>
          </w:tcPr>
          <w:p w14:paraId="092F17BB"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3</w:t>
            </w:r>
            <w:r w:rsidRPr="00BE4F57">
              <w:rPr>
                <w:rFonts w:ascii="Sylfaen" w:hAnsi="Sylfaen"/>
                <w:sz w:val="24"/>
                <w:szCs w:val="24"/>
              </w:rPr>
              <w:t>0 მგ/დლ ზრდა</w:t>
            </w:r>
          </w:p>
        </w:tc>
        <w:tc>
          <w:tcPr>
            <w:tcW w:w="1984" w:type="dxa"/>
          </w:tcPr>
          <w:p w14:paraId="6EAE1CA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288E039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158</w:t>
            </w:r>
          </w:p>
        </w:tc>
        <w:tc>
          <w:tcPr>
            <w:tcW w:w="1457" w:type="dxa"/>
          </w:tcPr>
          <w:p w14:paraId="6B2C984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53.8%</w:t>
            </w:r>
          </w:p>
        </w:tc>
      </w:tr>
      <w:tr w:rsidR="008B1423" w:rsidRPr="00BE4F57" w14:paraId="255C6647" w14:textId="77777777" w:rsidTr="007C600F">
        <w:tc>
          <w:tcPr>
            <w:tcW w:w="1951" w:type="dxa"/>
            <w:vMerge/>
          </w:tcPr>
          <w:p w14:paraId="7965C228"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4FD675A9"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716CBB6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735EEEB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81</w:t>
            </w:r>
          </w:p>
        </w:tc>
        <w:tc>
          <w:tcPr>
            <w:tcW w:w="1457" w:type="dxa"/>
          </w:tcPr>
          <w:p w14:paraId="1BF872E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23.5%</w:t>
            </w:r>
          </w:p>
        </w:tc>
      </w:tr>
      <w:tr w:rsidR="008B1423" w:rsidRPr="00BE4F57" w14:paraId="5587B5A5" w14:textId="77777777" w:rsidTr="007C600F">
        <w:tc>
          <w:tcPr>
            <w:tcW w:w="1951" w:type="dxa"/>
            <w:vMerge/>
          </w:tcPr>
          <w:p w14:paraId="64CC7647"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12E25C62"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110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10FEE63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1DD33BF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112</w:t>
            </w:r>
          </w:p>
        </w:tc>
        <w:tc>
          <w:tcPr>
            <w:tcW w:w="1457" w:type="dxa"/>
          </w:tcPr>
          <w:p w14:paraId="4BB0B7C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13.4%</w:t>
            </w:r>
          </w:p>
        </w:tc>
      </w:tr>
      <w:tr w:rsidR="008B1423" w:rsidRPr="00BE4F57" w14:paraId="1336D400" w14:textId="77777777" w:rsidTr="007C600F">
        <w:tc>
          <w:tcPr>
            <w:tcW w:w="1951" w:type="dxa"/>
            <w:vMerge/>
          </w:tcPr>
          <w:p w14:paraId="52505F0B"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705B1C9C"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726570E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38AA0F7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62</w:t>
            </w:r>
          </w:p>
        </w:tc>
        <w:tc>
          <w:tcPr>
            <w:tcW w:w="1457" w:type="dxa"/>
          </w:tcPr>
          <w:p w14:paraId="6F1EFF5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6.5%</w:t>
            </w:r>
          </w:p>
        </w:tc>
      </w:tr>
      <w:tr w:rsidR="008B1423" w:rsidRPr="00BE4F57" w14:paraId="384E2F0E" w14:textId="77777777" w:rsidTr="007C600F">
        <w:tc>
          <w:tcPr>
            <w:tcW w:w="1951" w:type="dxa"/>
            <w:vMerge/>
          </w:tcPr>
          <w:p w14:paraId="396FAF62"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0CA822F6"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11</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130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2952017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4A0F4B1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w:t>
            </w:r>
          </w:p>
        </w:tc>
        <w:tc>
          <w:tcPr>
            <w:tcW w:w="1457" w:type="dxa"/>
          </w:tcPr>
          <w:p w14:paraId="47C0537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75.0%</w:t>
            </w:r>
          </w:p>
        </w:tc>
      </w:tr>
      <w:tr w:rsidR="008B1423" w:rsidRPr="00BE4F57" w14:paraId="1D2177B9" w14:textId="77777777" w:rsidTr="007C600F">
        <w:tc>
          <w:tcPr>
            <w:tcW w:w="1951" w:type="dxa"/>
            <w:vMerge/>
          </w:tcPr>
          <w:p w14:paraId="2A70027B"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261BECB8"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185525F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159F17E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w:t>
            </w:r>
          </w:p>
        </w:tc>
        <w:tc>
          <w:tcPr>
            <w:tcW w:w="1457" w:type="dxa"/>
          </w:tcPr>
          <w:p w14:paraId="1364CD3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r>
      <w:tr w:rsidR="008B1423" w:rsidRPr="00BE4F57" w14:paraId="4EB75916" w14:textId="77777777" w:rsidTr="007C600F">
        <w:tc>
          <w:tcPr>
            <w:tcW w:w="1951" w:type="dxa"/>
            <w:vMerge/>
          </w:tcPr>
          <w:p w14:paraId="27FAA549"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55A3BA6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rPr>
              <w:t>ნორმალურიდან</w:t>
            </w:r>
            <w:r w:rsidRPr="00BE4F57">
              <w:rPr>
                <w:rFonts w:ascii="Sylfaen" w:hAnsi="Sylfaen" w:cs="Sylfaen"/>
                <w:sz w:val="24"/>
                <w:szCs w:val="24"/>
                <w:lang w:val="ka-GE"/>
              </w:rPr>
              <w:t>/</w:t>
            </w: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lang w:val="ka-GE"/>
              </w:rPr>
              <w:t xml:space="preserve">მაღალ </w:t>
            </w:r>
            <w:r w:rsidRPr="00BE4F57">
              <w:rPr>
                <w:rFonts w:ascii="Sylfaen" w:hAnsi="Sylfaen" w:cs="Sylfaen"/>
                <w:sz w:val="24"/>
                <w:szCs w:val="24"/>
                <w:lang w:val="ka-GE"/>
              </w:rPr>
              <w:lastRenderedPageBreak/>
              <w:t>მაჩვენებლამდე</w:t>
            </w:r>
            <w:r w:rsidRPr="00BE4F57">
              <w:rPr>
                <w:rFonts w:ascii="Sylfaen" w:hAnsi="Sylfaen"/>
                <w:sz w:val="24"/>
                <w:szCs w:val="24"/>
              </w:rPr>
              <w:t xml:space="preserve"> (&lt;</w:t>
            </w:r>
            <w:r w:rsidRPr="00BE4F57">
              <w:rPr>
                <w:rFonts w:ascii="Sylfaen" w:hAnsi="Sylfaen"/>
                <w:sz w:val="24"/>
                <w:szCs w:val="24"/>
                <w:lang w:val="ka-GE"/>
              </w:rPr>
              <w:t>130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lang w:val="ka-GE"/>
              </w:rPr>
              <w:t xml:space="preserve"> </w:t>
            </w:r>
            <w:r w:rsidRPr="00BE4F57">
              <w:rPr>
                <w:rFonts w:ascii="Sylfaen" w:hAnsi="Sylfaen"/>
                <w:sz w:val="24"/>
                <w:szCs w:val="24"/>
                <w:u w:val="single"/>
                <w:lang w:val="ka-GE"/>
              </w:rPr>
              <w: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984" w:type="dxa"/>
          </w:tcPr>
          <w:p w14:paraId="05322BC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lastRenderedPageBreak/>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lastRenderedPageBreak/>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70C6338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lastRenderedPageBreak/>
              <w:t>138</w:t>
            </w:r>
          </w:p>
        </w:tc>
        <w:tc>
          <w:tcPr>
            <w:tcW w:w="1457" w:type="dxa"/>
          </w:tcPr>
          <w:p w14:paraId="7EB3B1C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21.7%</w:t>
            </w:r>
          </w:p>
        </w:tc>
      </w:tr>
      <w:tr w:rsidR="008B1423" w:rsidRPr="00BE4F57" w14:paraId="36C155B3" w14:textId="77777777" w:rsidTr="007C600F">
        <w:tc>
          <w:tcPr>
            <w:tcW w:w="1951" w:type="dxa"/>
            <w:vMerge/>
          </w:tcPr>
          <w:p w14:paraId="6AE17356"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66129BFB"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72F6E23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0450753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77</w:t>
            </w:r>
          </w:p>
        </w:tc>
        <w:tc>
          <w:tcPr>
            <w:tcW w:w="1457" w:type="dxa"/>
          </w:tcPr>
          <w:p w14:paraId="1DADFCA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7.8%</w:t>
            </w:r>
          </w:p>
        </w:tc>
      </w:tr>
      <w:tr w:rsidR="008B1423" w:rsidRPr="00BE4F57" w14:paraId="760E295F" w14:textId="77777777" w:rsidTr="007C600F">
        <w:tc>
          <w:tcPr>
            <w:tcW w:w="1951" w:type="dxa"/>
            <w:vMerge/>
          </w:tcPr>
          <w:p w14:paraId="32018A1F"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val="restart"/>
          </w:tcPr>
          <w:p w14:paraId="001C95C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cs="Sylfaen"/>
                <w:sz w:val="24"/>
                <w:szCs w:val="24"/>
                <w:lang w:val="ka-GE"/>
              </w:rPr>
              <w:t>სასაზღვრო</w:t>
            </w:r>
            <w:r w:rsidRPr="00BE4F57">
              <w:rPr>
                <w:rFonts w:ascii="Sylfaen" w:hAnsi="Sylfaen" w:cs="Sylfaen"/>
                <w:sz w:val="24"/>
                <w:szCs w:val="24"/>
              </w:rPr>
              <w:t>/</w:t>
            </w:r>
            <w:r w:rsidRPr="00BE4F57">
              <w:rPr>
                <w:rFonts w:ascii="Sylfaen" w:hAnsi="Sylfaen" w:cs="Sylfaen"/>
                <w:sz w:val="24"/>
                <w:szCs w:val="24"/>
                <w:lang w:val="ka-GE"/>
              </w:rPr>
              <w:t>ნორმალურზე მაღალი</w:t>
            </w:r>
            <w:r w:rsidRPr="00BE4F57">
              <w:rPr>
                <w:rFonts w:ascii="Sylfaen" w:hAnsi="Sylfaen" w:cs="Sylfaen"/>
                <w:sz w:val="24"/>
                <w:szCs w:val="24"/>
              </w:rPr>
              <w:t xml:space="preserve"> (&lt;110 მგ/დლ-დან ≥110 მგ/დლ-მდე)</w:t>
            </w:r>
          </w:p>
        </w:tc>
        <w:tc>
          <w:tcPr>
            <w:tcW w:w="1984" w:type="dxa"/>
          </w:tcPr>
          <w:p w14:paraId="63AB27A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cs="Sylfaen"/>
                <w:sz w:val="24"/>
                <w:szCs w:val="24"/>
              </w:rPr>
              <w:t>ოლანზაპინის</w:t>
            </w:r>
            <w:r w:rsidRPr="00BE4F57">
              <w:rPr>
                <w:rFonts w:ascii="Sylfaen" w:hAnsi="Sylfaen"/>
                <w:sz w:val="24"/>
                <w:szCs w:val="24"/>
              </w:rPr>
              <w:t xml:space="preserve"> </w:t>
            </w:r>
            <w:r w:rsidRPr="00BE4F57">
              <w:rPr>
                <w:rFonts w:ascii="Sylfaen" w:hAnsi="Sylfaen" w:cs="Sylfaen"/>
                <w:sz w:val="24"/>
                <w:szCs w:val="24"/>
              </w:rPr>
              <w:t>და</w:t>
            </w:r>
            <w:r w:rsidRPr="00BE4F57">
              <w:rPr>
                <w:rFonts w:ascii="Sylfaen" w:hAnsi="Sylfaen"/>
                <w:sz w:val="24"/>
                <w:szCs w:val="24"/>
              </w:rPr>
              <w:t xml:space="preserve"> </w:t>
            </w:r>
            <w:r w:rsidRPr="00BE4F57">
              <w:rPr>
                <w:rFonts w:ascii="Sylfaen" w:hAnsi="Sylfaen" w:cs="Sylfaen"/>
                <w:sz w:val="24"/>
                <w:szCs w:val="24"/>
              </w:rPr>
              <w:t>ფლუოქსეტინის</w:t>
            </w:r>
            <w:r w:rsidRPr="00BE4F57">
              <w:rPr>
                <w:rFonts w:ascii="Sylfaen" w:hAnsi="Sylfaen"/>
                <w:sz w:val="24"/>
                <w:szCs w:val="24"/>
              </w:rPr>
              <w:t xml:space="preserve"> </w:t>
            </w:r>
            <w:r w:rsidRPr="00BE4F57">
              <w:rPr>
                <w:rFonts w:ascii="Sylfaen" w:hAnsi="Sylfaen" w:cs="Sylfaen"/>
                <w:sz w:val="24"/>
                <w:szCs w:val="24"/>
              </w:rPr>
              <w:t>კომბინაცია</w:t>
            </w:r>
          </w:p>
        </w:tc>
        <w:tc>
          <w:tcPr>
            <w:tcW w:w="811" w:type="dxa"/>
          </w:tcPr>
          <w:p w14:paraId="381CC6C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112</w:t>
            </w:r>
          </w:p>
        </w:tc>
        <w:tc>
          <w:tcPr>
            <w:tcW w:w="1457" w:type="dxa"/>
          </w:tcPr>
          <w:p w14:paraId="430370E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30.4%</w:t>
            </w:r>
          </w:p>
        </w:tc>
      </w:tr>
      <w:tr w:rsidR="008B1423" w:rsidRPr="00BE4F57" w14:paraId="05D6152F" w14:textId="77777777" w:rsidTr="007C600F">
        <w:tc>
          <w:tcPr>
            <w:tcW w:w="1951" w:type="dxa"/>
            <w:vMerge/>
          </w:tcPr>
          <w:p w14:paraId="18562636" w14:textId="77777777" w:rsidR="008B1423" w:rsidRPr="00BE4F57" w:rsidRDefault="008B1423" w:rsidP="00A14CA6">
            <w:pPr>
              <w:spacing w:after="0" w:line="240" w:lineRule="auto"/>
              <w:jc w:val="both"/>
              <w:rPr>
                <w:rFonts w:ascii="Sylfaen" w:hAnsi="Sylfaen"/>
                <w:b/>
                <w:sz w:val="24"/>
                <w:szCs w:val="24"/>
                <w:lang w:val="ka-GE"/>
              </w:rPr>
            </w:pPr>
          </w:p>
        </w:tc>
        <w:tc>
          <w:tcPr>
            <w:tcW w:w="3119" w:type="dxa"/>
            <w:vMerge/>
          </w:tcPr>
          <w:p w14:paraId="3C04B378" w14:textId="77777777" w:rsidR="008B1423" w:rsidRPr="00BE4F57" w:rsidRDefault="008B1423" w:rsidP="00A14CA6">
            <w:pPr>
              <w:spacing w:after="0" w:line="240" w:lineRule="auto"/>
              <w:jc w:val="both"/>
              <w:rPr>
                <w:rFonts w:ascii="Sylfaen" w:hAnsi="Sylfaen"/>
                <w:b/>
                <w:sz w:val="24"/>
                <w:szCs w:val="24"/>
                <w:lang w:val="ka-GE"/>
              </w:rPr>
            </w:pPr>
          </w:p>
        </w:tc>
        <w:tc>
          <w:tcPr>
            <w:tcW w:w="1984" w:type="dxa"/>
          </w:tcPr>
          <w:p w14:paraId="1B65D1D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პლაცებო</w:t>
            </w:r>
          </w:p>
        </w:tc>
        <w:tc>
          <w:tcPr>
            <w:tcW w:w="811" w:type="dxa"/>
          </w:tcPr>
          <w:p w14:paraId="2C3112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62</w:t>
            </w:r>
          </w:p>
        </w:tc>
        <w:tc>
          <w:tcPr>
            <w:tcW w:w="1457" w:type="dxa"/>
          </w:tcPr>
          <w:p w14:paraId="7195407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14.5%</w:t>
            </w:r>
          </w:p>
        </w:tc>
      </w:tr>
    </w:tbl>
    <w:p w14:paraId="00F74F5F" w14:textId="77777777" w:rsidR="008B1423" w:rsidRPr="00BE4F57" w:rsidRDefault="008B1423" w:rsidP="00A14CA6">
      <w:pPr>
        <w:spacing w:after="0" w:line="240" w:lineRule="auto"/>
        <w:jc w:val="both"/>
        <w:rPr>
          <w:rFonts w:ascii="Sylfaen" w:hAnsi="Sylfaen"/>
          <w:b/>
          <w:sz w:val="24"/>
          <w:szCs w:val="24"/>
          <w:lang w:val="ka-GE"/>
        </w:rPr>
      </w:pPr>
    </w:p>
    <w:p w14:paraId="2AAC91D5" w14:textId="77777777" w:rsidR="008B1423" w:rsidRPr="00BE4F57" w:rsidRDefault="008B1423" w:rsidP="00A14CA6">
      <w:pPr>
        <w:spacing w:after="0" w:line="240" w:lineRule="auto"/>
        <w:jc w:val="both"/>
        <w:rPr>
          <w:rFonts w:ascii="Sylfaen" w:hAnsi="Sylfaen"/>
          <w:b/>
          <w:sz w:val="24"/>
          <w:szCs w:val="24"/>
          <w:lang w:val="ka-GE"/>
        </w:rPr>
      </w:pPr>
    </w:p>
    <w:p w14:paraId="3963533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მონოთერაპია ოლანზაპინით მოზარდებში</w:t>
      </w:r>
    </w:p>
    <w:p w14:paraId="327BA10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მოზარდებში, მათ შორის შიზოფრენიით (6 კვირა) ან ბიპოლარული I აშლილობით (მანიაკალური ან შერეული ეპიზოდები) (3 კვირა) დაავადებულებში, ჩატარებული ოლანზაპინის მონოთერაპიის 3 პლაცებო-კონტროლირებადი კვლევის ანალიზში, ოლანზაპინით ნამკურნალებ მოზარდებში საწყისთან შედარებით გაიზარდა საერთო ქოლესტერინის, დსლ ქოლესტერინის, და ტრიგლიცერიდების საშუალო მაჩვენებელი უზმოზე 12.9 მგ/დლ, 6.5 მგ/დლ და 28.4 მგ/დლ–ით, შესაბამისად, პლაცებოს მიმღებ მოზარდებში საერთო ქოლესტერინის და დსლ ქოლესტერინის საშუალო მაჩვენებლის საწყისთან შედარებით 1.3 მგ/დლ და 1.0 მგ/დლ–ით  ზრდასთან და ტრიგლიცერიდების 1.1 მგ/დლ–ით შემცირებასთან შედარებით. მსლ ქოლესტერინის უზმოზე შემთხვევაში, ოლანზაპინით ნამკურნალებ და პლაცებოს მიმღებ მოზარდებს შორის კლინიკურად მნიშვნელოვანი განსხვავებები არ დაფიქსირებულა. </w:t>
      </w:r>
    </w:p>
    <w:p w14:paraId="4BDE903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გრძელვადიან კვლევებში (მინიმუმ 24 კვირა), მოზარდებში აღინიშნა უზმოზე საერთო ქოლესტერინის, დსლ ქოლესტერინის და ტრიგლიცერიდების საშუალო დონის ზრდა საწყის დონესთან შედარებით შესაბამისად 5.5 მგ/დლ, 5.4 მგ/დლ და 20.5 მგ/დლ–ით, ხოლო უზმოზე მსლ ქოლესტერინის საშუალო მაჩვენებლის 4.5 მგ/დლ-ით შემცირება. ცხრილი 10 ასახავს მოზარდებში უზმოზე ლიპიდების მნიშვნელობების კატეგორიულ ცვლილებებს.</w:t>
      </w:r>
    </w:p>
    <w:p w14:paraId="344F9108" w14:textId="77777777" w:rsidR="008B1423" w:rsidRPr="00BE4F57" w:rsidRDefault="008B1423" w:rsidP="00A14CA6">
      <w:pPr>
        <w:spacing w:after="0" w:line="240" w:lineRule="auto"/>
        <w:jc w:val="both"/>
        <w:rPr>
          <w:rFonts w:ascii="Sylfaen" w:hAnsi="Sylfaen"/>
          <w:b/>
          <w:sz w:val="24"/>
          <w:szCs w:val="24"/>
          <w:lang w:val="ka-GE"/>
        </w:rPr>
      </w:pPr>
    </w:p>
    <w:p w14:paraId="6B7BADD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10: უზმოზე ლიპიდების მნიშვნელობების ცვლილებები მოზარდებში ოლანზაპინით მონოთერაპიის კვლევებში</w:t>
      </w:r>
    </w:p>
    <w:p w14:paraId="02C89AA0" w14:textId="77777777" w:rsidR="008B1423" w:rsidRPr="00BE4F57" w:rsidRDefault="008B1423" w:rsidP="00A14CA6">
      <w:pPr>
        <w:spacing w:after="0" w:line="240" w:lineRule="auto"/>
        <w:jc w:val="both"/>
        <w:rPr>
          <w:rFonts w:ascii="Sylfaen" w:hAnsi="Sylfaen"/>
          <w:b/>
          <w:sz w:val="24"/>
          <w:szCs w:val="24"/>
          <w:lang w:val="ka-GE"/>
        </w:rPr>
      </w:pPr>
    </w:p>
    <w:tbl>
      <w:tblPr>
        <w:tblW w:w="9539" w:type="dxa"/>
        <w:tblInd w:w="108" w:type="dxa"/>
        <w:tblLayout w:type="fixed"/>
        <w:tblCellMar>
          <w:left w:w="0" w:type="dxa"/>
          <w:right w:w="0" w:type="dxa"/>
        </w:tblCellMar>
        <w:tblLook w:val="01E0" w:firstRow="1" w:lastRow="1" w:firstColumn="1" w:lastColumn="1" w:noHBand="0" w:noVBand="0"/>
      </w:tblPr>
      <w:tblGrid>
        <w:gridCol w:w="1318"/>
        <w:gridCol w:w="2835"/>
        <w:gridCol w:w="56"/>
        <w:gridCol w:w="1279"/>
        <w:gridCol w:w="823"/>
        <w:gridCol w:w="1244"/>
        <w:gridCol w:w="850"/>
        <w:gridCol w:w="1134"/>
      </w:tblGrid>
      <w:tr w:rsidR="008B1423" w:rsidRPr="00BE4F57" w14:paraId="5A857404" w14:textId="77777777" w:rsidTr="00720E20">
        <w:trPr>
          <w:trHeight w:hRule="exact" w:val="871"/>
        </w:trPr>
        <w:tc>
          <w:tcPr>
            <w:tcW w:w="1318" w:type="dxa"/>
            <w:vMerge w:val="restart"/>
            <w:tcBorders>
              <w:top w:val="single" w:sz="6" w:space="0" w:color="000000"/>
              <w:left w:val="single" w:sz="6" w:space="0" w:color="000000"/>
              <w:right w:val="single" w:sz="6" w:space="0" w:color="000000"/>
            </w:tcBorders>
          </w:tcPr>
          <w:p w14:paraId="64E0A24C" w14:textId="77777777" w:rsidR="008B1423" w:rsidRPr="00BE4F57" w:rsidRDefault="008B1423" w:rsidP="00A14CA6">
            <w:pPr>
              <w:pStyle w:val="TableParagraph"/>
              <w:autoSpaceDE/>
              <w:autoSpaceDN/>
              <w:rPr>
                <w:rFonts w:ascii="Sylfaen" w:hAnsi="Sylfaen"/>
                <w:b/>
                <w:bCs/>
                <w:sz w:val="24"/>
                <w:szCs w:val="24"/>
                <w:lang w:val="ka-GE"/>
              </w:rPr>
            </w:pPr>
            <w:r w:rsidRPr="00BE4F57">
              <w:rPr>
                <w:rFonts w:ascii="Sylfaen" w:hAnsi="Sylfaen"/>
                <w:b/>
                <w:bCs/>
                <w:sz w:val="24"/>
                <w:szCs w:val="24"/>
                <w:lang w:val="ka-GE"/>
              </w:rPr>
              <w:t>ლაბორატო</w:t>
            </w:r>
          </w:p>
          <w:p w14:paraId="18BF23F7" w14:textId="77777777" w:rsidR="008B1423" w:rsidRPr="00BE4F57" w:rsidRDefault="008B1423" w:rsidP="00A14CA6">
            <w:pPr>
              <w:spacing w:after="0" w:line="240" w:lineRule="auto"/>
              <w:rPr>
                <w:rFonts w:ascii="Sylfaen" w:hAnsi="Sylfaen"/>
                <w:sz w:val="24"/>
                <w:szCs w:val="24"/>
              </w:rPr>
            </w:pPr>
            <w:r w:rsidRPr="00BE4F57">
              <w:rPr>
                <w:rFonts w:ascii="Sylfaen" w:hAnsi="Sylfaen"/>
                <w:b/>
                <w:bCs/>
                <w:sz w:val="24"/>
                <w:szCs w:val="24"/>
                <w:lang w:val="ka-GE"/>
              </w:rPr>
              <w:t>რიული ანალიტი</w:t>
            </w:r>
          </w:p>
        </w:tc>
        <w:tc>
          <w:tcPr>
            <w:tcW w:w="2891" w:type="dxa"/>
            <w:gridSpan w:val="2"/>
            <w:vMerge w:val="restart"/>
            <w:tcBorders>
              <w:top w:val="single" w:sz="6" w:space="0" w:color="000000"/>
              <w:left w:val="single" w:sz="6" w:space="0" w:color="000000"/>
              <w:right w:val="single" w:sz="6" w:space="0" w:color="000000"/>
            </w:tcBorders>
          </w:tcPr>
          <w:p w14:paraId="77D389DA"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კატეგორიის</w:t>
            </w:r>
            <w:r w:rsidRPr="00BE4F57">
              <w:rPr>
                <w:rFonts w:ascii="Sylfaen" w:hAnsi="Sylfaen"/>
                <w:b/>
                <w:bCs/>
                <w:sz w:val="24"/>
                <w:szCs w:val="24"/>
              </w:rPr>
              <w:t xml:space="preserve"> </w:t>
            </w:r>
            <w:r w:rsidRPr="00BE4F57">
              <w:rPr>
                <w:rFonts w:ascii="Sylfaen" w:hAnsi="Sylfaen" w:cs="Sylfaen"/>
                <w:b/>
                <w:bCs/>
                <w:sz w:val="24"/>
                <w:szCs w:val="24"/>
              </w:rPr>
              <w:t>ცვლილება</w:t>
            </w:r>
            <w:r w:rsidRPr="00BE4F57">
              <w:rPr>
                <w:rFonts w:ascii="Sylfaen" w:hAnsi="Sylfaen"/>
                <w:b/>
                <w:bCs/>
                <w:sz w:val="24"/>
                <w:szCs w:val="24"/>
              </w:rPr>
              <w:t xml:space="preserve"> </w:t>
            </w:r>
            <w:r w:rsidRPr="00BE4F57">
              <w:rPr>
                <w:rFonts w:ascii="Sylfaen" w:hAnsi="Sylfaen" w:cs="Sylfaen"/>
                <w:b/>
                <w:bCs/>
                <w:sz w:val="24"/>
                <w:szCs w:val="24"/>
              </w:rPr>
              <w:t>სა</w:t>
            </w:r>
            <w:r w:rsidRPr="00BE4F57">
              <w:rPr>
                <w:rFonts w:ascii="Sylfaen" w:hAnsi="Sylfaen" w:cs="Sylfaen"/>
                <w:b/>
                <w:bCs/>
                <w:sz w:val="24"/>
                <w:szCs w:val="24"/>
                <w:lang w:val="ka-GE"/>
              </w:rPr>
              <w:t>წყისი</w:t>
            </w:r>
            <w:r w:rsidRPr="00BE4F57">
              <w:rPr>
                <w:rFonts w:ascii="Sylfaen" w:hAnsi="Sylfaen"/>
                <w:b/>
                <w:bCs/>
                <w:sz w:val="24"/>
                <w:szCs w:val="24"/>
              </w:rPr>
              <w:t xml:space="preserve"> </w:t>
            </w:r>
            <w:r w:rsidRPr="00BE4F57">
              <w:rPr>
                <w:rFonts w:ascii="Sylfaen" w:hAnsi="Sylfaen" w:cs="Sylfaen"/>
                <w:b/>
                <w:bCs/>
                <w:sz w:val="24"/>
                <w:szCs w:val="24"/>
              </w:rPr>
              <w:t>მნიშვნელობიდან</w:t>
            </w:r>
            <w:r w:rsidRPr="00BE4F57">
              <w:rPr>
                <w:rFonts w:ascii="Sylfaen" w:hAnsi="Sylfaen"/>
                <w:b/>
                <w:bCs/>
                <w:sz w:val="24"/>
                <w:szCs w:val="24"/>
              </w:rPr>
              <w:t xml:space="preserve"> (</w:t>
            </w:r>
            <w:r w:rsidRPr="00BE4F57">
              <w:rPr>
                <w:rFonts w:ascii="Sylfaen" w:hAnsi="Sylfaen"/>
                <w:b/>
                <w:bCs/>
                <w:sz w:val="24"/>
                <w:szCs w:val="24"/>
                <w:lang w:val="ka-GE"/>
              </w:rPr>
              <w:t xml:space="preserve">მინიმუმ </w:t>
            </w:r>
            <w:r w:rsidRPr="00BE4F57">
              <w:rPr>
                <w:rFonts w:ascii="Sylfaen" w:hAnsi="Sylfaen" w:cs="Sylfaen"/>
                <w:b/>
                <w:bCs/>
                <w:sz w:val="24"/>
                <w:szCs w:val="24"/>
              </w:rPr>
              <w:t>ერთხელ</w:t>
            </w:r>
            <w:r w:rsidRPr="00BE4F57">
              <w:rPr>
                <w:rFonts w:ascii="Sylfaen" w:hAnsi="Sylfaen"/>
                <w:b/>
                <w:bCs/>
                <w:sz w:val="24"/>
                <w:szCs w:val="24"/>
              </w:rPr>
              <w:t>)</w:t>
            </w:r>
          </w:p>
        </w:tc>
        <w:tc>
          <w:tcPr>
            <w:tcW w:w="1279" w:type="dxa"/>
            <w:vMerge w:val="restart"/>
            <w:tcBorders>
              <w:top w:val="single" w:sz="6" w:space="0" w:color="000000"/>
              <w:left w:val="single" w:sz="6" w:space="0" w:color="000000"/>
              <w:right w:val="single" w:sz="6" w:space="0" w:color="000000"/>
            </w:tcBorders>
          </w:tcPr>
          <w:p w14:paraId="095C6935"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b/>
                <w:bCs/>
                <w:sz w:val="24"/>
                <w:szCs w:val="24"/>
              </w:rPr>
              <w:t>მკურნალობის</w:t>
            </w:r>
            <w:r w:rsidRPr="00BE4F57">
              <w:rPr>
                <w:rFonts w:ascii="Sylfaen" w:hAnsi="Sylfaen"/>
                <w:b/>
                <w:bCs/>
                <w:sz w:val="24"/>
                <w:szCs w:val="24"/>
              </w:rPr>
              <w:t xml:space="preserve"> </w:t>
            </w:r>
            <w:r w:rsidRPr="00BE4F57">
              <w:rPr>
                <w:rFonts w:ascii="Sylfaen" w:hAnsi="Sylfaen" w:cs="Sylfaen"/>
                <w:b/>
                <w:bCs/>
                <w:sz w:val="24"/>
                <w:szCs w:val="24"/>
              </w:rPr>
              <w:t>ჯგუფი</w:t>
            </w:r>
          </w:p>
        </w:tc>
        <w:tc>
          <w:tcPr>
            <w:tcW w:w="2067" w:type="dxa"/>
            <w:gridSpan w:val="2"/>
            <w:tcBorders>
              <w:top w:val="single" w:sz="6" w:space="0" w:color="000000"/>
              <w:left w:val="single" w:sz="6" w:space="0" w:color="000000"/>
              <w:bottom w:val="single" w:sz="6" w:space="0" w:color="000000"/>
              <w:right w:val="single" w:sz="6" w:space="0" w:color="000000"/>
            </w:tcBorders>
          </w:tcPr>
          <w:p w14:paraId="393CD738" w14:textId="77777777" w:rsidR="008B1423" w:rsidRPr="00BE4F57" w:rsidRDefault="008B1423" w:rsidP="00A14CA6">
            <w:pPr>
              <w:spacing w:after="0" w:line="240" w:lineRule="auto"/>
              <w:jc w:val="center"/>
              <w:rPr>
                <w:rFonts w:ascii="Sylfaen" w:hAnsi="Sylfaen"/>
                <w:b/>
                <w:sz w:val="24"/>
                <w:szCs w:val="24"/>
                <w:lang w:val="ka-GE"/>
              </w:rPr>
            </w:pPr>
            <w:r w:rsidRPr="00BE4F57">
              <w:rPr>
                <w:rFonts w:ascii="Sylfaen" w:hAnsi="Sylfaen" w:cs="Sylfaen"/>
                <w:b/>
                <w:sz w:val="24"/>
                <w:szCs w:val="24"/>
              </w:rPr>
              <w:t>ექსპოზიცია</w:t>
            </w:r>
            <w:r w:rsidRPr="00BE4F57">
              <w:rPr>
                <w:rFonts w:ascii="Sylfaen" w:hAnsi="Sylfaen"/>
                <w:b/>
                <w:sz w:val="24"/>
                <w:szCs w:val="24"/>
              </w:rPr>
              <w:t xml:space="preserve"> </w:t>
            </w:r>
            <w:r w:rsidRPr="00BE4F57">
              <w:rPr>
                <w:rFonts w:ascii="Sylfaen" w:hAnsi="Sylfaen"/>
                <w:b/>
                <w:sz w:val="24"/>
                <w:szCs w:val="24"/>
                <w:lang w:val="ka-GE"/>
              </w:rPr>
              <w:t>6</w:t>
            </w:r>
            <w:r w:rsidRPr="00BE4F57">
              <w:rPr>
                <w:rFonts w:ascii="Sylfaen" w:hAnsi="Sylfaen"/>
                <w:b/>
                <w:sz w:val="24"/>
                <w:szCs w:val="24"/>
              </w:rPr>
              <w:t xml:space="preserve"> </w:t>
            </w:r>
            <w:r w:rsidRPr="00BE4F57">
              <w:rPr>
                <w:rFonts w:ascii="Sylfaen" w:hAnsi="Sylfaen" w:cs="Sylfaen"/>
                <w:b/>
                <w:sz w:val="24"/>
                <w:szCs w:val="24"/>
              </w:rPr>
              <w:t>კვირამდე</w:t>
            </w:r>
          </w:p>
        </w:tc>
        <w:tc>
          <w:tcPr>
            <w:tcW w:w="1984" w:type="dxa"/>
            <w:gridSpan w:val="2"/>
            <w:tcBorders>
              <w:top w:val="single" w:sz="6" w:space="0" w:color="000000"/>
              <w:left w:val="single" w:sz="6" w:space="0" w:color="000000"/>
              <w:bottom w:val="single" w:sz="6" w:space="0" w:color="000000"/>
              <w:right w:val="single" w:sz="6" w:space="0" w:color="000000"/>
            </w:tcBorders>
          </w:tcPr>
          <w:p w14:paraId="6E194553" w14:textId="77777777" w:rsidR="008B1423" w:rsidRPr="00BE4F57" w:rsidRDefault="008B1423" w:rsidP="00A14CA6">
            <w:pPr>
              <w:spacing w:after="0" w:line="240" w:lineRule="auto"/>
              <w:jc w:val="center"/>
              <w:rPr>
                <w:rFonts w:ascii="Sylfaen" w:hAnsi="Sylfaen"/>
                <w:b/>
                <w:sz w:val="24"/>
                <w:szCs w:val="24"/>
              </w:rPr>
            </w:pPr>
            <w:r w:rsidRPr="00BE4F57">
              <w:rPr>
                <w:rFonts w:ascii="Sylfaen" w:hAnsi="Sylfaen" w:cs="Sylfaen"/>
                <w:b/>
                <w:sz w:val="24"/>
                <w:szCs w:val="24"/>
              </w:rPr>
              <w:t>ექსპოზიცია</w:t>
            </w:r>
            <w:r w:rsidRPr="00BE4F57">
              <w:rPr>
                <w:rFonts w:ascii="Sylfaen" w:hAnsi="Sylfaen" w:cs="Sylfaen"/>
                <w:b/>
                <w:sz w:val="24"/>
                <w:szCs w:val="24"/>
                <w:lang w:val="ka-GE"/>
              </w:rPr>
              <w:t xml:space="preserve"> მინიმუმ</w:t>
            </w:r>
            <w:r w:rsidRPr="00BE4F57">
              <w:rPr>
                <w:rFonts w:ascii="Sylfaen" w:hAnsi="Sylfaen"/>
                <w:b/>
                <w:sz w:val="24"/>
                <w:szCs w:val="24"/>
              </w:rPr>
              <w:t xml:space="preserve"> </w:t>
            </w:r>
            <w:r w:rsidRPr="00BE4F57">
              <w:rPr>
                <w:rFonts w:ascii="Sylfaen" w:hAnsi="Sylfaen"/>
                <w:b/>
                <w:sz w:val="24"/>
                <w:szCs w:val="24"/>
                <w:lang w:val="ka-GE"/>
              </w:rPr>
              <w:t>24</w:t>
            </w:r>
            <w:r w:rsidRPr="00BE4F57">
              <w:rPr>
                <w:rFonts w:ascii="Sylfaen" w:hAnsi="Sylfaen"/>
                <w:b/>
                <w:sz w:val="24"/>
                <w:szCs w:val="24"/>
              </w:rPr>
              <w:t xml:space="preserve"> </w:t>
            </w:r>
            <w:r w:rsidRPr="00BE4F57">
              <w:rPr>
                <w:rFonts w:ascii="Sylfaen" w:hAnsi="Sylfaen" w:cs="Sylfaen"/>
                <w:b/>
                <w:sz w:val="24"/>
                <w:szCs w:val="24"/>
              </w:rPr>
              <w:t>კვირ</w:t>
            </w:r>
            <w:r w:rsidRPr="00BE4F57">
              <w:rPr>
                <w:rFonts w:ascii="Sylfaen" w:hAnsi="Sylfaen" w:cs="Sylfaen"/>
                <w:b/>
                <w:sz w:val="24"/>
                <w:szCs w:val="24"/>
                <w:lang w:val="ka-GE"/>
              </w:rPr>
              <w:t>ის განმავლობაში</w:t>
            </w:r>
          </w:p>
        </w:tc>
      </w:tr>
      <w:tr w:rsidR="008B1423" w:rsidRPr="00BE4F57" w14:paraId="5FDF2BB6" w14:textId="77777777" w:rsidTr="00720E20">
        <w:trPr>
          <w:trHeight w:hRule="exact" w:val="572"/>
        </w:trPr>
        <w:tc>
          <w:tcPr>
            <w:tcW w:w="1318" w:type="dxa"/>
            <w:vMerge/>
            <w:tcBorders>
              <w:left w:val="single" w:sz="6" w:space="0" w:color="000000"/>
              <w:bottom w:val="single" w:sz="6" w:space="0" w:color="000000"/>
              <w:right w:val="single" w:sz="6" w:space="0" w:color="000000"/>
            </w:tcBorders>
          </w:tcPr>
          <w:p w14:paraId="4CC0A8D3" w14:textId="77777777" w:rsidR="008B1423" w:rsidRPr="00BE4F57" w:rsidRDefault="008B1423" w:rsidP="00A14CA6">
            <w:pPr>
              <w:pStyle w:val="TableParagraph"/>
              <w:autoSpaceDE/>
              <w:autoSpaceDN/>
              <w:rPr>
                <w:rFonts w:ascii="Sylfaen" w:hAnsi="Sylfaen"/>
                <w:b/>
                <w:sz w:val="24"/>
                <w:szCs w:val="24"/>
                <w:lang w:val="ka-GE"/>
              </w:rPr>
            </w:pPr>
          </w:p>
        </w:tc>
        <w:tc>
          <w:tcPr>
            <w:tcW w:w="2891" w:type="dxa"/>
            <w:gridSpan w:val="2"/>
            <w:vMerge/>
            <w:tcBorders>
              <w:left w:val="single" w:sz="6" w:space="0" w:color="000000"/>
              <w:bottom w:val="single" w:sz="6" w:space="0" w:color="000000"/>
              <w:right w:val="single" w:sz="6" w:space="0" w:color="000000"/>
            </w:tcBorders>
          </w:tcPr>
          <w:p w14:paraId="16198BA9" w14:textId="77777777" w:rsidR="008B1423" w:rsidRPr="00BE4F57" w:rsidRDefault="008B1423" w:rsidP="00A14CA6">
            <w:pPr>
              <w:pStyle w:val="TableParagraph"/>
              <w:autoSpaceDE/>
              <w:autoSpaceDN/>
              <w:rPr>
                <w:rFonts w:ascii="Sylfaen" w:hAnsi="Sylfaen"/>
                <w:b/>
                <w:sz w:val="24"/>
                <w:szCs w:val="24"/>
              </w:rPr>
            </w:pPr>
          </w:p>
        </w:tc>
        <w:tc>
          <w:tcPr>
            <w:tcW w:w="1279" w:type="dxa"/>
            <w:vMerge/>
            <w:tcBorders>
              <w:left w:val="single" w:sz="6" w:space="0" w:color="000000"/>
              <w:bottom w:val="single" w:sz="6" w:space="0" w:color="000000"/>
              <w:right w:val="single" w:sz="6" w:space="0" w:color="000000"/>
            </w:tcBorders>
          </w:tcPr>
          <w:p w14:paraId="6D0F802C" w14:textId="77777777" w:rsidR="008B1423" w:rsidRPr="00BE4F57" w:rsidRDefault="008B1423" w:rsidP="00A14CA6">
            <w:pPr>
              <w:pStyle w:val="TableParagraph"/>
              <w:autoSpaceDE/>
              <w:autoSpaceDN/>
              <w:rPr>
                <w:rFonts w:ascii="Sylfaen" w:hAnsi="Sylfaen"/>
                <w:b/>
                <w:sz w:val="24"/>
                <w:szCs w:val="24"/>
              </w:rPr>
            </w:pPr>
          </w:p>
        </w:tc>
        <w:tc>
          <w:tcPr>
            <w:tcW w:w="823" w:type="dxa"/>
            <w:tcBorders>
              <w:top w:val="single" w:sz="6" w:space="0" w:color="000000"/>
              <w:left w:val="single" w:sz="6" w:space="0" w:color="000000"/>
              <w:bottom w:val="single" w:sz="6" w:space="0" w:color="000000"/>
              <w:right w:val="single" w:sz="6" w:space="0" w:color="000000"/>
            </w:tcBorders>
          </w:tcPr>
          <w:p w14:paraId="06B51784"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244" w:type="dxa"/>
            <w:tcBorders>
              <w:top w:val="single" w:sz="6" w:space="0" w:color="000000"/>
              <w:left w:val="single" w:sz="6" w:space="0" w:color="000000"/>
              <w:bottom w:val="single" w:sz="6" w:space="0" w:color="000000"/>
              <w:right w:val="single" w:sz="6" w:space="0" w:color="000000"/>
            </w:tcBorders>
          </w:tcPr>
          <w:p w14:paraId="6C53DC6C" w14:textId="77777777" w:rsidR="008B1423" w:rsidRPr="00BE4F57" w:rsidRDefault="008B1423" w:rsidP="00A14CA6">
            <w:pPr>
              <w:pStyle w:val="TableParagraph"/>
              <w:autoSpaceDE/>
              <w:autoSpaceDN/>
              <w:jc w:val="center"/>
              <w:rPr>
                <w:rFonts w:ascii="Sylfaen" w:hAnsi="Sylfaen"/>
                <w:b/>
                <w:sz w:val="24"/>
                <w:szCs w:val="24"/>
                <w:lang w:val="ka-GE"/>
              </w:rPr>
            </w:pPr>
            <w:r w:rsidRPr="00BE4F57">
              <w:rPr>
                <w:rFonts w:ascii="Sylfaen" w:hAnsi="Sylfaen"/>
                <w:b/>
                <w:bCs/>
                <w:sz w:val="24"/>
                <w:szCs w:val="24"/>
                <w:lang w:val="ka-GE"/>
              </w:rPr>
              <w:t>პაციენტე ბი</w:t>
            </w:r>
          </w:p>
        </w:tc>
        <w:tc>
          <w:tcPr>
            <w:tcW w:w="850" w:type="dxa"/>
            <w:tcBorders>
              <w:top w:val="single" w:sz="6" w:space="0" w:color="000000"/>
              <w:left w:val="single" w:sz="6" w:space="0" w:color="000000"/>
              <w:bottom w:val="single" w:sz="6" w:space="0" w:color="000000"/>
              <w:right w:val="single" w:sz="6" w:space="0" w:color="000000"/>
            </w:tcBorders>
          </w:tcPr>
          <w:p w14:paraId="683C0149"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rPr>
              <w:t>N</w:t>
            </w:r>
          </w:p>
        </w:tc>
        <w:tc>
          <w:tcPr>
            <w:tcW w:w="1134" w:type="dxa"/>
            <w:tcBorders>
              <w:top w:val="single" w:sz="6" w:space="0" w:color="000000"/>
              <w:left w:val="single" w:sz="6" w:space="0" w:color="000000"/>
              <w:bottom w:val="single" w:sz="6" w:space="0" w:color="000000"/>
              <w:right w:val="single" w:sz="6" w:space="0" w:color="000000"/>
            </w:tcBorders>
          </w:tcPr>
          <w:p w14:paraId="610A36A4" w14:textId="77777777" w:rsidR="008B1423" w:rsidRPr="00BE4F57" w:rsidRDefault="008B1423" w:rsidP="00A14CA6">
            <w:pPr>
              <w:pStyle w:val="TableParagraph"/>
              <w:autoSpaceDE/>
              <w:autoSpaceDN/>
              <w:jc w:val="center"/>
              <w:rPr>
                <w:rFonts w:ascii="Sylfaen" w:hAnsi="Sylfaen"/>
                <w:b/>
                <w:sz w:val="24"/>
                <w:szCs w:val="24"/>
              </w:rPr>
            </w:pPr>
            <w:r w:rsidRPr="00BE4F57">
              <w:rPr>
                <w:rFonts w:ascii="Sylfaen" w:hAnsi="Sylfaen"/>
                <w:b/>
                <w:bCs/>
                <w:sz w:val="24"/>
                <w:szCs w:val="24"/>
                <w:lang w:val="ka-GE"/>
              </w:rPr>
              <w:t>პაციენტე ბი</w:t>
            </w:r>
          </w:p>
        </w:tc>
      </w:tr>
      <w:tr w:rsidR="008B1423" w:rsidRPr="00BE4F57" w14:paraId="0BC3C9C4" w14:textId="77777777" w:rsidTr="00720E20">
        <w:trPr>
          <w:trHeight w:val="252"/>
        </w:trPr>
        <w:tc>
          <w:tcPr>
            <w:tcW w:w="9539" w:type="dxa"/>
            <w:gridSpan w:val="8"/>
            <w:tcBorders>
              <w:left w:val="single" w:sz="6" w:space="0" w:color="000000"/>
              <w:right w:val="single" w:sz="6" w:space="0" w:color="000000"/>
            </w:tcBorders>
          </w:tcPr>
          <w:p w14:paraId="0F9CC1CF" w14:textId="77777777" w:rsidR="008B1423" w:rsidRPr="00BE4F57" w:rsidRDefault="008B1423" w:rsidP="00A14CA6">
            <w:pPr>
              <w:pStyle w:val="TableParagraph"/>
              <w:autoSpaceDE/>
              <w:autoSpaceDN/>
              <w:jc w:val="center"/>
              <w:rPr>
                <w:rFonts w:ascii="Sylfaen" w:hAnsi="Sylfaen"/>
                <w:b/>
                <w:bCs/>
                <w:sz w:val="24"/>
                <w:szCs w:val="24"/>
                <w:lang w:val="ka-GE"/>
              </w:rPr>
            </w:pPr>
          </w:p>
        </w:tc>
      </w:tr>
      <w:tr w:rsidR="008B1423" w:rsidRPr="00BE4F57" w14:paraId="55D0F7D1" w14:textId="77777777" w:rsidTr="008E23E7">
        <w:trPr>
          <w:trHeight w:hRule="exact" w:val="258"/>
        </w:trPr>
        <w:tc>
          <w:tcPr>
            <w:tcW w:w="1318" w:type="dxa"/>
            <w:vMerge w:val="restart"/>
            <w:tcBorders>
              <w:top w:val="single" w:sz="6" w:space="0" w:color="000000"/>
              <w:left w:val="single" w:sz="6" w:space="0" w:color="000000"/>
              <w:bottom w:val="single" w:sz="4" w:space="0" w:color="auto"/>
              <w:right w:val="single" w:sz="6" w:space="0" w:color="000000"/>
            </w:tcBorders>
            <w:vAlign w:val="center"/>
          </w:tcPr>
          <w:p w14:paraId="71201414" w14:textId="77777777" w:rsidR="008B1423" w:rsidRPr="00BE4F57" w:rsidRDefault="008B1423" w:rsidP="00A14CA6">
            <w:pPr>
              <w:pStyle w:val="TableParagraph"/>
              <w:autoSpaceDE/>
              <w:autoSpaceDN/>
              <w:jc w:val="center"/>
              <w:rPr>
                <w:rFonts w:ascii="Sylfaen" w:hAnsi="Sylfaen"/>
                <w:sz w:val="24"/>
                <w:szCs w:val="24"/>
              </w:rPr>
            </w:pPr>
          </w:p>
          <w:p w14:paraId="76AF4616" w14:textId="77777777" w:rsidR="008B1423" w:rsidRPr="00BE4F57" w:rsidRDefault="008B1423" w:rsidP="00A14CA6">
            <w:pPr>
              <w:pStyle w:val="TableParagraph"/>
              <w:autoSpaceDE/>
              <w:autoSpaceDN/>
              <w:jc w:val="center"/>
              <w:rPr>
                <w:rFonts w:ascii="Sylfaen" w:hAnsi="Sylfaen"/>
                <w:sz w:val="24"/>
                <w:szCs w:val="24"/>
              </w:rPr>
            </w:pPr>
          </w:p>
          <w:p w14:paraId="3D20BFE4" w14:textId="77777777" w:rsidR="008B1423" w:rsidRPr="00BE4F57" w:rsidRDefault="008B1423" w:rsidP="00A14CA6">
            <w:pPr>
              <w:pStyle w:val="TableParagraph"/>
              <w:autoSpaceDE/>
              <w:autoSpaceDN/>
              <w:jc w:val="center"/>
              <w:rPr>
                <w:rFonts w:ascii="Sylfaen" w:hAnsi="Sylfaen"/>
                <w:sz w:val="24"/>
                <w:szCs w:val="24"/>
                <w:lang w:val="ka-GE"/>
              </w:rPr>
            </w:pPr>
            <w:r w:rsidRPr="00BE4F57">
              <w:rPr>
                <w:rFonts w:ascii="Sylfaen" w:hAnsi="Sylfaen"/>
                <w:sz w:val="24"/>
                <w:szCs w:val="24"/>
                <w:lang w:val="ka-GE"/>
              </w:rPr>
              <w:t>ტრიგლიცერიდები უზმოზე</w:t>
            </w:r>
          </w:p>
        </w:tc>
        <w:tc>
          <w:tcPr>
            <w:tcW w:w="2835" w:type="dxa"/>
            <w:vMerge w:val="restart"/>
            <w:tcBorders>
              <w:top w:val="single" w:sz="6" w:space="0" w:color="000000"/>
              <w:left w:val="single" w:sz="6" w:space="0" w:color="000000"/>
              <w:bottom w:val="single" w:sz="4" w:space="0" w:color="auto"/>
              <w:right w:val="single" w:sz="6" w:space="0" w:color="000000"/>
            </w:tcBorders>
          </w:tcPr>
          <w:p w14:paraId="2C6E581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≥50 მგ/დლ ზრდა</w:t>
            </w:r>
          </w:p>
        </w:tc>
        <w:tc>
          <w:tcPr>
            <w:tcW w:w="1335" w:type="dxa"/>
            <w:gridSpan w:val="2"/>
            <w:tcBorders>
              <w:top w:val="single" w:sz="6" w:space="0" w:color="000000"/>
              <w:left w:val="single" w:sz="6" w:space="0" w:color="000000"/>
              <w:bottom w:val="single" w:sz="6" w:space="0" w:color="000000"/>
              <w:right w:val="single" w:sz="6" w:space="0" w:color="000000"/>
            </w:tcBorders>
          </w:tcPr>
          <w:p w14:paraId="2035F7B2"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516C27E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138</w:t>
            </w:r>
          </w:p>
        </w:tc>
        <w:tc>
          <w:tcPr>
            <w:tcW w:w="1244" w:type="dxa"/>
            <w:tcBorders>
              <w:top w:val="single" w:sz="6" w:space="0" w:color="000000"/>
              <w:left w:val="single" w:sz="6" w:space="0" w:color="000000"/>
              <w:bottom w:val="single" w:sz="6" w:space="0" w:color="000000"/>
              <w:right w:val="single" w:sz="6" w:space="0" w:color="000000"/>
            </w:tcBorders>
          </w:tcPr>
          <w:p w14:paraId="3D42AFC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37.0%</w:t>
            </w:r>
          </w:p>
        </w:tc>
        <w:tc>
          <w:tcPr>
            <w:tcW w:w="850" w:type="dxa"/>
            <w:tcBorders>
              <w:top w:val="single" w:sz="6" w:space="0" w:color="000000"/>
              <w:left w:val="single" w:sz="6" w:space="0" w:color="000000"/>
              <w:bottom w:val="single" w:sz="6" w:space="0" w:color="000000"/>
              <w:right w:val="single" w:sz="6" w:space="0" w:color="000000"/>
            </w:tcBorders>
          </w:tcPr>
          <w:p w14:paraId="425DC18D"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122</w:t>
            </w:r>
          </w:p>
        </w:tc>
        <w:tc>
          <w:tcPr>
            <w:tcW w:w="1134" w:type="dxa"/>
            <w:tcBorders>
              <w:top w:val="single" w:sz="6" w:space="0" w:color="000000"/>
              <w:left w:val="single" w:sz="6" w:space="0" w:color="000000"/>
              <w:bottom w:val="single" w:sz="6" w:space="0" w:color="000000"/>
              <w:right w:val="single" w:sz="6" w:space="0" w:color="000000"/>
            </w:tcBorders>
          </w:tcPr>
          <w:p w14:paraId="21D725C7"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45.9%</w:t>
            </w:r>
          </w:p>
        </w:tc>
      </w:tr>
      <w:tr w:rsidR="008B1423" w:rsidRPr="00BE4F57" w14:paraId="3E824E19" w14:textId="77777777" w:rsidTr="008E23E7">
        <w:trPr>
          <w:trHeight w:hRule="exact" w:val="292"/>
        </w:trPr>
        <w:tc>
          <w:tcPr>
            <w:tcW w:w="1318" w:type="dxa"/>
            <w:vMerge/>
            <w:tcBorders>
              <w:left w:val="single" w:sz="6" w:space="0" w:color="000000"/>
              <w:bottom w:val="single" w:sz="4" w:space="0" w:color="auto"/>
              <w:right w:val="single" w:sz="6" w:space="0" w:color="000000"/>
            </w:tcBorders>
            <w:vAlign w:val="center"/>
          </w:tcPr>
          <w:p w14:paraId="4CBFF36D"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7AEA8904"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1297584A"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5322CFD8"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66</w:t>
            </w:r>
          </w:p>
        </w:tc>
        <w:tc>
          <w:tcPr>
            <w:tcW w:w="1244" w:type="dxa"/>
            <w:tcBorders>
              <w:top w:val="single" w:sz="6" w:space="0" w:color="000000"/>
              <w:left w:val="single" w:sz="6" w:space="0" w:color="000000"/>
              <w:bottom w:val="single" w:sz="6" w:space="0" w:color="000000"/>
              <w:right w:val="single" w:sz="6" w:space="0" w:color="000000"/>
            </w:tcBorders>
          </w:tcPr>
          <w:p w14:paraId="798C7DD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15.2%</w:t>
            </w:r>
          </w:p>
        </w:tc>
        <w:tc>
          <w:tcPr>
            <w:tcW w:w="850" w:type="dxa"/>
            <w:tcBorders>
              <w:top w:val="single" w:sz="6" w:space="0" w:color="000000"/>
              <w:left w:val="single" w:sz="6" w:space="0" w:color="000000"/>
              <w:bottom w:val="single" w:sz="6" w:space="0" w:color="000000"/>
              <w:right w:val="single" w:sz="6" w:space="0" w:color="000000"/>
            </w:tcBorders>
          </w:tcPr>
          <w:p w14:paraId="1DC3876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712F4BF8"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r>
      <w:tr w:rsidR="008B1423" w:rsidRPr="00BE4F57" w14:paraId="0A9944B0" w14:textId="77777777" w:rsidTr="008E23E7">
        <w:trPr>
          <w:trHeight w:hRule="exact" w:val="467"/>
        </w:trPr>
        <w:tc>
          <w:tcPr>
            <w:tcW w:w="1318" w:type="dxa"/>
            <w:vMerge/>
            <w:tcBorders>
              <w:left w:val="single" w:sz="6" w:space="0" w:color="000000"/>
              <w:bottom w:val="single" w:sz="4" w:space="0" w:color="auto"/>
              <w:right w:val="single" w:sz="6" w:space="0" w:color="000000"/>
            </w:tcBorders>
            <w:vAlign w:val="center"/>
          </w:tcPr>
          <w:p w14:paraId="27FAE93A" w14:textId="77777777" w:rsidR="008B1423" w:rsidRPr="00BE4F57" w:rsidRDefault="008B1423" w:rsidP="00A14CA6">
            <w:pPr>
              <w:spacing w:after="0" w:line="240" w:lineRule="auto"/>
              <w:jc w:val="center"/>
              <w:rPr>
                <w:rFonts w:ascii="Sylfaen" w:hAnsi="Sylfaen"/>
                <w:sz w:val="24"/>
                <w:szCs w:val="24"/>
              </w:rPr>
            </w:pPr>
          </w:p>
        </w:tc>
        <w:tc>
          <w:tcPr>
            <w:tcW w:w="2835" w:type="dxa"/>
            <w:vMerge w:val="restart"/>
            <w:tcBorders>
              <w:top w:val="single" w:sz="6" w:space="0" w:color="000000"/>
              <w:left w:val="single" w:sz="6" w:space="0" w:color="000000"/>
              <w:bottom w:val="single" w:sz="4" w:space="0" w:color="auto"/>
              <w:right w:val="single" w:sz="6" w:space="0" w:color="000000"/>
            </w:tcBorders>
          </w:tcPr>
          <w:p w14:paraId="5FD22F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90</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1D6AF07C"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2A9876CD"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67</w:t>
            </w:r>
          </w:p>
        </w:tc>
        <w:tc>
          <w:tcPr>
            <w:tcW w:w="1244" w:type="dxa"/>
            <w:tcBorders>
              <w:top w:val="single" w:sz="6" w:space="0" w:color="000000"/>
              <w:left w:val="single" w:sz="6" w:space="0" w:color="000000"/>
              <w:bottom w:val="single" w:sz="6" w:space="0" w:color="000000"/>
              <w:right w:val="single" w:sz="6" w:space="0" w:color="000000"/>
            </w:tcBorders>
          </w:tcPr>
          <w:p w14:paraId="3612615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26.9%</w:t>
            </w:r>
          </w:p>
        </w:tc>
        <w:tc>
          <w:tcPr>
            <w:tcW w:w="850" w:type="dxa"/>
            <w:tcBorders>
              <w:top w:val="single" w:sz="6" w:space="0" w:color="000000"/>
              <w:left w:val="single" w:sz="6" w:space="0" w:color="000000"/>
              <w:bottom w:val="single" w:sz="6" w:space="0" w:color="000000"/>
              <w:right w:val="single" w:sz="6" w:space="0" w:color="000000"/>
            </w:tcBorders>
          </w:tcPr>
          <w:p w14:paraId="7A2C9899"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66</w:t>
            </w:r>
          </w:p>
        </w:tc>
        <w:tc>
          <w:tcPr>
            <w:tcW w:w="1134" w:type="dxa"/>
            <w:tcBorders>
              <w:top w:val="single" w:sz="6" w:space="0" w:color="000000"/>
              <w:left w:val="single" w:sz="6" w:space="0" w:color="000000"/>
              <w:bottom w:val="single" w:sz="6" w:space="0" w:color="000000"/>
              <w:right w:val="single" w:sz="6" w:space="0" w:color="000000"/>
            </w:tcBorders>
          </w:tcPr>
          <w:p w14:paraId="1BE7118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36.4%</w:t>
            </w:r>
          </w:p>
        </w:tc>
      </w:tr>
      <w:tr w:rsidR="008B1423" w:rsidRPr="00BE4F57" w14:paraId="179DEBDE" w14:textId="77777777" w:rsidTr="008E23E7">
        <w:trPr>
          <w:trHeight w:hRule="exact" w:val="417"/>
        </w:trPr>
        <w:tc>
          <w:tcPr>
            <w:tcW w:w="1318" w:type="dxa"/>
            <w:vMerge/>
            <w:tcBorders>
              <w:left w:val="single" w:sz="6" w:space="0" w:color="000000"/>
              <w:bottom w:val="single" w:sz="4" w:space="0" w:color="auto"/>
              <w:right w:val="single" w:sz="6" w:space="0" w:color="000000"/>
            </w:tcBorders>
            <w:vAlign w:val="center"/>
          </w:tcPr>
          <w:p w14:paraId="34ECCE15"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7BAAD3AB"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6387315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547DD2D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28</w:t>
            </w:r>
          </w:p>
        </w:tc>
        <w:tc>
          <w:tcPr>
            <w:tcW w:w="1244" w:type="dxa"/>
            <w:tcBorders>
              <w:top w:val="single" w:sz="6" w:space="0" w:color="000000"/>
              <w:left w:val="single" w:sz="6" w:space="0" w:color="000000"/>
              <w:bottom w:val="single" w:sz="6" w:space="0" w:color="000000"/>
              <w:right w:val="single" w:sz="6" w:space="0" w:color="000000"/>
            </w:tcBorders>
          </w:tcPr>
          <w:p w14:paraId="7A0F61D1"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10.7%</w:t>
            </w:r>
          </w:p>
        </w:tc>
        <w:tc>
          <w:tcPr>
            <w:tcW w:w="850" w:type="dxa"/>
            <w:tcBorders>
              <w:top w:val="single" w:sz="6" w:space="0" w:color="000000"/>
              <w:left w:val="single" w:sz="6" w:space="0" w:color="000000"/>
              <w:bottom w:val="single" w:sz="6" w:space="0" w:color="000000"/>
              <w:right w:val="single" w:sz="6" w:space="0" w:color="000000"/>
            </w:tcBorders>
          </w:tcPr>
          <w:p w14:paraId="3B288098"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1BDA0FD4"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r>
      <w:tr w:rsidR="008B1423" w:rsidRPr="00BE4F57" w14:paraId="21ACABBC" w14:textId="77777777" w:rsidTr="008E23E7">
        <w:trPr>
          <w:trHeight w:hRule="exact" w:val="580"/>
        </w:trPr>
        <w:tc>
          <w:tcPr>
            <w:tcW w:w="1318" w:type="dxa"/>
            <w:vMerge/>
            <w:tcBorders>
              <w:left w:val="single" w:sz="6" w:space="0" w:color="000000"/>
              <w:bottom w:val="single" w:sz="4" w:space="0" w:color="auto"/>
              <w:right w:val="single" w:sz="6" w:space="0" w:color="000000"/>
            </w:tcBorders>
            <w:vAlign w:val="center"/>
          </w:tcPr>
          <w:p w14:paraId="206E71CD" w14:textId="77777777" w:rsidR="008B1423" w:rsidRPr="00BE4F57" w:rsidRDefault="008B1423" w:rsidP="00A14CA6">
            <w:pPr>
              <w:spacing w:after="0" w:line="240" w:lineRule="auto"/>
              <w:jc w:val="center"/>
              <w:rPr>
                <w:rFonts w:ascii="Sylfaen" w:hAnsi="Sylfaen"/>
                <w:sz w:val="24"/>
                <w:szCs w:val="24"/>
              </w:rPr>
            </w:pPr>
          </w:p>
        </w:tc>
        <w:tc>
          <w:tcPr>
            <w:tcW w:w="2835" w:type="dxa"/>
            <w:vMerge w:val="restart"/>
            <w:tcBorders>
              <w:top w:val="single" w:sz="4" w:space="0" w:color="auto"/>
              <w:left w:val="single" w:sz="6" w:space="0" w:color="000000"/>
              <w:bottom w:val="single" w:sz="4" w:space="0" w:color="auto"/>
              <w:right w:val="single" w:sz="6" w:space="0" w:color="000000"/>
            </w:tcBorders>
          </w:tcPr>
          <w:p w14:paraId="48108A4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9</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w:t>
            </w:r>
            <w:r w:rsidRPr="00BE4F57">
              <w:rPr>
                <w:rFonts w:ascii="Sylfaen" w:hAnsi="Sylfaen"/>
                <w:sz w:val="24"/>
                <w:szCs w:val="24"/>
                <w:lang w:val="ka-GE"/>
              </w:rPr>
              <w:t xml:space="preserve">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&gt;130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3D94D613"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11E5776A"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37</w:t>
            </w:r>
          </w:p>
        </w:tc>
        <w:tc>
          <w:tcPr>
            <w:tcW w:w="1244" w:type="dxa"/>
            <w:tcBorders>
              <w:top w:val="single" w:sz="6" w:space="0" w:color="000000"/>
              <w:left w:val="single" w:sz="6" w:space="0" w:color="000000"/>
              <w:bottom w:val="single" w:sz="6" w:space="0" w:color="000000"/>
              <w:right w:val="single" w:sz="6" w:space="0" w:color="000000"/>
            </w:tcBorders>
          </w:tcPr>
          <w:p w14:paraId="2B22CF3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59.5%</w:t>
            </w:r>
          </w:p>
        </w:tc>
        <w:tc>
          <w:tcPr>
            <w:tcW w:w="850" w:type="dxa"/>
            <w:tcBorders>
              <w:top w:val="single" w:sz="6" w:space="0" w:color="000000"/>
              <w:left w:val="single" w:sz="6" w:space="0" w:color="000000"/>
              <w:bottom w:val="single" w:sz="6" w:space="0" w:color="000000"/>
              <w:right w:val="single" w:sz="6" w:space="0" w:color="000000"/>
            </w:tcBorders>
          </w:tcPr>
          <w:p w14:paraId="71732852"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31</w:t>
            </w:r>
          </w:p>
        </w:tc>
        <w:tc>
          <w:tcPr>
            <w:tcW w:w="1134" w:type="dxa"/>
            <w:tcBorders>
              <w:top w:val="single" w:sz="6" w:space="0" w:color="000000"/>
              <w:left w:val="single" w:sz="6" w:space="0" w:color="000000"/>
              <w:bottom w:val="single" w:sz="6" w:space="0" w:color="000000"/>
              <w:right w:val="single" w:sz="6" w:space="0" w:color="000000"/>
            </w:tcBorders>
          </w:tcPr>
          <w:p w14:paraId="69DEC15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64.5%</w:t>
            </w:r>
          </w:p>
        </w:tc>
      </w:tr>
      <w:tr w:rsidR="008B1423" w:rsidRPr="00BE4F57" w14:paraId="7571EEC0" w14:textId="77777777" w:rsidTr="008E23E7">
        <w:trPr>
          <w:trHeight w:hRule="exact" w:val="843"/>
        </w:trPr>
        <w:tc>
          <w:tcPr>
            <w:tcW w:w="1318" w:type="dxa"/>
            <w:vMerge/>
            <w:tcBorders>
              <w:left w:val="single" w:sz="6" w:space="0" w:color="000000"/>
              <w:bottom w:val="single" w:sz="4" w:space="0" w:color="auto"/>
              <w:right w:val="single" w:sz="6" w:space="0" w:color="000000"/>
            </w:tcBorders>
            <w:vAlign w:val="center"/>
          </w:tcPr>
          <w:p w14:paraId="7844FF72" w14:textId="77777777" w:rsidR="008B1423" w:rsidRPr="00BE4F57" w:rsidRDefault="008B1423" w:rsidP="00A14CA6">
            <w:pPr>
              <w:spacing w:after="0" w:line="240" w:lineRule="auto"/>
              <w:jc w:val="center"/>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0A08A271"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084C7D6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79749729"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17</w:t>
            </w:r>
          </w:p>
        </w:tc>
        <w:tc>
          <w:tcPr>
            <w:tcW w:w="1244" w:type="dxa"/>
            <w:tcBorders>
              <w:top w:val="single" w:sz="6" w:space="0" w:color="000000"/>
              <w:left w:val="single" w:sz="6" w:space="0" w:color="000000"/>
              <w:bottom w:val="single" w:sz="6" w:space="0" w:color="000000"/>
              <w:right w:val="single" w:sz="6" w:space="0" w:color="000000"/>
            </w:tcBorders>
          </w:tcPr>
          <w:p w14:paraId="08D7F490"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35.3%</w:t>
            </w:r>
          </w:p>
        </w:tc>
        <w:tc>
          <w:tcPr>
            <w:tcW w:w="850" w:type="dxa"/>
            <w:tcBorders>
              <w:top w:val="single" w:sz="6" w:space="0" w:color="000000"/>
              <w:left w:val="single" w:sz="6" w:space="0" w:color="000000"/>
              <w:bottom w:val="single" w:sz="6" w:space="0" w:color="000000"/>
              <w:right w:val="single" w:sz="6" w:space="0" w:color="000000"/>
            </w:tcBorders>
          </w:tcPr>
          <w:p w14:paraId="5FCDE4BE"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78CD4235"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NAa</w:t>
            </w:r>
          </w:p>
        </w:tc>
      </w:tr>
      <w:tr w:rsidR="008B1423" w:rsidRPr="00BE4F57" w14:paraId="1083DFE0" w14:textId="77777777" w:rsidTr="00720E20">
        <w:trPr>
          <w:trHeight w:hRule="exact" w:val="228"/>
        </w:trPr>
        <w:tc>
          <w:tcPr>
            <w:tcW w:w="9539" w:type="dxa"/>
            <w:gridSpan w:val="8"/>
            <w:tcBorders>
              <w:top w:val="single" w:sz="4" w:space="0" w:color="auto"/>
              <w:left w:val="single" w:sz="6" w:space="0" w:color="000000"/>
              <w:bottom w:val="single" w:sz="4" w:space="0" w:color="auto"/>
              <w:right w:val="single" w:sz="6" w:space="0" w:color="000000"/>
            </w:tcBorders>
            <w:vAlign w:val="center"/>
          </w:tcPr>
          <w:p w14:paraId="2EE13390" w14:textId="77777777" w:rsidR="008B1423" w:rsidRPr="00BE4F57" w:rsidRDefault="008B1423" w:rsidP="00A14CA6">
            <w:pPr>
              <w:pStyle w:val="TableParagraph"/>
              <w:autoSpaceDE/>
              <w:autoSpaceDN/>
              <w:jc w:val="center"/>
              <w:rPr>
                <w:rFonts w:ascii="Sylfaen" w:hAnsi="Sylfaen"/>
                <w:sz w:val="24"/>
                <w:szCs w:val="24"/>
              </w:rPr>
            </w:pPr>
          </w:p>
        </w:tc>
      </w:tr>
      <w:tr w:rsidR="008B1423" w:rsidRPr="00BE4F57" w14:paraId="17AD3B93" w14:textId="77777777" w:rsidTr="00720E20">
        <w:trPr>
          <w:trHeight w:hRule="exact" w:val="289"/>
        </w:trPr>
        <w:tc>
          <w:tcPr>
            <w:tcW w:w="1318" w:type="dxa"/>
            <w:vMerge w:val="restart"/>
            <w:tcBorders>
              <w:top w:val="single" w:sz="4" w:space="0" w:color="auto"/>
              <w:left w:val="single" w:sz="6" w:space="0" w:color="000000"/>
              <w:right w:val="single" w:sz="6" w:space="0" w:color="000000"/>
            </w:tcBorders>
            <w:vAlign w:val="center"/>
          </w:tcPr>
          <w:p w14:paraId="2E304F92"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 xml:space="preserve">საერთო </w:t>
            </w:r>
            <w:r w:rsidRPr="00BE4F57">
              <w:rPr>
                <w:rFonts w:ascii="Sylfaen" w:hAnsi="Sylfaen"/>
                <w:sz w:val="24"/>
                <w:szCs w:val="24"/>
                <w:lang w:val="ka-GE"/>
              </w:rPr>
              <w:lastRenderedPageBreak/>
              <w:t>ქოლესტერინი უზმოზე</w:t>
            </w:r>
          </w:p>
        </w:tc>
        <w:tc>
          <w:tcPr>
            <w:tcW w:w="2835" w:type="dxa"/>
            <w:vMerge w:val="restart"/>
            <w:tcBorders>
              <w:top w:val="single" w:sz="4" w:space="0" w:color="auto"/>
              <w:left w:val="single" w:sz="6" w:space="0" w:color="000000"/>
              <w:right w:val="single" w:sz="6" w:space="0" w:color="000000"/>
            </w:tcBorders>
          </w:tcPr>
          <w:p w14:paraId="0E695A8D"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lastRenderedPageBreak/>
              <w:t>≥</w:t>
            </w:r>
            <w:r w:rsidRPr="00BE4F57">
              <w:rPr>
                <w:rFonts w:ascii="Sylfaen" w:hAnsi="Sylfaen"/>
                <w:sz w:val="24"/>
                <w:szCs w:val="24"/>
                <w:lang w:val="ka-GE"/>
              </w:rPr>
              <w:t>4</w:t>
            </w:r>
            <w:r w:rsidRPr="00BE4F57">
              <w:rPr>
                <w:rFonts w:ascii="Sylfaen" w:hAnsi="Sylfaen"/>
                <w:sz w:val="24"/>
                <w:szCs w:val="24"/>
              </w:rPr>
              <w:t>0 მგ/დლ ზრდა</w:t>
            </w:r>
          </w:p>
        </w:tc>
        <w:tc>
          <w:tcPr>
            <w:tcW w:w="1335" w:type="dxa"/>
            <w:gridSpan w:val="2"/>
            <w:tcBorders>
              <w:top w:val="single" w:sz="4" w:space="0" w:color="auto"/>
              <w:left w:val="single" w:sz="6" w:space="0" w:color="000000"/>
              <w:bottom w:val="single" w:sz="6" w:space="0" w:color="000000"/>
              <w:right w:val="single" w:sz="6" w:space="0" w:color="000000"/>
            </w:tcBorders>
          </w:tcPr>
          <w:p w14:paraId="7AC383C6"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4" w:space="0" w:color="auto"/>
              <w:left w:val="single" w:sz="6" w:space="0" w:color="000000"/>
              <w:bottom w:val="single" w:sz="6" w:space="0" w:color="000000"/>
              <w:right w:val="single" w:sz="6" w:space="0" w:color="000000"/>
            </w:tcBorders>
          </w:tcPr>
          <w:p w14:paraId="39A337B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138</w:t>
            </w:r>
          </w:p>
        </w:tc>
        <w:tc>
          <w:tcPr>
            <w:tcW w:w="1244" w:type="dxa"/>
            <w:tcBorders>
              <w:top w:val="single" w:sz="4" w:space="0" w:color="auto"/>
              <w:left w:val="single" w:sz="6" w:space="0" w:color="000000"/>
              <w:bottom w:val="single" w:sz="6" w:space="0" w:color="000000"/>
              <w:right w:val="single" w:sz="6" w:space="0" w:color="000000"/>
            </w:tcBorders>
          </w:tcPr>
          <w:p w14:paraId="459E54C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14.5%</w:t>
            </w:r>
          </w:p>
        </w:tc>
        <w:tc>
          <w:tcPr>
            <w:tcW w:w="850" w:type="dxa"/>
            <w:tcBorders>
              <w:top w:val="single" w:sz="4" w:space="0" w:color="auto"/>
              <w:left w:val="single" w:sz="6" w:space="0" w:color="000000"/>
              <w:bottom w:val="single" w:sz="6" w:space="0" w:color="000000"/>
              <w:right w:val="single" w:sz="6" w:space="0" w:color="000000"/>
            </w:tcBorders>
          </w:tcPr>
          <w:p w14:paraId="66265D0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122</w:t>
            </w:r>
          </w:p>
        </w:tc>
        <w:tc>
          <w:tcPr>
            <w:tcW w:w="1134" w:type="dxa"/>
            <w:tcBorders>
              <w:top w:val="single" w:sz="4" w:space="0" w:color="auto"/>
              <w:left w:val="single" w:sz="6" w:space="0" w:color="000000"/>
              <w:bottom w:val="single" w:sz="6" w:space="0" w:color="000000"/>
              <w:right w:val="single" w:sz="6" w:space="0" w:color="000000"/>
            </w:tcBorders>
          </w:tcPr>
          <w:p w14:paraId="68CCE65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14.8%</w:t>
            </w:r>
          </w:p>
        </w:tc>
      </w:tr>
      <w:tr w:rsidR="008B1423" w:rsidRPr="00BE4F57" w14:paraId="0C5C6A4C" w14:textId="77777777" w:rsidTr="00720E20">
        <w:trPr>
          <w:trHeight w:hRule="exact" w:val="284"/>
        </w:trPr>
        <w:tc>
          <w:tcPr>
            <w:tcW w:w="1318" w:type="dxa"/>
            <w:vMerge/>
            <w:tcBorders>
              <w:left w:val="single" w:sz="6" w:space="0" w:color="000000"/>
              <w:right w:val="single" w:sz="6" w:space="0" w:color="000000"/>
            </w:tcBorders>
          </w:tcPr>
          <w:p w14:paraId="6BD33112"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200E61FF"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62D24130"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371BA83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66</w:t>
            </w:r>
          </w:p>
        </w:tc>
        <w:tc>
          <w:tcPr>
            <w:tcW w:w="1244" w:type="dxa"/>
            <w:tcBorders>
              <w:top w:val="single" w:sz="6" w:space="0" w:color="000000"/>
              <w:left w:val="single" w:sz="6" w:space="0" w:color="000000"/>
              <w:bottom w:val="single" w:sz="6" w:space="0" w:color="000000"/>
              <w:right w:val="single" w:sz="6" w:space="0" w:color="000000"/>
            </w:tcBorders>
          </w:tcPr>
          <w:p w14:paraId="3B109D9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4.5%</w:t>
            </w:r>
          </w:p>
        </w:tc>
        <w:tc>
          <w:tcPr>
            <w:tcW w:w="850" w:type="dxa"/>
            <w:tcBorders>
              <w:top w:val="single" w:sz="6" w:space="0" w:color="000000"/>
              <w:left w:val="single" w:sz="6" w:space="0" w:color="000000"/>
              <w:bottom w:val="single" w:sz="6" w:space="0" w:color="000000"/>
              <w:right w:val="single" w:sz="6" w:space="0" w:color="000000"/>
            </w:tcBorders>
          </w:tcPr>
          <w:p w14:paraId="077AADB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0867ACC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7E61BB2D" w14:textId="77777777" w:rsidTr="00720E20">
        <w:trPr>
          <w:trHeight w:hRule="exact" w:val="540"/>
        </w:trPr>
        <w:tc>
          <w:tcPr>
            <w:tcW w:w="1318" w:type="dxa"/>
            <w:vMerge/>
            <w:tcBorders>
              <w:left w:val="single" w:sz="6" w:space="0" w:color="000000"/>
              <w:right w:val="single" w:sz="6" w:space="0" w:color="000000"/>
            </w:tcBorders>
          </w:tcPr>
          <w:p w14:paraId="50669FD4"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0C0E6707"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 xml:space="preserve">170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200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1F93374F"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6DBD9B4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87</w:t>
            </w:r>
          </w:p>
        </w:tc>
        <w:tc>
          <w:tcPr>
            <w:tcW w:w="1244" w:type="dxa"/>
            <w:tcBorders>
              <w:top w:val="single" w:sz="6" w:space="0" w:color="000000"/>
              <w:left w:val="single" w:sz="6" w:space="0" w:color="000000"/>
              <w:bottom w:val="single" w:sz="6" w:space="0" w:color="000000"/>
              <w:right w:val="single" w:sz="6" w:space="0" w:color="000000"/>
            </w:tcBorders>
          </w:tcPr>
          <w:p w14:paraId="1DFADAD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6.9%</w:t>
            </w:r>
          </w:p>
        </w:tc>
        <w:tc>
          <w:tcPr>
            <w:tcW w:w="850" w:type="dxa"/>
            <w:tcBorders>
              <w:top w:val="single" w:sz="6" w:space="0" w:color="000000"/>
              <w:left w:val="single" w:sz="6" w:space="0" w:color="000000"/>
              <w:bottom w:val="single" w:sz="6" w:space="0" w:color="000000"/>
              <w:right w:val="single" w:sz="6" w:space="0" w:color="000000"/>
            </w:tcBorders>
          </w:tcPr>
          <w:p w14:paraId="3BAB5C07"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78</w:t>
            </w:r>
          </w:p>
        </w:tc>
        <w:tc>
          <w:tcPr>
            <w:tcW w:w="1134" w:type="dxa"/>
            <w:tcBorders>
              <w:top w:val="single" w:sz="6" w:space="0" w:color="000000"/>
              <w:left w:val="single" w:sz="6" w:space="0" w:color="000000"/>
              <w:bottom w:val="single" w:sz="6" w:space="0" w:color="000000"/>
              <w:right w:val="single" w:sz="6" w:space="0" w:color="000000"/>
            </w:tcBorders>
          </w:tcPr>
          <w:p w14:paraId="37F6492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7.7%</w:t>
            </w:r>
          </w:p>
        </w:tc>
      </w:tr>
      <w:tr w:rsidR="008B1423" w:rsidRPr="00BE4F57" w14:paraId="2393005D" w14:textId="77777777" w:rsidTr="00720E20">
        <w:trPr>
          <w:trHeight w:hRule="exact" w:val="434"/>
        </w:trPr>
        <w:tc>
          <w:tcPr>
            <w:tcW w:w="1318" w:type="dxa"/>
            <w:vMerge/>
            <w:tcBorders>
              <w:left w:val="single" w:sz="6" w:space="0" w:color="000000"/>
              <w:right w:val="single" w:sz="6" w:space="0" w:color="000000"/>
            </w:tcBorders>
          </w:tcPr>
          <w:p w14:paraId="0656B545" w14:textId="77777777" w:rsidR="008B1423" w:rsidRPr="00BE4F57" w:rsidRDefault="008B1423" w:rsidP="00A14CA6">
            <w:pPr>
              <w:spacing w:after="0" w:line="240" w:lineRule="auto"/>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4774DEB9"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6991440F"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04ECE00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43</w:t>
            </w:r>
          </w:p>
        </w:tc>
        <w:tc>
          <w:tcPr>
            <w:tcW w:w="1244" w:type="dxa"/>
            <w:tcBorders>
              <w:top w:val="single" w:sz="6" w:space="0" w:color="000000"/>
              <w:left w:val="single" w:sz="6" w:space="0" w:color="000000"/>
              <w:bottom w:val="single" w:sz="6" w:space="0" w:color="000000"/>
              <w:right w:val="single" w:sz="6" w:space="0" w:color="000000"/>
            </w:tcBorders>
          </w:tcPr>
          <w:p w14:paraId="0E5B013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w:t>
            </w:r>
          </w:p>
        </w:tc>
        <w:tc>
          <w:tcPr>
            <w:tcW w:w="850" w:type="dxa"/>
            <w:tcBorders>
              <w:top w:val="single" w:sz="6" w:space="0" w:color="000000"/>
              <w:left w:val="single" w:sz="6" w:space="0" w:color="000000"/>
              <w:bottom w:val="single" w:sz="6" w:space="0" w:color="000000"/>
              <w:right w:val="single" w:sz="6" w:space="0" w:color="000000"/>
            </w:tcBorders>
          </w:tcPr>
          <w:p w14:paraId="544AC6A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53B360B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4DCB158C" w14:textId="77777777" w:rsidTr="00720E20">
        <w:trPr>
          <w:trHeight w:hRule="exact" w:val="724"/>
        </w:trPr>
        <w:tc>
          <w:tcPr>
            <w:tcW w:w="1318" w:type="dxa"/>
            <w:vMerge/>
            <w:tcBorders>
              <w:left w:val="single" w:sz="6" w:space="0" w:color="000000"/>
              <w:right w:val="single" w:sz="6" w:space="0" w:color="000000"/>
            </w:tcBorders>
          </w:tcPr>
          <w:p w14:paraId="5981B11F"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bottom w:val="single" w:sz="4" w:space="0" w:color="auto"/>
              <w:right w:val="single" w:sz="6" w:space="0" w:color="000000"/>
            </w:tcBorders>
          </w:tcPr>
          <w:p w14:paraId="5F74DB16"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17</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200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2105B941"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73A0B96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36</w:t>
            </w:r>
          </w:p>
        </w:tc>
        <w:tc>
          <w:tcPr>
            <w:tcW w:w="1244" w:type="dxa"/>
            <w:tcBorders>
              <w:top w:val="single" w:sz="6" w:space="0" w:color="000000"/>
              <w:left w:val="single" w:sz="6" w:space="0" w:color="000000"/>
              <w:bottom w:val="single" w:sz="6" w:space="0" w:color="000000"/>
              <w:right w:val="single" w:sz="6" w:space="0" w:color="000000"/>
            </w:tcBorders>
          </w:tcPr>
          <w:p w14:paraId="77F630A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38.9%</w:t>
            </w:r>
          </w:p>
        </w:tc>
        <w:tc>
          <w:tcPr>
            <w:tcW w:w="850" w:type="dxa"/>
            <w:tcBorders>
              <w:top w:val="single" w:sz="6" w:space="0" w:color="000000"/>
              <w:left w:val="single" w:sz="6" w:space="0" w:color="000000"/>
              <w:bottom w:val="single" w:sz="6" w:space="0" w:color="000000"/>
              <w:right w:val="single" w:sz="6" w:space="0" w:color="000000"/>
            </w:tcBorders>
          </w:tcPr>
          <w:p w14:paraId="3AB5A7B9"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33</w:t>
            </w:r>
          </w:p>
        </w:tc>
        <w:tc>
          <w:tcPr>
            <w:tcW w:w="1134" w:type="dxa"/>
            <w:tcBorders>
              <w:top w:val="single" w:sz="6" w:space="0" w:color="000000"/>
              <w:left w:val="single" w:sz="6" w:space="0" w:color="000000"/>
              <w:bottom w:val="single" w:sz="6" w:space="0" w:color="000000"/>
              <w:right w:val="single" w:sz="6" w:space="0" w:color="000000"/>
            </w:tcBorders>
          </w:tcPr>
          <w:p w14:paraId="65F0467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57.6%</w:t>
            </w:r>
          </w:p>
        </w:tc>
      </w:tr>
      <w:tr w:rsidR="008B1423" w:rsidRPr="00BE4F57" w14:paraId="1BD65BF0" w14:textId="77777777" w:rsidTr="00720E20">
        <w:trPr>
          <w:trHeight w:hRule="exact" w:val="706"/>
        </w:trPr>
        <w:tc>
          <w:tcPr>
            <w:tcW w:w="1318" w:type="dxa"/>
            <w:vMerge/>
            <w:tcBorders>
              <w:left w:val="single" w:sz="6" w:space="0" w:color="000000"/>
              <w:bottom w:val="single" w:sz="4" w:space="0" w:color="auto"/>
              <w:right w:val="single" w:sz="6" w:space="0" w:color="000000"/>
            </w:tcBorders>
          </w:tcPr>
          <w:p w14:paraId="0306740E" w14:textId="77777777" w:rsidR="008B1423" w:rsidRPr="00BE4F57" w:rsidRDefault="008B1423" w:rsidP="00A14CA6">
            <w:pPr>
              <w:spacing w:after="0" w:line="240" w:lineRule="auto"/>
              <w:rPr>
                <w:rFonts w:ascii="Sylfaen" w:hAnsi="Sylfaen"/>
                <w:sz w:val="24"/>
                <w:szCs w:val="24"/>
              </w:rPr>
            </w:pPr>
          </w:p>
        </w:tc>
        <w:tc>
          <w:tcPr>
            <w:tcW w:w="2835" w:type="dxa"/>
            <w:vMerge/>
            <w:tcBorders>
              <w:top w:val="single" w:sz="4" w:space="0" w:color="auto"/>
              <w:left w:val="single" w:sz="6" w:space="0" w:color="000000"/>
              <w:bottom w:val="single" w:sz="4" w:space="0" w:color="auto"/>
              <w:right w:val="single" w:sz="6" w:space="0" w:color="000000"/>
            </w:tcBorders>
          </w:tcPr>
          <w:p w14:paraId="299EE88C"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4" w:space="0" w:color="auto"/>
              <w:right w:val="single" w:sz="6" w:space="0" w:color="000000"/>
            </w:tcBorders>
          </w:tcPr>
          <w:p w14:paraId="504C03D3"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4" w:space="0" w:color="auto"/>
              <w:right w:val="single" w:sz="6" w:space="0" w:color="000000"/>
            </w:tcBorders>
          </w:tcPr>
          <w:p w14:paraId="0F3B92A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w:t>
            </w:r>
          </w:p>
        </w:tc>
        <w:tc>
          <w:tcPr>
            <w:tcW w:w="1244" w:type="dxa"/>
            <w:tcBorders>
              <w:top w:val="single" w:sz="6" w:space="0" w:color="000000"/>
              <w:left w:val="single" w:sz="6" w:space="0" w:color="000000"/>
              <w:bottom w:val="single" w:sz="4" w:space="0" w:color="auto"/>
              <w:right w:val="single" w:sz="6" w:space="0" w:color="000000"/>
            </w:tcBorders>
          </w:tcPr>
          <w:p w14:paraId="7B75610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7.7%</w:t>
            </w:r>
          </w:p>
        </w:tc>
        <w:tc>
          <w:tcPr>
            <w:tcW w:w="850" w:type="dxa"/>
            <w:tcBorders>
              <w:top w:val="single" w:sz="6" w:space="0" w:color="000000"/>
              <w:left w:val="single" w:sz="6" w:space="0" w:color="000000"/>
              <w:bottom w:val="single" w:sz="4" w:space="0" w:color="auto"/>
              <w:right w:val="single" w:sz="6" w:space="0" w:color="000000"/>
            </w:tcBorders>
          </w:tcPr>
          <w:p w14:paraId="61179C3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4" w:space="0" w:color="auto"/>
              <w:right w:val="single" w:sz="6" w:space="0" w:color="000000"/>
            </w:tcBorders>
          </w:tcPr>
          <w:p w14:paraId="61D0A1A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3664423E" w14:textId="77777777" w:rsidTr="00720E20">
        <w:trPr>
          <w:trHeight w:hRule="exact" w:val="264"/>
        </w:trPr>
        <w:tc>
          <w:tcPr>
            <w:tcW w:w="9539" w:type="dxa"/>
            <w:gridSpan w:val="8"/>
            <w:tcBorders>
              <w:top w:val="single" w:sz="4" w:space="0" w:color="auto"/>
              <w:left w:val="single" w:sz="6" w:space="0" w:color="000000"/>
              <w:bottom w:val="single" w:sz="4" w:space="0" w:color="auto"/>
              <w:right w:val="single" w:sz="6" w:space="0" w:color="000000"/>
            </w:tcBorders>
          </w:tcPr>
          <w:p w14:paraId="0991B89E" w14:textId="77777777" w:rsidR="008B1423" w:rsidRPr="00BE4F57" w:rsidRDefault="008B1423" w:rsidP="00A14CA6">
            <w:pPr>
              <w:pStyle w:val="TableParagraph"/>
              <w:autoSpaceDE/>
              <w:autoSpaceDN/>
              <w:rPr>
                <w:rFonts w:ascii="Sylfaen" w:hAnsi="Sylfaen"/>
                <w:sz w:val="24"/>
                <w:szCs w:val="24"/>
              </w:rPr>
            </w:pPr>
          </w:p>
        </w:tc>
      </w:tr>
      <w:tr w:rsidR="008B1423" w:rsidRPr="00BE4F57" w14:paraId="7E4BBE06" w14:textId="77777777" w:rsidTr="00720E20">
        <w:trPr>
          <w:trHeight w:hRule="exact" w:val="297"/>
        </w:trPr>
        <w:tc>
          <w:tcPr>
            <w:tcW w:w="1318" w:type="dxa"/>
            <w:vMerge w:val="restart"/>
            <w:tcBorders>
              <w:top w:val="single" w:sz="4" w:space="0" w:color="auto"/>
              <w:left w:val="single" w:sz="6" w:space="0" w:color="000000"/>
              <w:right w:val="single" w:sz="6" w:space="0" w:color="000000"/>
            </w:tcBorders>
            <w:vAlign w:val="center"/>
          </w:tcPr>
          <w:p w14:paraId="3F4E0AE2" w14:textId="77777777" w:rsidR="008B1423" w:rsidRPr="00BE4F57" w:rsidRDefault="008B1423" w:rsidP="00A14CA6">
            <w:pPr>
              <w:spacing w:after="0" w:line="240" w:lineRule="auto"/>
              <w:jc w:val="center"/>
              <w:rPr>
                <w:rFonts w:ascii="Sylfaen" w:hAnsi="Sylfaen"/>
                <w:sz w:val="24"/>
                <w:szCs w:val="24"/>
                <w:lang w:val="ka-GE"/>
              </w:rPr>
            </w:pPr>
            <w:r w:rsidRPr="00BE4F57">
              <w:rPr>
                <w:rFonts w:ascii="Sylfaen" w:hAnsi="Sylfaen"/>
                <w:sz w:val="24"/>
                <w:szCs w:val="24"/>
                <w:lang w:val="ka-GE"/>
              </w:rPr>
              <w:t>დსლ ქოლესტერინი უზმოზე</w:t>
            </w:r>
          </w:p>
        </w:tc>
        <w:tc>
          <w:tcPr>
            <w:tcW w:w="2835" w:type="dxa"/>
            <w:vMerge w:val="restart"/>
            <w:tcBorders>
              <w:top w:val="single" w:sz="4" w:space="0" w:color="auto"/>
              <w:left w:val="single" w:sz="6" w:space="0" w:color="000000"/>
              <w:right w:val="single" w:sz="6" w:space="0" w:color="000000"/>
            </w:tcBorders>
          </w:tcPr>
          <w:p w14:paraId="30044915"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3</w:t>
            </w:r>
            <w:r w:rsidRPr="00BE4F57">
              <w:rPr>
                <w:rFonts w:ascii="Sylfaen" w:hAnsi="Sylfaen"/>
                <w:sz w:val="24"/>
                <w:szCs w:val="24"/>
              </w:rPr>
              <w:t>0 მგ/დლ ზრდა</w:t>
            </w:r>
          </w:p>
        </w:tc>
        <w:tc>
          <w:tcPr>
            <w:tcW w:w="1335" w:type="dxa"/>
            <w:gridSpan w:val="2"/>
            <w:tcBorders>
              <w:top w:val="single" w:sz="4" w:space="0" w:color="auto"/>
              <w:left w:val="single" w:sz="6" w:space="0" w:color="000000"/>
              <w:bottom w:val="single" w:sz="6" w:space="0" w:color="000000"/>
              <w:right w:val="single" w:sz="6" w:space="0" w:color="000000"/>
            </w:tcBorders>
          </w:tcPr>
          <w:p w14:paraId="2F748153"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4" w:space="0" w:color="auto"/>
              <w:left w:val="single" w:sz="6" w:space="0" w:color="000000"/>
              <w:bottom w:val="single" w:sz="6" w:space="0" w:color="000000"/>
              <w:right w:val="single" w:sz="6" w:space="0" w:color="000000"/>
            </w:tcBorders>
          </w:tcPr>
          <w:p w14:paraId="239206B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137</w:t>
            </w:r>
          </w:p>
        </w:tc>
        <w:tc>
          <w:tcPr>
            <w:tcW w:w="1244" w:type="dxa"/>
            <w:tcBorders>
              <w:top w:val="single" w:sz="4" w:space="0" w:color="auto"/>
              <w:left w:val="single" w:sz="6" w:space="0" w:color="000000"/>
              <w:bottom w:val="single" w:sz="6" w:space="0" w:color="000000"/>
              <w:right w:val="single" w:sz="6" w:space="0" w:color="000000"/>
            </w:tcBorders>
          </w:tcPr>
          <w:p w14:paraId="3417C7B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17.5%</w:t>
            </w:r>
          </w:p>
        </w:tc>
        <w:tc>
          <w:tcPr>
            <w:tcW w:w="850" w:type="dxa"/>
            <w:tcBorders>
              <w:top w:val="single" w:sz="4" w:space="0" w:color="auto"/>
              <w:left w:val="single" w:sz="6" w:space="0" w:color="000000"/>
              <w:bottom w:val="single" w:sz="6" w:space="0" w:color="000000"/>
              <w:right w:val="single" w:sz="6" w:space="0" w:color="000000"/>
            </w:tcBorders>
          </w:tcPr>
          <w:p w14:paraId="0F54696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121</w:t>
            </w:r>
          </w:p>
        </w:tc>
        <w:tc>
          <w:tcPr>
            <w:tcW w:w="1134" w:type="dxa"/>
            <w:tcBorders>
              <w:top w:val="single" w:sz="4" w:space="0" w:color="auto"/>
              <w:left w:val="single" w:sz="6" w:space="0" w:color="000000"/>
              <w:bottom w:val="single" w:sz="6" w:space="0" w:color="000000"/>
              <w:right w:val="single" w:sz="6" w:space="0" w:color="000000"/>
            </w:tcBorders>
          </w:tcPr>
          <w:p w14:paraId="345D672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22.3%</w:t>
            </w:r>
          </w:p>
        </w:tc>
      </w:tr>
      <w:tr w:rsidR="008B1423" w:rsidRPr="00BE4F57" w14:paraId="0E605E52" w14:textId="77777777" w:rsidTr="00720E20">
        <w:trPr>
          <w:trHeight w:hRule="exact" w:val="280"/>
        </w:trPr>
        <w:tc>
          <w:tcPr>
            <w:tcW w:w="1318" w:type="dxa"/>
            <w:vMerge/>
            <w:tcBorders>
              <w:left w:val="single" w:sz="6" w:space="0" w:color="000000"/>
              <w:right w:val="single" w:sz="6" w:space="0" w:color="000000"/>
            </w:tcBorders>
          </w:tcPr>
          <w:p w14:paraId="3AC5F17A"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56CDB48E"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2C948042"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5809213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63</w:t>
            </w:r>
          </w:p>
        </w:tc>
        <w:tc>
          <w:tcPr>
            <w:tcW w:w="1244" w:type="dxa"/>
            <w:tcBorders>
              <w:top w:val="single" w:sz="6" w:space="0" w:color="000000"/>
              <w:left w:val="single" w:sz="6" w:space="0" w:color="000000"/>
              <w:bottom w:val="single" w:sz="6" w:space="0" w:color="000000"/>
              <w:right w:val="single" w:sz="6" w:space="0" w:color="000000"/>
            </w:tcBorders>
          </w:tcPr>
          <w:p w14:paraId="714B3DF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11.1%</w:t>
            </w:r>
          </w:p>
        </w:tc>
        <w:tc>
          <w:tcPr>
            <w:tcW w:w="850" w:type="dxa"/>
            <w:tcBorders>
              <w:top w:val="single" w:sz="6" w:space="0" w:color="000000"/>
              <w:left w:val="single" w:sz="6" w:space="0" w:color="000000"/>
              <w:bottom w:val="single" w:sz="6" w:space="0" w:color="000000"/>
              <w:right w:val="single" w:sz="6" w:space="0" w:color="000000"/>
            </w:tcBorders>
          </w:tcPr>
          <w:p w14:paraId="6E9660B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1A0A0B4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20956D3D" w14:textId="77777777" w:rsidTr="00720E20">
        <w:trPr>
          <w:trHeight w:hRule="exact" w:val="427"/>
        </w:trPr>
        <w:tc>
          <w:tcPr>
            <w:tcW w:w="1318" w:type="dxa"/>
            <w:vMerge/>
            <w:tcBorders>
              <w:left w:val="single" w:sz="6" w:space="0" w:color="000000"/>
              <w:right w:val="single" w:sz="6" w:space="0" w:color="000000"/>
            </w:tcBorders>
          </w:tcPr>
          <w:p w14:paraId="220F1EFF"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3924E0BF"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ნორმალურიდან</w:t>
            </w:r>
            <w:r w:rsidRPr="00BE4F57">
              <w:rPr>
                <w:rFonts w:ascii="Sylfaen" w:hAnsi="Sylfaen"/>
                <w:sz w:val="24"/>
                <w:szCs w:val="24"/>
              </w:rPr>
              <w:t xml:space="preserve"> </w:t>
            </w:r>
            <w:r w:rsidRPr="00BE4F57">
              <w:rPr>
                <w:rFonts w:ascii="Sylfaen" w:hAnsi="Sylfaen" w:cs="Sylfaen"/>
                <w:sz w:val="24"/>
                <w:szCs w:val="24"/>
                <w:lang w:val="ka-GE"/>
              </w:rPr>
              <w:t>მაღალ მაჩვენებლამდე</w:t>
            </w:r>
            <w:r w:rsidRPr="00BE4F57">
              <w:rPr>
                <w:rFonts w:ascii="Sylfaen" w:hAnsi="Sylfaen"/>
                <w:sz w:val="24"/>
                <w:szCs w:val="24"/>
              </w:rPr>
              <w:t xml:space="preserve"> (&lt;</w:t>
            </w:r>
            <w:r w:rsidRPr="00BE4F57">
              <w:rPr>
                <w:rFonts w:ascii="Sylfaen" w:hAnsi="Sylfaen"/>
                <w:sz w:val="24"/>
                <w:szCs w:val="24"/>
                <w:lang w:val="ka-GE"/>
              </w:rPr>
              <w:t xml:space="preserve">110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sz w:val="24"/>
                <w:szCs w:val="24"/>
                <w:lang w:val="ka-GE"/>
              </w:rPr>
              <w:t xml:space="preserve"> </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u w:val="single"/>
                <w:lang w:val="ka-GE"/>
              </w:rPr>
              <w:t>&gt;</w:t>
            </w:r>
            <w:r w:rsidRPr="00BE4F57">
              <w:rPr>
                <w:rFonts w:ascii="Sylfaen" w:hAnsi="Sylfaen"/>
                <w:sz w:val="24"/>
                <w:szCs w:val="24"/>
                <w:lang w:val="ka-GE"/>
              </w:rPr>
              <w:t xml:space="preserve">130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56CEDD7F"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5914305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98</w:t>
            </w:r>
          </w:p>
        </w:tc>
        <w:tc>
          <w:tcPr>
            <w:tcW w:w="1244" w:type="dxa"/>
            <w:tcBorders>
              <w:top w:val="single" w:sz="6" w:space="0" w:color="000000"/>
              <w:left w:val="single" w:sz="6" w:space="0" w:color="000000"/>
              <w:bottom w:val="single" w:sz="6" w:space="0" w:color="000000"/>
              <w:right w:val="single" w:sz="6" w:space="0" w:color="000000"/>
            </w:tcBorders>
          </w:tcPr>
          <w:p w14:paraId="7690812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5.1%</w:t>
            </w:r>
          </w:p>
        </w:tc>
        <w:tc>
          <w:tcPr>
            <w:tcW w:w="850" w:type="dxa"/>
            <w:tcBorders>
              <w:top w:val="single" w:sz="6" w:space="0" w:color="000000"/>
              <w:left w:val="single" w:sz="6" w:space="0" w:color="000000"/>
              <w:bottom w:val="single" w:sz="6" w:space="0" w:color="000000"/>
              <w:right w:val="single" w:sz="6" w:space="0" w:color="000000"/>
            </w:tcBorders>
          </w:tcPr>
          <w:p w14:paraId="20B8A54B"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92</w:t>
            </w:r>
          </w:p>
        </w:tc>
        <w:tc>
          <w:tcPr>
            <w:tcW w:w="1134" w:type="dxa"/>
            <w:tcBorders>
              <w:top w:val="single" w:sz="6" w:space="0" w:color="000000"/>
              <w:left w:val="single" w:sz="6" w:space="0" w:color="000000"/>
              <w:bottom w:val="single" w:sz="6" w:space="0" w:color="000000"/>
              <w:right w:val="single" w:sz="6" w:space="0" w:color="000000"/>
            </w:tcBorders>
          </w:tcPr>
          <w:p w14:paraId="66A9F12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10.9%</w:t>
            </w:r>
          </w:p>
        </w:tc>
      </w:tr>
      <w:tr w:rsidR="008B1423" w:rsidRPr="00BE4F57" w14:paraId="3D4CA52F" w14:textId="77777777" w:rsidTr="00720E20">
        <w:trPr>
          <w:trHeight w:hRule="exact" w:val="419"/>
        </w:trPr>
        <w:tc>
          <w:tcPr>
            <w:tcW w:w="1318" w:type="dxa"/>
            <w:vMerge/>
            <w:tcBorders>
              <w:left w:val="single" w:sz="6" w:space="0" w:color="000000"/>
              <w:right w:val="single" w:sz="6" w:space="0" w:color="000000"/>
            </w:tcBorders>
          </w:tcPr>
          <w:p w14:paraId="1F8C919B"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6EBAB5FB"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0BE453C0"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516DA01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44</w:t>
            </w:r>
          </w:p>
        </w:tc>
        <w:tc>
          <w:tcPr>
            <w:tcW w:w="1244" w:type="dxa"/>
            <w:tcBorders>
              <w:top w:val="single" w:sz="6" w:space="0" w:color="000000"/>
              <w:left w:val="single" w:sz="6" w:space="0" w:color="000000"/>
              <w:bottom w:val="single" w:sz="6" w:space="0" w:color="000000"/>
              <w:right w:val="single" w:sz="6" w:space="0" w:color="000000"/>
            </w:tcBorders>
          </w:tcPr>
          <w:p w14:paraId="75A2E2F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4.5%</w:t>
            </w:r>
          </w:p>
        </w:tc>
        <w:tc>
          <w:tcPr>
            <w:tcW w:w="850" w:type="dxa"/>
            <w:tcBorders>
              <w:top w:val="single" w:sz="6" w:space="0" w:color="000000"/>
              <w:left w:val="single" w:sz="6" w:space="0" w:color="000000"/>
              <w:bottom w:val="single" w:sz="6" w:space="0" w:color="000000"/>
              <w:right w:val="single" w:sz="6" w:space="0" w:color="000000"/>
            </w:tcBorders>
          </w:tcPr>
          <w:p w14:paraId="04EB58A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53B40C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r w:rsidR="008B1423" w:rsidRPr="00BE4F57" w14:paraId="6E89E706" w14:textId="77777777" w:rsidTr="00720E20">
        <w:trPr>
          <w:trHeight w:hRule="exact" w:val="706"/>
        </w:trPr>
        <w:tc>
          <w:tcPr>
            <w:tcW w:w="1318" w:type="dxa"/>
            <w:vMerge/>
            <w:tcBorders>
              <w:left w:val="single" w:sz="6" w:space="0" w:color="000000"/>
              <w:right w:val="single" w:sz="6" w:space="0" w:color="000000"/>
            </w:tcBorders>
          </w:tcPr>
          <w:p w14:paraId="4069C6C7" w14:textId="77777777" w:rsidR="008B1423" w:rsidRPr="00BE4F57" w:rsidRDefault="008B1423" w:rsidP="00A14CA6">
            <w:pPr>
              <w:spacing w:after="0" w:line="240" w:lineRule="auto"/>
              <w:rPr>
                <w:rFonts w:ascii="Sylfaen" w:hAnsi="Sylfaen"/>
                <w:sz w:val="24"/>
                <w:szCs w:val="24"/>
              </w:rPr>
            </w:pPr>
          </w:p>
        </w:tc>
        <w:tc>
          <w:tcPr>
            <w:tcW w:w="2835" w:type="dxa"/>
            <w:vMerge w:val="restart"/>
            <w:tcBorders>
              <w:top w:val="single" w:sz="4" w:space="0" w:color="auto"/>
              <w:left w:val="single" w:sz="6" w:space="0" w:color="000000"/>
              <w:right w:val="single" w:sz="6" w:space="0" w:color="000000"/>
            </w:tcBorders>
          </w:tcPr>
          <w:p w14:paraId="34FB9DCE" w14:textId="77777777" w:rsidR="008B1423" w:rsidRPr="00BE4F57" w:rsidRDefault="008B1423" w:rsidP="00A14CA6">
            <w:pPr>
              <w:spacing w:after="0" w:line="240" w:lineRule="auto"/>
              <w:rPr>
                <w:rFonts w:ascii="Sylfaen" w:hAnsi="Sylfaen"/>
                <w:sz w:val="24"/>
                <w:szCs w:val="24"/>
              </w:rPr>
            </w:pPr>
            <w:r w:rsidRPr="00BE4F57">
              <w:rPr>
                <w:rFonts w:ascii="Sylfaen" w:hAnsi="Sylfaen" w:cs="Sylfaen"/>
                <w:sz w:val="24"/>
                <w:szCs w:val="24"/>
              </w:rPr>
              <w:t>სა</w:t>
            </w:r>
            <w:r w:rsidRPr="00BE4F57">
              <w:rPr>
                <w:rFonts w:ascii="Sylfaen" w:hAnsi="Sylfaen" w:cs="Sylfaen"/>
                <w:sz w:val="24"/>
                <w:szCs w:val="24"/>
                <w:lang w:val="ka-GE"/>
              </w:rPr>
              <w:t>სა</w:t>
            </w:r>
            <w:r w:rsidRPr="00BE4F57">
              <w:rPr>
                <w:rFonts w:ascii="Sylfaen" w:hAnsi="Sylfaen" w:cs="Sylfaen"/>
                <w:sz w:val="24"/>
                <w:szCs w:val="24"/>
              </w:rPr>
              <w:t>ზღვრ</w:t>
            </w:r>
            <w:r w:rsidRPr="00BE4F57">
              <w:rPr>
                <w:rFonts w:ascii="Sylfaen" w:hAnsi="Sylfaen" w:cs="Sylfaen"/>
                <w:sz w:val="24"/>
                <w:szCs w:val="24"/>
                <w:lang w:val="ka-GE"/>
              </w:rPr>
              <w:t>ოდან</w:t>
            </w:r>
            <w:r w:rsidRPr="00BE4F57">
              <w:rPr>
                <w:rFonts w:ascii="Sylfaen" w:hAnsi="Sylfaen"/>
                <w:sz w:val="24"/>
                <w:szCs w:val="24"/>
              </w:rPr>
              <w:t xml:space="preserve"> </w:t>
            </w:r>
            <w:r w:rsidRPr="00BE4F57">
              <w:rPr>
                <w:rFonts w:ascii="Sylfaen" w:hAnsi="Sylfaen" w:cs="Sylfaen"/>
                <w:sz w:val="24"/>
                <w:szCs w:val="24"/>
              </w:rPr>
              <w:t>მაღალ</w:t>
            </w:r>
            <w:r w:rsidRPr="00BE4F57">
              <w:rPr>
                <w:rFonts w:ascii="Sylfaen" w:hAnsi="Sylfaen" w:cs="Sylfaen"/>
                <w:sz w:val="24"/>
                <w:szCs w:val="24"/>
                <w:lang w:val="ka-GE"/>
              </w:rPr>
              <w:t xml:space="preserve"> მაჩვენებლამდე</w:t>
            </w:r>
            <w:r w:rsidRPr="00BE4F57">
              <w:rPr>
                <w:rFonts w:ascii="Sylfaen" w:hAnsi="Sylfaen"/>
                <w:sz w:val="24"/>
                <w:szCs w:val="24"/>
              </w:rPr>
              <w:t xml:space="preserve"> (≥</w:t>
            </w:r>
            <w:r w:rsidRPr="00BE4F57">
              <w:rPr>
                <w:rFonts w:ascii="Sylfaen" w:hAnsi="Sylfaen"/>
                <w:sz w:val="24"/>
                <w:szCs w:val="24"/>
                <w:lang w:val="ka-GE"/>
              </w:rPr>
              <w:t>11</w:t>
            </w:r>
            <w:r w:rsidRPr="00BE4F57">
              <w:rPr>
                <w:rFonts w:ascii="Sylfaen" w:hAnsi="Sylfaen"/>
                <w:sz w:val="24"/>
                <w:szCs w:val="24"/>
              </w:rPr>
              <w:t xml:space="preserve">0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დან</w:t>
            </w:r>
            <w:r w:rsidRPr="00BE4F57">
              <w:rPr>
                <w:rFonts w:ascii="Sylfaen" w:hAnsi="Sylfaen"/>
                <w:sz w:val="24"/>
                <w:szCs w:val="24"/>
              </w:rPr>
              <w:t xml:space="preserve"> </w:t>
            </w:r>
            <w:r w:rsidRPr="00BE4F57">
              <w:rPr>
                <w:rFonts w:ascii="Sylfaen" w:hAnsi="Sylfaen"/>
                <w:sz w:val="24"/>
                <w:szCs w:val="24"/>
                <w:lang w:val="ka-GE"/>
              </w:rPr>
              <w:t xml:space="preserve">და </w:t>
            </w:r>
            <w:r w:rsidRPr="00BE4F57">
              <w:rPr>
                <w:rFonts w:ascii="Sylfaen" w:hAnsi="Sylfaen"/>
                <w:sz w:val="24"/>
                <w:szCs w:val="24"/>
              </w:rPr>
              <w:t>&lt;</w:t>
            </w:r>
            <w:r w:rsidRPr="00BE4F57">
              <w:rPr>
                <w:rFonts w:ascii="Sylfaen" w:hAnsi="Sylfaen"/>
                <w:sz w:val="24"/>
                <w:szCs w:val="24"/>
                <w:lang w:val="ka-GE"/>
              </w:rPr>
              <w:t xml:space="preserve">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lang w:val="ka-GE"/>
              </w:rPr>
              <w:t xml:space="preserve">დან </w:t>
            </w:r>
            <w:r w:rsidRPr="00BE4F57">
              <w:rPr>
                <w:rFonts w:ascii="Sylfaen" w:hAnsi="Sylfaen"/>
                <w:sz w:val="24"/>
                <w:szCs w:val="24"/>
              </w:rPr>
              <w:t xml:space="preserve"> ≥</w:t>
            </w:r>
            <w:r w:rsidRPr="00BE4F57">
              <w:rPr>
                <w:rFonts w:ascii="Sylfaen" w:hAnsi="Sylfaen"/>
                <w:sz w:val="24"/>
                <w:szCs w:val="24"/>
                <w:lang w:val="ka-GE"/>
              </w:rPr>
              <w:t xml:space="preserve">130 </w:t>
            </w:r>
            <w:r w:rsidRPr="00BE4F57">
              <w:rPr>
                <w:rFonts w:ascii="Sylfaen" w:hAnsi="Sylfaen"/>
                <w:sz w:val="24"/>
                <w:szCs w:val="24"/>
              </w:rPr>
              <w:t xml:space="preserve"> </w:t>
            </w:r>
            <w:r w:rsidRPr="00BE4F57">
              <w:rPr>
                <w:rFonts w:ascii="Sylfaen" w:hAnsi="Sylfaen" w:cs="Sylfaen"/>
                <w:sz w:val="24"/>
                <w:szCs w:val="24"/>
              </w:rPr>
              <w:t>მგ</w:t>
            </w:r>
            <w:r w:rsidRPr="00BE4F57">
              <w:rPr>
                <w:rFonts w:ascii="Sylfaen" w:hAnsi="Sylfaen"/>
                <w:sz w:val="24"/>
                <w:szCs w:val="24"/>
              </w:rPr>
              <w:t>/</w:t>
            </w:r>
            <w:r w:rsidRPr="00BE4F57">
              <w:rPr>
                <w:rFonts w:ascii="Sylfaen" w:hAnsi="Sylfaen" w:cs="Sylfaen"/>
                <w:sz w:val="24"/>
                <w:szCs w:val="24"/>
              </w:rPr>
              <w:t>დლ</w:t>
            </w:r>
            <w:r w:rsidRPr="00BE4F57">
              <w:rPr>
                <w:rFonts w:ascii="Sylfaen" w:hAnsi="Sylfaen"/>
                <w:sz w:val="24"/>
                <w:szCs w:val="24"/>
              </w:rPr>
              <w:t>-</w:t>
            </w:r>
            <w:r w:rsidRPr="00BE4F57">
              <w:rPr>
                <w:rFonts w:ascii="Sylfaen" w:hAnsi="Sylfaen" w:cs="Sylfaen"/>
                <w:sz w:val="24"/>
                <w:szCs w:val="24"/>
              </w:rPr>
              <w:t>მდე</w:t>
            </w:r>
            <w:r w:rsidRPr="00BE4F57">
              <w:rPr>
                <w:rFonts w:ascii="Sylfaen" w:hAnsi="Sylfaen"/>
                <w:sz w:val="24"/>
                <w:szCs w:val="24"/>
              </w:rPr>
              <w:t>)</w:t>
            </w:r>
          </w:p>
        </w:tc>
        <w:tc>
          <w:tcPr>
            <w:tcW w:w="1335" w:type="dxa"/>
            <w:gridSpan w:val="2"/>
            <w:tcBorders>
              <w:top w:val="single" w:sz="6" w:space="0" w:color="000000"/>
              <w:left w:val="single" w:sz="6" w:space="0" w:color="000000"/>
              <w:bottom w:val="single" w:sz="6" w:space="0" w:color="000000"/>
              <w:right w:val="single" w:sz="6" w:space="0" w:color="000000"/>
            </w:tcBorders>
          </w:tcPr>
          <w:p w14:paraId="33E1B5B0" w14:textId="77777777" w:rsidR="008B1423" w:rsidRPr="00BE4F57" w:rsidRDefault="008B1423" w:rsidP="00A14CA6">
            <w:pPr>
              <w:pStyle w:val="TableParagraph"/>
              <w:tabs>
                <w:tab w:val="left" w:pos="1294"/>
              </w:tabs>
              <w:autoSpaceDE/>
              <w:autoSpaceDN/>
              <w:rPr>
                <w:rFonts w:ascii="Sylfaen" w:hAnsi="Sylfaen"/>
                <w:sz w:val="24"/>
                <w:szCs w:val="24"/>
              </w:rPr>
            </w:pPr>
            <w:r w:rsidRPr="00BE4F57">
              <w:rPr>
                <w:rFonts w:ascii="Sylfaen" w:hAnsi="Sylfaen" w:cs="Sylfaen"/>
                <w:sz w:val="24"/>
                <w:szCs w:val="24"/>
              </w:rPr>
              <w:t>ოლანზაპინი</w:t>
            </w:r>
            <w:r w:rsidRPr="00BE4F57">
              <w:rPr>
                <w:rFonts w:ascii="Sylfaen" w:hAnsi="Sylfaen"/>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14:paraId="7503F03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29</w:t>
            </w:r>
          </w:p>
        </w:tc>
        <w:tc>
          <w:tcPr>
            <w:tcW w:w="1244" w:type="dxa"/>
            <w:tcBorders>
              <w:top w:val="single" w:sz="6" w:space="0" w:color="000000"/>
              <w:left w:val="single" w:sz="6" w:space="0" w:color="000000"/>
              <w:bottom w:val="single" w:sz="6" w:space="0" w:color="000000"/>
              <w:right w:val="single" w:sz="6" w:space="0" w:color="000000"/>
            </w:tcBorders>
          </w:tcPr>
          <w:p w14:paraId="3323283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48.3%</w:t>
            </w:r>
          </w:p>
        </w:tc>
        <w:tc>
          <w:tcPr>
            <w:tcW w:w="850" w:type="dxa"/>
            <w:tcBorders>
              <w:top w:val="single" w:sz="6" w:space="0" w:color="000000"/>
              <w:left w:val="single" w:sz="6" w:space="0" w:color="000000"/>
              <w:bottom w:val="single" w:sz="6" w:space="0" w:color="000000"/>
              <w:right w:val="single" w:sz="6" w:space="0" w:color="000000"/>
            </w:tcBorders>
          </w:tcPr>
          <w:p w14:paraId="66CA0B9C" w14:textId="77777777" w:rsidR="008B1423" w:rsidRPr="00BE4F57" w:rsidRDefault="008B1423" w:rsidP="00A14CA6">
            <w:pPr>
              <w:pStyle w:val="TableParagraph"/>
              <w:autoSpaceDE/>
              <w:autoSpaceDN/>
              <w:jc w:val="center"/>
              <w:rPr>
                <w:rFonts w:ascii="Sylfaen" w:hAnsi="Sylfaen"/>
                <w:sz w:val="24"/>
                <w:szCs w:val="24"/>
              </w:rPr>
            </w:pPr>
            <w:r w:rsidRPr="00BE4F57">
              <w:rPr>
                <w:rFonts w:ascii="Sylfaen" w:hAnsi="Sylfaen"/>
                <w:sz w:val="24"/>
                <w:szCs w:val="24"/>
              </w:rPr>
              <w:t>21</w:t>
            </w:r>
          </w:p>
        </w:tc>
        <w:tc>
          <w:tcPr>
            <w:tcW w:w="1134" w:type="dxa"/>
            <w:tcBorders>
              <w:top w:val="single" w:sz="6" w:space="0" w:color="000000"/>
              <w:left w:val="single" w:sz="6" w:space="0" w:color="000000"/>
              <w:bottom w:val="single" w:sz="6" w:space="0" w:color="000000"/>
              <w:right w:val="single" w:sz="6" w:space="0" w:color="000000"/>
            </w:tcBorders>
          </w:tcPr>
          <w:p w14:paraId="702C4CC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47.6%</w:t>
            </w:r>
          </w:p>
        </w:tc>
      </w:tr>
      <w:tr w:rsidR="008B1423" w:rsidRPr="00BE4F57" w14:paraId="4ECE7395" w14:textId="77777777" w:rsidTr="00720E20">
        <w:trPr>
          <w:trHeight w:hRule="exact" w:val="706"/>
        </w:trPr>
        <w:tc>
          <w:tcPr>
            <w:tcW w:w="1318" w:type="dxa"/>
            <w:vMerge/>
            <w:tcBorders>
              <w:left w:val="single" w:sz="6" w:space="0" w:color="000000"/>
              <w:bottom w:val="single" w:sz="6" w:space="0" w:color="000000"/>
              <w:right w:val="single" w:sz="6" w:space="0" w:color="000000"/>
            </w:tcBorders>
          </w:tcPr>
          <w:p w14:paraId="3B70B9B5" w14:textId="77777777" w:rsidR="008B1423" w:rsidRPr="00BE4F57" w:rsidRDefault="008B1423" w:rsidP="00A14CA6">
            <w:pPr>
              <w:spacing w:after="0" w:line="240" w:lineRule="auto"/>
              <w:rPr>
                <w:rFonts w:ascii="Sylfaen" w:hAnsi="Sylfaen"/>
                <w:sz w:val="24"/>
                <w:szCs w:val="24"/>
              </w:rPr>
            </w:pPr>
          </w:p>
        </w:tc>
        <w:tc>
          <w:tcPr>
            <w:tcW w:w="2835" w:type="dxa"/>
            <w:vMerge/>
            <w:tcBorders>
              <w:left w:val="single" w:sz="6" w:space="0" w:color="000000"/>
              <w:bottom w:val="single" w:sz="4" w:space="0" w:color="auto"/>
              <w:right w:val="single" w:sz="6" w:space="0" w:color="000000"/>
            </w:tcBorders>
          </w:tcPr>
          <w:p w14:paraId="6E911736" w14:textId="77777777" w:rsidR="008B1423" w:rsidRPr="00BE4F57" w:rsidRDefault="008B1423" w:rsidP="00A14CA6">
            <w:pPr>
              <w:spacing w:after="0" w:line="240" w:lineRule="auto"/>
              <w:rPr>
                <w:rFonts w:ascii="Sylfaen" w:hAnsi="Sylfaen"/>
                <w:sz w:val="24"/>
                <w:szCs w:val="24"/>
              </w:rPr>
            </w:pPr>
          </w:p>
        </w:tc>
        <w:tc>
          <w:tcPr>
            <w:tcW w:w="1335" w:type="dxa"/>
            <w:gridSpan w:val="2"/>
            <w:tcBorders>
              <w:top w:val="single" w:sz="6" w:space="0" w:color="000000"/>
              <w:left w:val="single" w:sz="6" w:space="0" w:color="000000"/>
              <w:bottom w:val="single" w:sz="6" w:space="0" w:color="000000"/>
              <w:right w:val="single" w:sz="6" w:space="0" w:color="000000"/>
            </w:tcBorders>
          </w:tcPr>
          <w:p w14:paraId="4F34773D"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lang w:val="ka-GE"/>
              </w:rPr>
              <w:t>პლაცებო</w:t>
            </w:r>
          </w:p>
        </w:tc>
        <w:tc>
          <w:tcPr>
            <w:tcW w:w="823" w:type="dxa"/>
            <w:tcBorders>
              <w:top w:val="single" w:sz="6" w:space="0" w:color="000000"/>
              <w:left w:val="single" w:sz="6" w:space="0" w:color="000000"/>
              <w:bottom w:val="single" w:sz="6" w:space="0" w:color="000000"/>
              <w:right w:val="single" w:sz="6" w:space="0" w:color="000000"/>
            </w:tcBorders>
          </w:tcPr>
          <w:p w14:paraId="2ACF4C7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w:t>
            </w:r>
          </w:p>
        </w:tc>
        <w:tc>
          <w:tcPr>
            <w:tcW w:w="1244" w:type="dxa"/>
            <w:tcBorders>
              <w:top w:val="single" w:sz="6" w:space="0" w:color="000000"/>
              <w:left w:val="single" w:sz="6" w:space="0" w:color="000000"/>
              <w:bottom w:val="single" w:sz="6" w:space="0" w:color="000000"/>
              <w:right w:val="single" w:sz="6" w:space="0" w:color="000000"/>
            </w:tcBorders>
          </w:tcPr>
          <w:p w14:paraId="6DB5E50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850" w:type="dxa"/>
            <w:tcBorders>
              <w:top w:val="single" w:sz="6" w:space="0" w:color="000000"/>
              <w:left w:val="single" w:sz="6" w:space="0" w:color="000000"/>
              <w:bottom w:val="single" w:sz="6" w:space="0" w:color="000000"/>
              <w:right w:val="single" w:sz="6" w:space="0" w:color="000000"/>
            </w:tcBorders>
          </w:tcPr>
          <w:p w14:paraId="7620D97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c>
          <w:tcPr>
            <w:tcW w:w="1134" w:type="dxa"/>
            <w:tcBorders>
              <w:top w:val="single" w:sz="6" w:space="0" w:color="000000"/>
              <w:left w:val="single" w:sz="6" w:space="0" w:color="000000"/>
              <w:bottom w:val="single" w:sz="6" w:space="0" w:color="000000"/>
              <w:right w:val="single" w:sz="6" w:space="0" w:color="000000"/>
            </w:tcBorders>
          </w:tcPr>
          <w:p w14:paraId="6542CD6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NAa</w:t>
            </w:r>
          </w:p>
        </w:tc>
      </w:tr>
    </w:tbl>
    <w:p w14:paraId="6134F770" w14:textId="77777777" w:rsidR="008B1423" w:rsidRPr="00BE4F57" w:rsidRDefault="008B1423" w:rsidP="00A14CA6">
      <w:pPr>
        <w:spacing w:after="0" w:line="240" w:lineRule="auto"/>
        <w:jc w:val="both"/>
        <w:rPr>
          <w:rFonts w:ascii="Sylfaen" w:hAnsi="Sylfaen"/>
          <w:b/>
          <w:sz w:val="24"/>
          <w:szCs w:val="24"/>
          <w:lang w:val="ka-GE"/>
        </w:rPr>
      </w:pPr>
    </w:p>
    <w:p w14:paraId="48057B7F"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a</w:t>
      </w:r>
      <w:r w:rsidRPr="00BE4F57">
        <w:rPr>
          <w:sz w:val="24"/>
          <w:szCs w:val="24"/>
        </w:rPr>
        <w:t xml:space="preserve">  </w:t>
      </w:r>
      <w:r w:rsidRPr="00BE4F57">
        <w:rPr>
          <w:rFonts w:ascii="Sylfaen" w:hAnsi="Sylfaen" w:cs="Calibri"/>
          <w:sz w:val="24"/>
          <w:szCs w:val="24"/>
          <w:lang w:val="ka-GE"/>
        </w:rPr>
        <w:t xml:space="preserve"> </w:t>
      </w:r>
      <w:r w:rsidRPr="00BE4F57">
        <w:rPr>
          <w:rFonts w:ascii="Sylfaen" w:hAnsi="Sylfaen"/>
          <w:sz w:val="24"/>
          <w:szCs w:val="24"/>
          <w:lang w:val="ka-GE"/>
        </w:rPr>
        <w:t>არ არის ხელმისაწვდომი</w:t>
      </w:r>
    </w:p>
    <w:p w14:paraId="155FA1FD" w14:textId="77777777" w:rsidR="008B1423" w:rsidRPr="00BE4F57" w:rsidRDefault="008B1423" w:rsidP="00A14CA6">
      <w:pPr>
        <w:spacing w:after="0" w:line="240" w:lineRule="auto"/>
        <w:jc w:val="both"/>
        <w:rPr>
          <w:rFonts w:ascii="Sylfaen" w:hAnsi="Sylfaen"/>
          <w:b/>
          <w:sz w:val="24"/>
          <w:szCs w:val="24"/>
          <w:lang w:val="ka-GE"/>
        </w:rPr>
      </w:pPr>
    </w:p>
    <w:p w14:paraId="10D61B2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წონაში მატება</w:t>
      </w:r>
    </w:p>
    <w:p w14:paraId="00DBD85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კომბის მიღების დაწყებამდე გასათვალისწინებელია წონაში მატების პოტენციური შედეგები. პაციენტებმა, რომლებიც იღებენ რექსეპი კომბის, რეგულარულად უნდა აკონტროლონ წონა.</w:t>
      </w:r>
    </w:p>
    <w:p w14:paraId="0D077E84" w14:textId="77777777" w:rsidR="008B1423" w:rsidRPr="00BE4F57" w:rsidRDefault="008B1423" w:rsidP="00A14CA6">
      <w:pPr>
        <w:spacing w:after="0" w:line="240" w:lineRule="auto"/>
        <w:jc w:val="both"/>
        <w:rPr>
          <w:rFonts w:ascii="Sylfaen" w:hAnsi="Sylfaen"/>
          <w:sz w:val="24"/>
          <w:szCs w:val="24"/>
          <w:lang w:val="ka-GE"/>
        </w:rPr>
      </w:pPr>
    </w:p>
    <w:p w14:paraId="738D398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მოზრდილები - 7 კონტროლირებადი კლინიკური კვლევის ანალიზის თანახმად, რომელთაგან 2 პლაცებო-კონტროლირებადი იყო, რექსეპი კომბის მიმღებ პაციენტებში წონის საშუალო მატება უფრო მაღალი იყო, ვიდრე პლაცებოს მიმღებ პაციენტებში [4 კგ შედარებით -0.3 კგ–თან].</w:t>
      </w:r>
    </w:p>
    <w:p w14:paraId="0BE623B8" w14:textId="77777777" w:rsidR="008B1423" w:rsidRPr="00BE4F57" w:rsidRDefault="008B1423" w:rsidP="00A14CA6">
      <w:pPr>
        <w:spacing w:after="0" w:line="240" w:lineRule="auto"/>
        <w:jc w:val="both"/>
        <w:rPr>
          <w:rFonts w:ascii="Sylfaen" w:hAnsi="Sylfaen"/>
          <w:sz w:val="24"/>
          <w:szCs w:val="24"/>
          <w:lang w:val="ka-GE"/>
        </w:rPr>
      </w:pPr>
    </w:p>
    <w:p w14:paraId="16F4EFF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კომბინაციით მკურნალობისას პაციენტების 22%-მა მოიმატა საწყისი წონის მინიმუმ 7%-ით, მოვლენამდე მედიანური ექსპოზიციით 6 კვირა. ეს მაჩვენებელი უფრო მაღალი იყო, ვიდრე პლაცებოს მიმღებ პაციენტებში (1.8%). რექსეპი კომბის მიმღებ პაციენტთა დაახლოებით 3%-მა მოიმატა წონაში საწყისი წონის მინიმუმ 15%-ით, მოვლენამდე მედიანური ექსპოზიციით 8 კვირა. ეს მაჩვენებელი უფრო მეტი იყო, ვიდრე პლაცებოს მიმღებ პაციენტებში (0%). კლინიკურად მნიშვნელოვანი წონის მატება დაფიქსირდა სხეულის მასის ინდექსის (BMI) ყველა საბაზისო კატეგორიაში. წონის მომატების გამო მკურნალობის შეწყვეტა აღინიშნა ოლანზაპინისა და ფლუოქსეტინის კომბინაციით ნამკურნალები პაციენტების 2.5%-ში და პლაცებოს მიმღები პაციენტების 0%-ში.</w:t>
      </w:r>
    </w:p>
    <w:p w14:paraId="4DA75B7B" w14:textId="77777777" w:rsidR="008B1423" w:rsidRPr="00BE4F57" w:rsidRDefault="008B1423" w:rsidP="00A14CA6">
      <w:pPr>
        <w:spacing w:after="0" w:line="240" w:lineRule="auto"/>
        <w:jc w:val="both"/>
        <w:rPr>
          <w:rFonts w:ascii="Sylfaen" w:hAnsi="Sylfaen"/>
          <w:sz w:val="24"/>
          <w:szCs w:val="24"/>
          <w:lang w:val="ka-GE"/>
        </w:rPr>
      </w:pPr>
    </w:p>
    <w:p w14:paraId="286D5BB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გრძელვადიანი კომბინირებული კვლევებისას (მინიმუმ 48 კვირა) წონის საშუალო მატება შეადგენდა 6.7 კგ (მედიანური ექსპოზიცია 448 დღე, N=431). პაციენტების პროცენტული მაჩვენებელი, რომლებმაც ხანგრძლივი ექსპოზიციისას მოიმატეს საწყისი მაჩვენებლიდან სხეულის წონის მინიმუმ 7%, 15% ან 25% შეადგენდა, შესაბამისად, 66%, 33% და 10%–ს. წონის მომატების გამო მკურნალობის შეწყვეტა დაფიქსირდა ოლანზაპინისა და ფლუოქსეტინის კომბინირებული მკურნალობის შემდეგ პაციენტების 1.2%-ში, ექსპოზიციის </w:t>
      </w:r>
      <w:r w:rsidRPr="00BE4F57">
        <w:rPr>
          <w:rFonts w:ascii="Sylfaen" w:hAnsi="Sylfaen"/>
          <w:sz w:val="24"/>
          <w:szCs w:val="24"/>
          <w:lang w:val="ka-GE"/>
        </w:rPr>
        <w:lastRenderedPageBreak/>
        <w:t>მინიმუმ 48 კვირის შემდეგ. ცხრილი 11 ასახავს წონის მომატების განაწილებას რეციდივის პრევენციის ერთჯერად გრძელვადიან კვლევაში პაციენტებში, რომლებიც მკურნალობდნენ ოლანზაპინისა და ფლუოქსეტინის კომბინაციით 47 კვირამდე.</w:t>
      </w:r>
    </w:p>
    <w:p w14:paraId="06647A1D" w14:textId="77777777" w:rsidR="008B1423" w:rsidRPr="00BE4F57" w:rsidRDefault="008B1423" w:rsidP="00A14CA6">
      <w:pPr>
        <w:spacing w:after="0" w:line="240" w:lineRule="auto"/>
        <w:jc w:val="both"/>
        <w:rPr>
          <w:rFonts w:ascii="Sylfaen" w:hAnsi="Sylfaen"/>
          <w:b/>
          <w:sz w:val="24"/>
          <w:szCs w:val="24"/>
          <w:lang w:val="ka-GE"/>
        </w:rPr>
      </w:pPr>
    </w:p>
    <w:p w14:paraId="57AD5CF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11: წონის მატება ოლანზაპინისა და ფლუოქსეტინის კომბინაციის გამოყენებისას რეციდივის პრევენციის ერთჯერად კვლევაში მოზრდილებში.</w:t>
      </w:r>
    </w:p>
    <w:p w14:paraId="30D42C93" w14:textId="77777777" w:rsidR="008B1423" w:rsidRPr="00BE4F57" w:rsidRDefault="008B1423" w:rsidP="00A14CA6">
      <w:pPr>
        <w:spacing w:after="0" w:line="240" w:lineRule="auto"/>
        <w:jc w:val="both"/>
        <w:rPr>
          <w:rFonts w:ascii="Sylfaen" w:hAnsi="Sylfaen"/>
          <w:b/>
          <w:sz w:val="24"/>
          <w:szCs w:val="24"/>
          <w:lang w:val="ka-GE"/>
        </w:rPr>
      </w:pPr>
    </w:p>
    <w:tbl>
      <w:tblPr>
        <w:tblW w:w="9182" w:type="dxa"/>
        <w:tblInd w:w="95" w:type="dxa"/>
        <w:tblLayout w:type="fixed"/>
        <w:tblCellMar>
          <w:left w:w="0" w:type="dxa"/>
          <w:right w:w="0" w:type="dxa"/>
        </w:tblCellMar>
        <w:tblLook w:val="01E0" w:firstRow="1" w:lastRow="1" w:firstColumn="1" w:lastColumn="1" w:noHBand="0" w:noVBand="0"/>
      </w:tblPr>
      <w:tblGrid>
        <w:gridCol w:w="2181"/>
        <w:gridCol w:w="426"/>
        <w:gridCol w:w="1593"/>
        <w:gridCol w:w="533"/>
        <w:gridCol w:w="1817"/>
        <w:gridCol w:w="604"/>
        <w:gridCol w:w="1610"/>
        <w:gridCol w:w="418"/>
      </w:tblGrid>
      <w:tr w:rsidR="008B1423" w:rsidRPr="00BE4F57" w14:paraId="7D5B17E2" w14:textId="77777777" w:rsidTr="00736CAF">
        <w:trPr>
          <w:trHeight w:hRule="exact" w:val="692"/>
        </w:trPr>
        <w:tc>
          <w:tcPr>
            <w:tcW w:w="2181" w:type="dxa"/>
            <w:tcBorders>
              <w:top w:val="single" w:sz="2" w:space="0" w:color="000000"/>
              <w:left w:val="single" w:sz="6" w:space="0" w:color="000000"/>
              <w:bottom w:val="single" w:sz="6" w:space="0" w:color="000000"/>
              <w:right w:val="nil"/>
            </w:tcBorders>
          </w:tcPr>
          <w:p w14:paraId="56BEC9C2" w14:textId="77777777" w:rsidR="008B1423" w:rsidRPr="00BE4F57" w:rsidRDefault="008B1423" w:rsidP="00A14CA6">
            <w:pPr>
              <w:pStyle w:val="TableParagraph"/>
              <w:tabs>
                <w:tab w:val="left" w:pos="1558"/>
              </w:tabs>
              <w:autoSpaceDE/>
              <w:autoSpaceDN/>
              <w:rPr>
                <w:rFonts w:ascii="Sylfaen" w:hAnsi="Sylfaen"/>
                <w:b/>
                <w:sz w:val="24"/>
                <w:szCs w:val="24"/>
              </w:rPr>
            </w:pPr>
            <w:r w:rsidRPr="00BE4F57">
              <w:rPr>
                <w:rFonts w:ascii="Sylfaen" w:hAnsi="Sylfaen"/>
                <w:b/>
                <w:bCs/>
                <w:sz w:val="24"/>
                <w:szCs w:val="24"/>
                <w:lang w:val="ka-GE"/>
              </w:rPr>
              <w:t>მომატებული წონის მაჩვენებელი</w:t>
            </w:r>
            <w:r w:rsidRPr="00BE4F57">
              <w:rPr>
                <w:rFonts w:ascii="Sylfaen" w:hAnsi="Sylfaen"/>
                <w:b/>
                <w:bCs/>
                <w:sz w:val="24"/>
                <w:szCs w:val="24"/>
              </w:rPr>
              <w:t xml:space="preserve"> (</w:t>
            </w:r>
            <w:r w:rsidRPr="00BE4F57">
              <w:rPr>
                <w:rFonts w:ascii="Sylfaen" w:hAnsi="Sylfaen"/>
                <w:b/>
                <w:bCs/>
                <w:sz w:val="24"/>
                <w:szCs w:val="24"/>
                <w:lang w:val="ka-GE"/>
              </w:rPr>
              <w:t>ფუნტი</w:t>
            </w:r>
            <w:r w:rsidRPr="00BE4F57">
              <w:rPr>
                <w:rFonts w:ascii="Sylfaen" w:hAnsi="Sylfaen"/>
                <w:b/>
                <w:bCs/>
                <w:sz w:val="24"/>
                <w:szCs w:val="24"/>
              </w:rPr>
              <w:t>)</w:t>
            </w:r>
          </w:p>
        </w:tc>
        <w:tc>
          <w:tcPr>
            <w:tcW w:w="426" w:type="dxa"/>
            <w:tcBorders>
              <w:top w:val="single" w:sz="2" w:space="0" w:color="000000"/>
              <w:left w:val="nil"/>
              <w:bottom w:val="single" w:sz="6" w:space="0" w:color="000000"/>
              <w:right w:val="single" w:sz="6" w:space="0" w:color="000000"/>
            </w:tcBorders>
          </w:tcPr>
          <w:p w14:paraId="704F06D1"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lang w:val="ka-GE"/>
              </w:rPr>
              <w:t>კგ</w:t>
            </w:r>
          </w:p>
        </w:tc>
        <w:tc>
          <w:tcPr>
            <w:tcW w:w="1593" w:type="dxa"/>
            <w:tcBorders>
              <w:top w:val="single" w:sz="2" w:space="0" w:color="000000"/>
              <w:left w:val="single" w:sz="6" w:space="0" w:color="000000"/>
              <w:bottom w:val="single" w:sz="6" w:space="0" w:color="000000"/>
              <w:right w:val="nil"/>
            </w:tcBorders>
          </w:tcPr>
          <w:p w14:paraId="22C57CFC" w14:textId="77777777" w:rsidR="008B1423" w:rsidRPr="00BE4F57" w:rsidRDefault="008B1423" w:rsidP="00A14CA6">
            <w:pPr>
              <w:pStyle w:val="TableParagraph"/>
              <w:tabs>
                <w:tab w:val="left" w:pos="692"/>
              </w:tabs>
              <w:autoSpaceDE/>
              <w:autoSpaceDN/>
              <w:rPr>
                <w:rFonts w:ascii="Sylfaen" w:hAnsi="Sylfaen"/>
                <w:b/>
                <w:sz w:val="24"/>
                <w:szCs w:val="24"/>
              </w:rPr>
            </w:pPr>
            <w:r w:rsidRPr="00BE4F57">
              <w:rPr>
                <w:rFonts w:ascii="Sylfaen" w:hAnsi="Sylfaen"/>
                <w:b/>
                <w:bCs/>
                <w:sz w:val="24"/>
                <w:szCs w:val="24"/>
              </w:rPr>
              <w:t xml:space="preserve">8 </w:t>
            </w:r>
            <w:r w:rsidRPr="00BE4F57">
              <w:rPr>
                <w:rFonts w:ascii="Sylfaen" w:hAnsi="Sylfaen"/>
                <w:b/>
                <w:bCs/>
                <w:sz w:val="24"/>
                <w:szCs w:val="24"/>
                <w:lang w:val="ka-GE"/>
              </w:rPr>
              <w:t>კვირა</w:t>
            </w:r>
            <w:r w:rsidRPr="00BE4F57">
              <w:rPr>
                <w:rFonts w:ascii="Sylfaen" w:hAnsi="Sylfaen"/>
                <w:b/>
                <w:bCs/>
                <w:sz w:val="24"/>
                <w:szCs w:val="24"/>
              </w:rPr>
              <w:t xml:space="preserve"> (N=881)(%)</w:t>
            </w:r>
          </w:p>
        </w:tc>
        <w:tc>
          <w:tcPr>
            <w:tcW w:w="533" w:type="dxa"/>
            <w:tcBorders>
              <w:top w:val="single" w:sz="2" w:space="0" w:color="000000"/>
              <w:left w:val="nil"/>
              <w:bottom w:val="single" w:sz="6" w:space="0" w:color="000000"/>
              <w:right w:val="single" w:sz="6" w:space="0" w:color="000000"/>
            </w:tcBorders>
          </w:tcPr>
          <w:p w14:paraId="0D58892C"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w:t>
            </w:r>
          </w:p>
        </w:tc>
        <w:tc>
          <w:tcPr>
            <w:tcW w:w="1817" w:type="dxa"/>
            <w:tcBorders>
              <w:top w:val="single" w:sz="2" w:space="0" w:color="000000"/>
              <w:left w:val="single" w:sz="6" w:space="0" w:color="000000"/>
              <w:bottom w:val="single" w:sz="6" w:space="0" w:color="000000"/>
              <w:right w:val="nil"/>
            </w:tcBorders>
          </w:tcPr>
          <w:p w14:paraId="18930440" w14:textId="77777777" w:rsidR="008B1423" w:rsidRPr="00BE4F57" w:rsidRDefault="008B1423" w:rsidP="00A14CA6">
            <w:pPr>
              <w:pStyle w:val="TableParagraph"/>
              <w:tabs>
                <w:tab w:val="left" w:pos="889"/>
              </w:tabs>
              <w:autoSpaceDE/>
              <w:autoSpaceDN/>
              <w:rPr>
                <w:rFonts w:ascii="Sylfaen" w:hAnsi="Sylfaen"/>
                <w:b/>
                <w:sz w:val="24"/>
                <w:szCs w:val="24"/>
              </w:rPr>
            </w:pPr>
            <w:r w:rsidRPr="00BE4F57">
              <w:rPr>
                <w:rFonts w:ascii="Sylfaen" w:hAnsi="Sylfaen"/>
                <w:b/>
                <w:bCs/>
                <w:sz w:val="24"/>
                <w:szCs w:val="24"/>
              </w:rPr>
              <w:t xml:space="preserve">20 </w:t>
            </w:r>
            <w:r w:rsidRPr="00BE4F57">
              <w:rPr>
                <w:rFonts w:ascii="Sylfaen" w:hAnsi="Sylfaen"/>
                <w:b/>
                <w:bCs/>
                <w:sz w:val="24"/>
                <w:szCs w:val="24"/>
                <w:lang w:val="ka-GE"/>
              </w:rPr>
              <w:t xml:space="preserve">კვირა </w:t>
            </w:r>
            <w:r w:rsidRPr="00BE4F57">
              <w:rPr>
                <w:rFonts w:ascii="Sylfaen" w:hAnsi="Sylfaen"/>
                <w:b/>
                <w:bCs/>
                <w:sz w:val="24"/>
                <w:szCs w:val="24"/>
              </w:rPr>
              <w:t>(N=651)(%)</w:t>
            </w:r>
          </w:p>
        </w:tc>
        <w:tc>
          <w:tcPr>
            <w:tcW w:w="604" w:type="dxa"/>
            <w:tcBorders>
              <w:top w:val="single" w:sz="2" w:space="0" w:color="000000"/>
              <w:left w:val="nil"/>
              <w:bottom w:val="single" w:sz="6" w:space="0" w:color="000000"/>
              <w:right w:val="single" w:sz="6" w:space="0" w:color="000000"/>
            </w:tcBorders>
          </w:tcPr>
          <w:p w14:paraId="5B16C59E"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w:t>
            </w:r>
          </w:p>
        </w:tc>
        <w:tc>
          <w:tcPr>
            <w:tcW w:w="1610" w:type="dxa"/>
            <w:tcBorders>
              <w:top w:val="single" w:sz="2" w:space="0" w:color="000000"/>
              <w:left w:val="single" w:sz="6" w:space="0" w:color="000000"/>
              <w:bottom w:val="single" w:sz="6" w:space="0" w:color="000000"/>
              <w:right w:val="nil"/>
            </w:tcBorders>
          </w:tcPr>
          <w:p w14:paraId="13A82B59" w14:textId="77777777" w:rsidR="008B1423" w:rsidRPr="00BE4F57" w:rsidRDefault="008B1423" w:rsidP="00A14CA6">
            <w:pPr>
              <w:pStyle w:val="TableParagraph"/>
              <w:tabs>
                <w:tab w:val="left" w:pos="850"/>
              </w:tabs>
              <w:autoSpaceDE/>
              <w:autoSpaceDN/>
              <w:rPr>
                <w:rFonts w:ascii="Sylfaen" w:hAnsi="Sylfaen"/>
                <w:b/>
                <w:sz w:val="24"/>
                <w:szCs w:val="24"/>
              </w:rPr>
            </w:pPr>
            <w:r w:rsidRPr="00BE4F57">
              <w:rPr>
                <w:rFonts w:ascii="Sylfaen" w:hAnsi="Sylfaen"/>
                <w:b/>
                <w:bCs/>
                <w:sz w:val="24"/>
                <w:szCs w:val="24"/>
              </w:rPr>
              <w:t xml:space="preserve">47 </w:t>
            </w:r>
            <w:r w:rsidRPr="00BE4F57">
              <w:rPr>
                <w:rFonts w:ascii="Sylfaen" w:hAnsi="Sylfaen"/>
                <w:b/>
                <w:bCs/>
                <w:sz w:val="24"/>
                <w:szCs w:val="24"/>
                <w:lang w:val="ka-GE"/>
              </w:rPr>
              <w:t>კვირა</w:t>
            </w:r>
            <w:r w:rsidRPr="00BE4F57">
              <w:rPr>
                <w:rFonts w:ascii="Sylfaen" w:hAnsi="Sylfaen"/>
                <w:b/>
                <w:bCs/>
                <w:sz w:val="24"/>
                <w:szCs w:val="24"/>
              </w:rPr>
              <w:t xml:space="preserve"> (N=220)(%)</w:t>
            </w:r>
          </w:p>
        </w:tc>
        <w:tc>
          <w:tcPr>
            <w:tcW w:w="418" w:type="dxa"/>
            <w:tcBorders>
              <w:top w:val="single" w:sz="2" w:space="0" w:color="000000"/>
              <w:left w:val="nil"/>
              <w:bottom w:val="single" w:sz="6" w:space="0" w:color="000000"/>
              <w:right w:val="single" w:sz="6" w:space="0" w:color="000000"/>
            </w:tcBorders>
          </w:tcPr>
          <w:p w14:paraId="3593ACDB"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w:t>
            </w:r>
          </w:p>
        </w:tc>
      </w:tr>
      <w:tr w:rsidR="008B1423" w:rsidRPr="00BE4F57" w14:paraId="019E8D02" w14:textId="77777777" w:rsidTr="00233964">
        <w:trPr>
          <w:trHeight w:hRule="exact" w:val="403"/>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2AB0408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2126" w:type="dxa"/>
            <w:gridSpan w:val="2"/>
            <w:tcBorders>
              <w:top w:val="single" w:sz="6" w:space="0" w:color="000000"/>
              <w:left w:val="single" w:sz="6" w:space="0" w:color="000000"/>
              <w:bottom w:val="single" w:sz="6" w:space="0" w:color="000000"/>
              <w:right w:val="single" w:sz="6" w:space="0" w:color="000000"/>
            </w:tcBorders>
          </w:tcPr>
          <w:p w14:paraId="46A72AA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19.8</w:t>
            </w:r>
          </w:p>
        </w:tc>
        <w:tc>
          <w:tcPr>
            <w:tcW w:w="2421" w:type="dxa"/>
            <w:gridSpan w:val="2"/>
            <w:tcBorders>
              <w:top w:val="single" w:sz="6" w:space="0" w:color="000000"/>
              <w:left w:val="single" w:sz="6" w:space="0" w:color="000000"/>
              <w:bottom w:val="single" w:sz="6" w:space="0" w:color="000000"/>
              <w:right w:val="single" w:sz="6" w:space="0" w:color="000000"/>
            </w:tcBorders>
          </w:tcPr>
          <w:p w14:paraId="161CB67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14.9</w:t>
            </w:r>
          </w:p>
        </w:tc>
        <w:tc>
          <w:tcPr>
            <w:tcW w:w="2028" w:type="dxa"/>
            <w:gridSpan w:val="2"/>
            <w:tcBorders>
              <w:top w:val="single" w:sz="6" w:space="0" w:color="000000"/>
              <w:left w:val="single" w:sz="6" w:space="0" w:color="000000"/>
              <w:bottom w:val="single" w:sz="6" w:space="0" w:color="000000"/>
              <w:right w:val="single" w:sz="6" w:space="0" w:color="000000"/>
            </w:tcBorders>
          </w:tcPr>
          <w:p w14:paraId="6691C77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19.1</w:t>
            </w:r>
          </w:p>
        </w:tc>
      </w:tr>
      <w:tr w:rsidR="008B1423" w:rsidRPr="00BE4F57" w14:paraId="3D5908EC" w14:textId="77777777" w:rsidTr="00233964">
        <w:trPr>
          <w:trHeight w:hRule="exact" w:val="308"/>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3A94389B" w14:textId="77777777" w:rsidR="008B1423" w:rsidRPr="00BE4F57" w:rsidRDefault="008B1423" w:rsidP="00A14CA6">
            <w:pPr>
              <w:pStyle w:val="TableParagraph"/>
              <w:autoSpaceDE/>
              <w:autoSpaceDN/>
              <w:rPr>
                <w:rFonts w:ascii="Sylfaen" w:hAnsi="Sylfaen"/>
                <w:bCs/>
                <w:sz w:val="24"/>
                <w:szCs w:val="24"/>
                <w:lang w:val="ka-GE"/>
              </w:rPr>
            </w:pPr>
            <w:r w:rsidRPr="00BE4F57">
              <w:rPr>
                <w:rFonts w:ascii="Sylfaen" w:hAnsi="Sylfaen"/>
                <w:sz w:val="24"/>
                <w:szCs w:val="24"/>
              </w:rPr>
              <w:t>0 - ≤5</w:t>
            </w:r>
            <w:r w:rsidRPr="00BE4F57">
              <w:rPr>
                <w:rFonts w:ascii="Sylfaen" w:hAnsi="Sylfaen"/>
                <w:sz w:val="24"/>
                <w:szCs w:val="24"/>
                <w:lang w:val="ka-GE"/>
              </w:rPr>
              <w:t xml:space="preserve"> </w:t>
            </w:r>
            <w:r w:rsidRPr="00BE4F57">
              <w:rPr>
                <w:rFonts w:ascii="Sylfaen" w:hAnsi="Sylfaen"/>
                <w:sz w:val="24"/>
                <w:szCs w:val="24"/>
              </w:rPr>
              <w:t>(0-11</w:t>
            </w:r>
            <w:r w:rsidRPr="00BE4F57">
              <w:rPr>
                <w:rFonts w:ascii="Sylfaen" w:hAnsi="Sylfaen"/>
                <w:spacing w:val="-15"/>
                <w:sz w:val="24"/>
                <w:szCs w:val="24"/>
              </w:rPr>
              <w:t xml:space="preserve"> </w:t>
            </w:r>
            <w:r w:rsidRPr="00BE4F57">
              <w:rPr>
                <w:rFonts w:ascii="Sylfaen" w:hAnsi="Sylfaen"/>
                <w:bCs/>
                <w:sz w:val="24"/>
                <w:szCs w:val="24"/>
                <w:lang w:val="ka-GE"/>
              </w:rPr>
              <w:t>ფუნტი)</w:t>
            </w:r>
          </w:p>
          <w:p w14:paraId="634C5299" w14:textId="77777777" w:rsidR="008B1423" w:rsidRPr="00BE4F57" w:rsidRDefault="008B1423" w:rsidP="00A14CA6">
            <w:pPr>
              <w:pStyle w:val="TableParagraph"/>
              <w:autoSpaceDE/>
              <w:autoSpaceDN/>
              <w:rPr>
                <w:rFonts w:ascii="Sylfaen" w:hAnsi="Sylfaen"/>
                <w:sz w:val="24"/>
                <w:szCs w:val="24"/>
              </w:rPr>
            </w:pPr>
          </w:p>
        </w:tc>
        <w:tc>
          <w:tcPr>
            <w:tcW w:w="2126" w:type="dxa"/>
            <w:gridSpan w:val="2"/>
            <w:tcBorders>
              <w:top w:val="single" w:sz="6" w:space="0" w:color="000000"/>
              <w:left w:val="single" w:sz="6" w:space="0" w:color="000000"/>
              <w:bottom w:val="single" w:sz="6" w:space="0" w:color="000000"/>
              <w:right w:val="single" w:sz="6" w:space="0" w:color="000000"/>
            </w:tcBorders>
          </w:tcPr>
          <w:p w14:paraId="0209970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64.1</w:t>
            </w:r>
          </w:p>
        </w:tc>
        <w:tc>
          <w:tcPr>
            <w:tcW w:w="2421" w:type="dxa"/>
            <w:gridSpan w:val="2"/>
            <w:tcBorders>
              <w:top w:val="single" w:sz="6" w:space="0" w:color="000000"/>
              <w:left w:val="single" w:sz="6" w:space="0" w:color="000000"/>
              <w:bottom w:val="single" w:sz="6" w:space="0" w:color="000000"/>
              <w:right w:val="single" w:sz="6" w:space="0" w:color="000000"/>
            </w:tcBorders>
          </w:tcPr>
          <w:p w14:paraId="44F4443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47.2</w:t>
            </w:r>
          </w:p>
        </w:tc>
        <w:tc>
          <w:tcPr>
            <w:tcW w:w="2028" w:type="dxa"/>
            <w:gridSpan w:val="2"/>
            <w:tcBorders>
              <w:top w:val="single" w:sz="6" w:space="0" w:color="000000"/>
              <w:left w:val="single" w:sz="6" w:space="0" w:color="000000"/>
              <w:bottom w:val="single" w:sz="6" w:space="0" w:color="000000"/>
              <w:right w:val="single" w:sz="6" w:space="0" w:color="000000"/>
            </w:tcBorders>
          </w:tcPr>
          <w:p w14:paraId="69E97C7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37.7</w:t>
            </w:r>
          </w:p>
        </w:tc>
      </w:tr>
      <w:tr w:rsidR="008B1423" w:rsidRPr="00BE4F57" w14:paraId="612AC854" w14:textId="77777777" w:rsidTr="00233964">
        <w:trPr>
          <w:trHeight w:hRule="exact" w:val="283"/>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1BB80CD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&gt;5 - ≤10 (11-22</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2126" w:type="dxa"/>
            <w:gridSpan w:val="2"/>
            <w:tcBorders>
              <w:top w:val="single" w:sz="6" w:space="0" w:color="000000"/>
              <w:left w:val="single" w:sz="6" w:space="0" w:color="000000"/>
              <w:bottom w:val="single" w:sz="6" w:space="0" w:color="000000"/>
              <w:right w:val="single" w:sz="6" w:space="0" w:color="000000"/>
            </w:tcBorders>
          </w:tcPr>
          <w:p w14:paraId="7ED17C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15.1</w:t>
            </w:r>
          </w:p>
        </w:tc>
        <w:tc>
          <w:tcPr>
            <w:tcW w:w="2421" w:type="dxa"/>
            <w:gridSpan w:val="2"/>
            <w:tcBorders>
              <w:top w:val="single" w:sz="6" w:space="0" w:color="000000"/>
              <w:left w:val="single" w:sz="6" w:space="0" w:color="000000"/>
              <w:bottom w:val="single" w:sz="6" w:space="0" w:color="000000"/>
              <w:right w:val="single" w:sz="6" w:space="0" w:color="000000"/>
            </w:tcBorders>
          </w:tcPr>
          <w:p w14:paraId="459E75A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30.3</w:t>
            </w:r>
          </w:p>
        </w:tc>
        <w:tc>
          <w:tcPr>
            <w:tcW w:w="2028" w:type="dxa"/>
            <w:gridSpan w:val="2"/>
            <w:tcBorders>
              <w:top w:val="single" w:sz="6" w:space="0" w:color="000000"/>
              <w:left w:val="single" w:sz="6" w:space="0" w:color="000000"/>
              <w:bottom w:val="single" w:sz="6" w:space="0" w:color="000000"/>
              <w:right w:val="single" w:sz="6" w:space="0" w:color="000000"/>
            </w:tcBorders>
          </w:tcPr>
          <w:p w14:paraId="6B135ED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27.7</w:t>
            </w:r>
          </w:p>
        </w:tc>
      </w:tr>
      <w:tr w:rsidR="008B1423" w:rsidRPr="00BE4F57" w14:paraId="5206C77E" w14:textId="77777777" w:rsidTr="00233964">
        <w:trPr>
          <w:trHeight w:hRule="exact" w:val="274"/>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4154378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&gt;10 - ≤15 (22-33</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2126" w:type="dxa"/>
            <w:gridSpan w:val="2"/>
            <w:tcBorders>
              <w:top w:val="single" w:sz="6" w:space="0" w:color="000000"/>
              <w:left w:val="single" w:sz="6" w:space="0" w:color="000000"/>
              <w:bottom w:val="single" w:sz="6" w:space="0" w:color="000000"/>
              <w:right w:val="single" w:sz="6" w:space="0" w:color="000000"/>
            </w:tcBorders>
          </w:tcPr>
          <w:p w14:paraId="56E2F6E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0.9</w:t>
            </w:r>
          </w:p>
        </w:tc>
        <w:tc>
          <w:tcPr>
            <w:tcW w:w="2421" w:type="dxa"/>
            <w:gridSpan w:val="2"/>
            <w:tcBorders>
              <w:top w:val="single" w:sz="6" w:space="0" w:color="000000"/>
              <w:left w:val="single" w:sz="6" w:space="0" w:color="000000"/>
              <w:bottom w:val="single" w:sz="6" w:space="0" w:color="000000"/>
              <w:right w:val="single" w:sz="6" w:space="0" w:color="000000"/>
            </w:tcBorders>
          </w:tcPr>
          <w:p w14:paraId="5C27EDD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5.8</w:t>
            </w:r>
          </w:p>
        </w:tc>
        <w:tc>
          <w:tcPr>
            <w:tcW w:w="2028" w:type="dxa"/>
            <w:gridSpan w:val="2"/>
            <w:tcBorders>
              <w:top w:val="single" w:sz="6" w:space="0" w:color="000000"/>
              <w:left w:val="single" w:sz="6" w:space="0" w:color="000000"/>
              <w:bottom w:val="single" w:sz="6" w:space="0" w:color="000000"/>
              <w:right w:val="single" w:sz="6" w:space="0" w:color="000000"/>
            </w:tcBorders>
          </w:tcPr>
          <w:p w14:paraId="02DC21B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10.0</w:t>
            </w:r>
          </w:p>
        </w:tc>
      </w:tr>
      <w:tr w:rsidR="008B1423" w:rsidRPr="00BE4F57" w14:paraId="4F7DB521" w14:textId="77777777" w:rsidTr="00233964">
        <w:trPr>
          <w:trHeight w:hRule="exact" w:val="291"/>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69200E5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&gt;15 - ≤20 (33-44</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2126" w:type="dxa"/>
            <w:gridSpan w:val="2"/>
            <w:tcBorders>
              <w:top w:val="single" w:sz="6" w:space="0" w:color="000000"/>
              <w:left w:val="single" w:sz="6" w:space="0" w:color="000000"/>
              <w:bottom w:val="single" w:sz="6" w:space="0" w:color="000000"/>
              <w:right w:val="single" w:sz="6" w:space="0" w:color="000000"/>
            </w:tcBorders>
          </w:tcPr>
          <w:p w14:paraId="0DD2B06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0.1</w:t>
            </w:r>
          </w:p>
        </w:tc>
        <w:tc>
          <w:tcPr>
            <w:tcW w:w="2421" w:type="dxa"/>
            <w:gridSpan w:val="2"/>
            <w:tcBorders>
              <w:top w:val="single" w:sz="6" w:space="0" w:color="000000"/>
              <w:left w:val="single" w:sz="6" w:space="0" w:color="000000"/>
              <w:bottom w:val="single" w:sz="6" w:space="0" w:color="000000"/>
              <w:right w:val="single" w:sz="6" w:space="0" w:color="000000"/>
            </w:tcBorders>
          </w:tcPr>
          <w:p w14:paraId="66C5BA2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w:t>
            </w:r>
          </w:p>
        </w:tc>
        <w:tc>
          <w:tcPr>
            <w:tcW w:w="2028" w:type="dxa"/>
            <w:gridSpan w:val="2"/>
            <w:tcBorders>
              <w:top w:val="single" w:sz="6" w:space="0" w:color="000000"/>
              <w:left w:val="single" w:sz="6" w:space="0" w:color="000000"/>
              <w:bottom w:val="single" w:sz="6" w:space="0" w:color="000000"/>
              <w:right w:val="single" w:sz="6" w:space="0" w:color="000000"/>
            </w:tcBorders>
          </w:tcPr>
          <w:p w14:paraId="4A8445F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3.2</w:t>
            </w:r>
          </w:p>
        </w:tc>
      </w:tr>
      <w:tr w:rsidR="008B1423" w:rsidRPr="00BE4F57" w14:paraId="5F04A03C" w14:textId="77777777" w:rsidTr="00233964">
        <w:trPr>
          <w:trHeight w:hRule="exact" w:val="324"/>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249A920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&gt;20 - ≤25 (44-55</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2126" w:type="dxa"/>
            <w:gridSpan w:val="2"/>
            <w:tcBorders>
              <w:top w:val="single" w:sz="6" w:space="0" w:color="000000"/>
              <w:left w:val="single" w:sz="6" w:space="0" w:color="000000"/>
              <w:bottom w:val="single" w:sz="6" w:space="0" w:color="000000"/>
              <w:right w:val="single" w:sz="6" w:space="0" w:color="000000"/>
            </w:tcBorders>
          </w:tcPr>
          <w:p w14:paraId="58DFC9C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c>
          <w:tcPr>
            <w:tcW w:w="2421" w:type="dxa"/>
            <w:gridSpan w:val="2"/>
            <w:tcBorders>
              <w:top w:val="single" w:sz="6" w:space="0" w:color="000000"/>
              <w:left w:val="single" w:sz="6" w:space="0" w:color="000000"/>
              <w:bottom w:val="single" w:sz="6" w:space="0" w:color="000000"/>
              <w:right w:val="single" w:sz="6" w:space="0" w:color="000000"/>
            </w:tcBorders>
          </w:tcPr>
          <w:p w14:paraId="1C4C2DC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0.6</w:t>
            </w:r>
          </w:p>
        </w:tc>
        <w:tc>
          <w:tcPr>
            <w:tcW w:w="2028" w:type="dxa"/>
            <w:gridSpan w:val="2"/>
            <w:tcBorders>
              <w:top w:val="single" w:sz="6" w:space="0" w:color="000000"/>
              <w:left w:val="single" w:sz="6" w:space="0" w:color="000000"/>
              <w:bottom w:val="single" w:sz="6" w:space="0" w:color="000000"/>
              <w:right w:val="single" w:sz="6" w:space="0" w:color="000000"/>
            </w:tcBorders>
          </w:tcPr>
          <w:p w14:paraId="318539B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w:t>
            </w:r>
          </w:p>
        </w:tc>
      </w:tr>
      <w:tr w:rsidR="008B1423" w:rsidRPr="00BE4F57" w14:paraId="5B8D14FE" w14:textId="77777777" w:rsidTr="00233964">
        <w:trPr>
          <w:trHeight w:hRule="exact" w:val="346"/>
        </w:trPr>
        <w:tc>
          <w:tcPr>
            <w:tcW w:w="2607" w:type="dxa"/>
            <w:gridSpan w:val="2"/>
            <w:tcBorders>
              <w:top w:val="single" w:sz="6" w:space="0" w:color="000000"/>
              <w:left w:val="single" w:sz="6" w:space="0" w:color="000000"/>
              <w:bottom w:val="single" w:sz="6" w:space="0" w:color="000000"/>
              <w:right w:val="single" w:sz="6" w:space="0" w:color="000000"/>
            </w:tcBorders>
            <w:vAlign w:val="center"/>
          </w:tcPr>
          <w:p w14:paraId="4F840DD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&gt;25 - ≤30(55-66</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2126" w:type="dxa"/>
            <w:gridSpan w:val="2"/>
            <w:tcBorders>
              <w:top w:val="single" w:sz="6" w:space="0" w:color="000000"/>
              <w:left w:val="single" w:sz="6" w:space="0" w:color="000000"/>
              <w:bottom w:val="single" w:sz="6" w:space="0" w:color="000000"/>
              <w:right w:val="single" w:sz="6" w:space="0" w:color="000000"/>
            </w:tcBorders>
          </w:tcPr>
          <w:p w14:paraId="1812D39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c>
          <w:tcPr>
            <w:tcW w:w="2421" w:type="dxa"/>
            <w:gridSpan w:val="2"/>
            <w:tcBorders>
              <w:top w:val="single" w:sz="6" w:space="0" w:color="000000"/>
              <w:left w:val="single" w:sz="6" w:space="0" w:color="000000"/>
              <w:bottom w:val="single" w:sz="6" w:space="0" w:color="000000"/>
              <w:right w:val="single" w:sz="6" w:space="0" w:color="000000"/>
            </w:tcBorders>
          </w:tcPr>
          <w:p w14:paraId="254CC27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c>
          <w:tcPr>
            <w:tcW w:w="2028" w:type="dxa"/>
            <w:gridSpan w:val="2"/>
            <w:tcBorders>
              <w:top w:val="single" w:sz="6" w:space="0" w:color="000000"/>
              <w:left w:val="single" w:sz="6" w:space="0" w:color="000000"/>
              <w:bottom w:val="single" w:sz="6" w:space="0" w:color="000000"/>
              <w:right w:val="single" w:sz="6" w:space="0" w:color="000000"/>
            </w:tcBorders>
          </w:tcPr>
          <w:p w14:paraId="0CCE25C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0.5</w:t>
            </w:r>
          </w:p>
        </w:tc>
      </w:tr>
      <w:tr w:rsidR="008B1423" w:rsidRPr="00BE4F57" w14:paraId="7BFC73FC" w14:textId="77777777" w:rsidTr="00233964">
        <w:trPr>
          <w:trHeight w:hRule="exact" w:val="274"/>
        </w:trPr>
        <w:tc>
          <w:tcPr>
            <w:tcW w:w="2607" w:type="dxa"/>
            <w:gridSpan w:val="2"/>
            <w:tcBorders>
              <w:top w:val="single" w:sz="6" w:space="0" w:color="000000"/>
              <w:left w:val="single" w:sz="6" w:space="0" w:color="000000"/>
              <w:bottom w:val="single" w:sz="2" w:space="0" w:color="000000"/>
              <w:right w:val="single" w:sz="6" w:space="0" w:color="000000"/>
            </w:tcBorders>
            <w:vAlign w:val="center"/>
          </w:tcPr>
          <w:p w14:paraId="4E6B473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 xml:space="preserve">&gt;30 (&gt;66 </w:t>
            </w:r>
            <w:r w:rsidRPr="00BE4F57">
              <w:rPr>
                <w:rFonts w:ascii="Sylfaen" w:hAnsi="Sylfaen"/>
                <w:sz w:val="24"/>
                <w:szCs w:val="24"/>
                <w:lang w:val="ka-GE"/>
              </w:rPr>
              <w:t>კგ</w:t>
            </w:r>
            <w:r w:rsidRPr="00BE4F57">
              <w:rPr>
                <w:rFonts w:ascii="Sylfaen" w:hAnsi="Sylfaen"/>
                <w:sz w:val="24"/>
                <w:szCs w:val="24"/>
              </w:rPr>
              <w:t>)</w:t>
            </w:r>
          </w:p>
        </w:tc>
        <w:tc>
          <w:tcPr>
            <w:tcW w:w="2126" w:type="dxa"/>
            <w:gridSpan w:val="2"/>
            <w:tcBorders>
              <w:top w:val="single" w:sz="6" w:space="0" w:color="000000"/>
              <w:left w:val="single" w:sz="6" w:space="0" w:color="000000"/>
              <w:bottom w:val="single" w:sz="2" w:space="0" w:color="000000"/>
              <w:right w:val="single" w:sz="6" w:space="0" w:color="000000"/>
            </w:tcBorders>
          </w:tcPr>
          <w:p w14:paraId="0497D4E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c>
          <w:tcPr>
            <w:tcW w:w="2421" w:type="dxa"/>
            <w:gridSpan w:val="2"/>
            <w:tcBorders>
              <w:top w:val="single" w:sz="6" w:space="0" w:color="000000"/>
              <w:left w:val="single" w:sz="6" w:space="0" w:color="000000"/>
              <w:bottom w:val="single" w:sz="2" w:space="0" w:color="000000"/>
              <w:right w:val="single" w:sz="6" w:space="0" w:color="000000"/>
            </w:tcBorders>
          </w:tcPr>
          <w:p w14:paraId="4FCEBC0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0.0</w:t>
            </w:r>
          </w:p>
        </w:tc>
        <w:tc>
          <w:tcPr>
            <w:tcW w:w="2028" w:type="dxa"/>
            <w:gridSpan w:val="2"/>
            <w:tcBorders>
              <w:top w:val="single" w:sz="6" w:space="0" w:color="000000"/>
              <w:left w:val="single" w:sz="6" w:space="0" w:color="000000"/>
              <w:bottom w:val="single" w:sz="2" w:space="0" w:color="000000"/>
              <w:right w:val="single" w:sz="6" w:space="0" w:color="000000"/>
            </w:tcBorders>
          </w:tcPr>
          <w:p w14:paraId="490FBE1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0.5</w:t>
            </w:r>
          </w:p>
        </w:tc>
      </w:tr>
    </w:tbl>
    <w:p w14:paraId="1EFA7F83" w14:textId="77777777" w:rsidR="008B1423" w:rsidRPr="00BE4F57" w:rsidRDefault="008B1423" w:rsidP="00A14CA6">
      <w:pPr>
        <w:spacing w:after="0" w:line="240" w:lineRule="auto"/>
        <w:jc w:val="both"/>
        <w:rPr>
          <w:rFonts w:ascii="Sylfaen" w:hAnsi="Sylfaen"/>
          <w:b/>
          <w:sz w:val="24"/>
          <w:szCs w:val="24"/>
          <w:lang w:val="ka-GE"/>
        </w:rPr>
      </w:pPr>
    </w:p>
    <w:p w14:paraId="0AFA8CE6" w14:textId="77777777" w:rsidR="008B1423" w:rsidRPr="00BE4F57" w:rsidRDefault="008B1423" w:rsidP="00A14CA6">
      <w:pPr>
        <w:spacing w:after="0" w:line="240" w:lineRule="auto"/>
        <w:jc w:val="both"/>
        <w:rPr>
          <w:rFonts w:ascii="Sylfaen" w:hAnsi="Sylfaen"/>
          <w:b/>
          <w:sz w:val="24"/>
          <w:szCs w:val="24"/>
          <w:lang w:val="ka-GE"/>
        </w:rPr>
      </w:pPr>
    </w:p>
    <w:p w14:paraId="48FC11E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 გრძელვადიანი (მინიმუმ 48 კვირა) კვლევების დროს, საშუალო წონის მატება შეადგენდა 5.6 კგ (12.3 </w:t>
      </w:r>
      <w:r w:rsidRPr="00BE4F57">
        <w:rPr>
          <w:rFonts w:ascii="Sylfaen" w:hAnsi="Sylfaen"/>
          <w:bCs/>
          <w:sz w:val="24"/>
          <w:szCs w:val="24"/>
          <w:lang w:val="ka-GE"/>
        </w:rPr>
        <w:t>ფუნტი</w:t>
      </w:r>
      <w:r w:rsidRPr="00BE4F57">
        <w:rPr>
          <w:rFonts w:ascii="Sylfaen" w:hAnsi="Sylfaen"/>
          <w:sz w:val="24"/>
          <w:szCs w:val="24"/>
          <w:lang w:val="ka-GE"/>
        </w:rPr>
        <w:t>) (საშუალო ექსპოზიციის ხანგრძლივობა 573 დღე, N=2021). პაციენტების პროცენტული მაჩვენებელი, რომლებმაც ხანგრძლივი ექსპოზიციის შემდეგ მოიმატეს საწყისი წონის მაქსიმუმ 7%, 15% ან 25%, შეადგენდა 64%, 32% და 12%–ს, შესაბამისად. ექსპოზიციის მინიმუმ 48 კვირის შემდეგ, ოლანზაპინით ნამკურნალები პაციენტების 0.4%-მა შეწყვიტა მკურნალობა წონის მატების გამო.</w:t>
      </w:r>
    </w:p>
    <w:p w14:paraId="09475CD4" w14:textId="77777777" w:rsidR="008B1423" w:rsidRPr="00BE4F57" w:rsidRDefault="008B1423" w:rsidP="00A14CA6">
      <w:pPr>
        <w:spacing w:after="0" w:line="240" w:lineRule="auto"/>
        <w:jc w:val="both"/>
        <w:rPr>
          <w:rFonts w:ascii="Sylfaen" w:hAnsi="Sylfaen"/>
          <w:sz w:val="24"/>
          <w:szCs w:val="24"/>
          <w:lang w:val="ka-GE"/>
        </w:rPr>
      </w:pPr>
    </w:p>
    <w:p w14:paraId="11C0F44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ცხრილი 12 ასახავს მონაცემებს წონის მატების შესახებ ოლანზაპინის გამოყენებისას მოზრდილებში 86 კლინიკური კვლევიდან. თითოეულ სვეტში მოცემული მონაცემები წარმოადგენს იმ პაციენტების მონაცემებს, რომლებმაც დაასრულეს მკურნალობის პროცესი მითითებულ პერიოდებში.</w:t>
      </w:r>
    </w:p>
    <w:p w14:paraId="32690C29" w14:textId="77777777" w:rsidR="008B1423" w:rsidRPr="00BE4F57" w:rsidRDefault="008B1423" w:rsidP="00A14CA6">
      <w:pPr>
        <w:spacing w:after="0" w:line="240" w:lineRule="auto"/>
        <w:jc w:val="both"/>
        <w:rPr>
          <w:rFonts w:ascii="Sylfaen" w:hAnsi="Sylfaen"/>
          <w:b/>
          <w:sz w:val="24"/>
          <w:szCs w:val="24"/>
          <w:lang w:val="ka-GE"/>
        </w:rPr>
      </w:pPr>
    </w:p>
    <w:p w14:paraId="030440B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12: წონის მატება ოლანზაპინის გამოყენებით მოზრდილებში</w:t>
      </w:r>
    </w:p>
    <w:p w14:paraId="55343CD8" w14:textId="77777777" w:rsidR="008B1423" w:rsidRPr="00BE4F57" w:rsidRDefault="008B1423" w:rsidP="00A14CA6">
      <w:pPr>
        <w:spacing w:after="0" w:line="240" w:lineRule="auto"/>
        <w:jc w:val="both"/>
        <w:rPr>
          <w:rFonts w:ascii="Sylfaen" w:hAnsi="Sylfaen"/>
          <w:b/>
          <w:sz w:val="24"/>
          <w:szCs w:val="24"/>
          <w:lang w:val="ka-GE"/>
        </w:rPr>
      </w:pPr>
    </w:p>
    <w:tbl>
      <w:tblPr>
        <w:tblW w:w="9648" w:type="dxa"/>
        <w:tblInd w:w="105" w:type="dxa"/>
        <w:tblLayout w:type="fixed"/>
        <w:tblCellMar>
          <w:left w:w="0" w:type="dxa"/>
          <w:right w:w="0" w:type="dxa"/>
        </w:tblCellMar>
        <w:tblLook w:val="01E0" w:firstRow="1" w:lastRow="1" w:firstColumn="1" w:lastColumn="1" w:noHBand="0" w:noVBand="0"/>
      </w:tblPr>
      <w:tblGrid>
        <w:gridCol w:w="2166"/>
        <w:gridCol w:w="1528"/>
        <w:gridCol w:w="1559"/>
        <w:gridCol w:w="1560"/>
        <w:gridCol w:w="1417"/>
        <w:gridCol w:w="1418"/>
      </w:tblGrid>
      <w:tr w:rsidR="008B1423" w:rsidRPr="00BE4F57" w14:paraId="4B69A448" w14:textId="77777777" w:rsidTr="000152A5">
        <w:trPr>
          <w:trHeight w:hRule="exact" w:val="1086"/>
        </w:trPr>
        <w:tc>
          <w:tcPr>
            <w:tcW w:w="2166" w:type="dxa"/>
            <w:tcBorders>
              <w:top w:val="single" w:sz="2" w:space="0" w:color="000000"/>
              <w:left w:val="single" w:sz="2" w:space="0" w:color="000000"/>
              <w:bottom w:val="single" w:sz="6" w:space="0" w:color="000000"/>
              <w:right w:val="single" w:sz="6" w:space="0" w:color="000000"/>
            </w:tcBorders>
          </w:tcPr>
          <w:p w14:paraId="500F0E6D"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lang w:val="ka-GE"/>
              </w:rPr>
              <w:t>მომატებული წონის მაჩვენებელი</w:t>
            </w:r>
            <w:r w:rsidRPr="00BE4F57">
              <w:rPr>
                <w:rFonts w:ascii="Sylfaen" w:hAnsi="Sylfaen"/>
                <w:b/>
                <w:bCs/>
                <w:sz w:val="24"/>
                <w:szCs w:val="24"/>
              </w:rPr>
              <w:t xml:space="preserve"> (</w:t>
            </w:r>
            <w:r w:rsidRPr="00BE4F57">
              <w:rPr>
                <w:rFonts w:ascii="Sylfaen" w:hAnsi="Sylfaen"/>
                <w:b/>
                <w:bCs/>
                <w:sz w:val="24"/>
                <w:szCs w:val="24"/>
                <w:lang w:val="ka-GE"/>
              </w:rPr>
              <w:t>ფუნტი</w:t>
            </w:r>
            <w:r w:rsidRPr="00BE4F57">
              <w:rPr>
                <w:rFonts w:ascii="Sylfaen" w:hAnsi="Sylfaen"/>
                <w:b/>
                <w:bCs/>
                <w:sz w:val="24"/>
                <w:szCs w:val="24"/>
              </w:rPr>
              <w:t>)</w:t>
            </w:r>
          </w:p>
        </w:tc>
        <w:tc>
          <w:tcPr>
            <w:tcW w:w="1528" w:type="dxa"/>
            <w:tcBorders>
              <w:top w:val="single" w:sz="2" w:space="0" w:color="000000"/>
              <w:left w:val="single" w:sz="6" w:space="0" w:color="000000"/>
              <w:bottom w:val="single" w:sz="6" w:space="0" w:color="000000"/>
              <w:right w:val="single" w:sz="6" w:space="0" w:color="000000"/>
            </w:tcBorders>
          </w:tcPr>
          <w:p w14:paraId="6CA941EA" w14:textId="77777777" w:rsidR="008B1423" w:rsidRPr="00BE4F57" w:rsidRDefault="008B1423" w:rsidP="00A14CA6">
            <w:pPr>
              <w:pStyle w:val="TableParagraph"/>
              <w:tabs>
                <w:tab w:val="left" w:pos="1254"/>
              </w:tabs>
              <w:autoSpaceDE/>
              <w:autoSpaceDN/>
              <w:rPr>
                <w:rFonts w:ascii="Sylfaen" w:hAnsi="Sylfaen"/>
                <w:b/>
                <w:sz w:val="24"/>
                <w:szCs w:val="24"/>
                <w:lang w:val="ka-GE"/>
              </w:rPr>
            </w:pPr>
            <w:r w:rsidRPr="00BE4F57">
              <w:rPr>
                <w:rFonts w:ascii="Sylfaen" w:hAnsi="Sylfaen"/>
                <w:b/>
                <w:bCs/>
                <w:sz w:val="24"/>
                <w:szCs w:val="24"/>
              </w:rPr>
              <w:t xml:space="preserve">6 </w:t>
            </w:r>
            <w:r w:rsidRPr="00BE4F57">
              <w:rPr>
                <w:rFonts w:ascii="Sylfaen" w:hAnsi="Sylfaen"/>
                <w:b/>
                <w:bCs/>
                <w:sz w:val="24"/>
                <w:szCs w:val="24"/>
                <w:lang w:val="ka-GE"/>
              </w:rPr>
              <w:t>კვირა</w:t>
            </w:r>
          </w:p>
          <w:p w14:paraId="34529170"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(N=7465) (%)</w:t>
            </w:r>
          </w:p>
        </w:tc>
        <w:tc>
          <w:tcPr>
            <w:tcW w:w="1559" w:type="dxa"/>
            <w:tcBorders>
              <w:top w:val="single" w:sz="2" w:space="0" w:color="000000"/>
              <w:left w:val="single" w:sz="6" w:space="0" w:color="000000"/>
              <w:bottom w:val="single" w:sz="6" w:space="0" w:color="000000"/>
              <w:right w:val="single" w:sz="6" w:space="0" w:color="000000"/>
            </w:tcBorders>
          </w:tcPr>
          <w:p w14:paraId="5EA25106"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rPr>
              <w:t xml:space="preserve">6 </w:t>
            </w:r>
            <w:r w:rsidRPr="00BE4F57">
              <w:rPr>
                <w:rFonts w:ascii="Sylfaen" w:hAnsi="Sylfaen"/>
                <w:b/>
                <w:bCs/>
                <w:sz w:val="24"/>
                <w:szCs w:val="24"/>
                <w:lang w:val="ka-GE"/>
              </w:rPr>
              <w:t>თვე</w:t>
            </w:r>
          </w:p>
          <w:p w14:paraId="140B3D22"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(N=4162) (%)</w:t>
            </w:r>
          </w:p>
        </w:tc>
        <w:tc>
          <w:tcPr>
            <w:tcW w:w="1560" w:type="dxa"/>
            <w:tcBorders>
              <w:top w:val="single" w:sz="2" w:space="0" w:color="000000"/>
              <w:left w:val="single" w:sz="6" w:space="0" w:color="000000"/>
              <w:bottom w:val="single" w:sz="6" w:space="0" w:color="000000"/>
              <w:right w:val="single" w:sz="6" w:space="0" w:color="000000"/>
            </w:tcBorders>
          </w:tcPr>
          <w:p w14:paraId="0E34EEB0" w14:textId="77777777" w:rsidR="008B1423" w:rsidRPr="00BE4F57" w:rsidRDefault="008B1423" w:rsidP="00A14CA6">
            <w:pPr>
              <w:pStyle w:val="TableParagraph"/>
              <w:autoSpaceDE/>
              <w:autoSpaceDN/>
              <w:rPr>
                <w:rFonts w:ascii="Sylfaen" w:hAnsi="Sylfaen"/>
                <w:b/>
                <w:sz w:val="24"/>
                <w:szCs w:val="24"/>
                <w:lang w:val="ka-GE"/>
              </w:rPr>
            </w:pPr>
            <w:r w:rsidRPr="00BE4F57">
              <w:rPr>
                <w:rFonts w:ascii="Sylfaen" w:hAnsi="Sylfaen"/>
                <w:b/>
                <w:bCs/>
                <w:sz w:val="24"/>
                <w:szCs w:val="24"/>
              </w:rPr>
              <w:t xml:space="preserve">12 </w:t>
            </w:r>
            <w:r w:rsidRPr="00BE4F57">
              <w:rPr>
                <w:rFonts w:ascii="Sylfaen" w:hAnsi="Sylfaen"/>
                <w:b/>
                <w:bCs/>
                <w:sz w:val="24"/>
                <w:szCs w:val="24"/>
                <w:lang w:val="ka-GE"/>
              </w:rPr>
              <w:t>თვე</w:t>
            </w:r>
          </w:p>
          <w:p w14:paraId="1FB5854B"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(N=1345) (%)</w:t>
            </w:r>
          </w:p>
        </w:tc>
        <w:tc>
          <w:tcPr>
            <w:tcW w:w="1417" w:type="dxa"/>
            <w:tcBorders>
              <w:top w:val="single" w:sz="2" w:space="0" w:color="000000"/>
              <w:left w:val="single" w:sz="6" w:space="0" w:color="000000"/>
              <w:bottom w:val="single" w:sz="6" w:space="0" w:color="000000"/>
              <w:right w:val="single" w:sz="6" w:space="0" w:color="000000"/>
            </w:tcBorders>
          </w:tcPr>
          <w:p w14:paraId="11C7604C" w14:textId="77777777" w:rsidR="008B1423" w:rsidRPr="00BE4F57" w:rsidRDefault="008B1423" w:rsidP="00A14CA6">
            <w:pPr>
              <w:pStyle w:val="TableParagraph"/>
              <w:tabs>
                <w:tab w:val="left" w:pos="1292"/>
              </w:tabs>
              <w:autoSpaceDE/>
              <w:autoSpaceDN/>
              <w:rPr>
                <w:rFonts w:ascii="Sylfaen" w:hAnsi="Sylfaen"/>
                <w:b/>
                <w:sz w:val="24"/>
                <w:szCs w:val="24"/>
                <w:lang w:val="ka-GE"/>
              </w:rPr>
            </w:pPr>
            <w:r w:rsidRPr="00BE4F57">
              <w:rPr>
                <w:rFonts w:ascii="Sylfaen" w:hAnsi="Sylfaen"/>
                <w:b/>
                <w:bCs/>
                <w:sz w:val="24"/>
                <w:szCs w:val="24"/>
              </w:rPr>
              <w:t xml:space="preserve">24 </w:t>
            </w:r>
            <w:r w:rsidRPr="00BE4F57">
              <w:rPr>
                <w:rFonts w:ascii="Sylfaen" w:hAnsi="Sylfaen"/>
                <w:b/>
                <w:bCs/>
                <w:sz w:val="24"/>
                <w:szCs w:val="24"/>
                <w:lang w:val="ka-GE"/>
              </w:rPr>
              <w:t>თვე</w:t>
            </w:r>
          </w:p>
          <w:p w14:paraId="28C5F31E"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(N=474) (%)</w:t>
            </w:r>
          </w:p>
        </w:tc>
        <w:tc>
          <w:tcPr>
            <w:tcW w:w="1418" w:type="dxa"/>
            <w:tcBorders>
              <w:top w:val="single" w:sz="2" w:space="0" w:color="000000"/>
              <w:left w:val="single" w:sz="6" w:space="0" w:color="000000"/>
              <w:bottom w:val="single" w:sz="6" w:space="0" w:color="000000"/>
              <w:right w:val="single" w:sz="2" w:space="0" w:color="000000"/>
            </w:tcBorders>
          </w:tcPr>
          <w:p w14:paraId="4D0C7F85" w14:textId="77777777" w:rsidR="008B1423" w:rsidRPr="00BE4F57" w:rsidRDefault="008B1423" w:rsidP="00A14CA6">
            <w:pPr>
              <w:pStyle w:val="TableParagraph"/>
              <w:tabs>
                <w:tab w:val="left" w:pos="1234"/>
              </w:tabs>
              <w:autoSpaceDE/>
              <w:autoSpaceDN/>
              <w:rPr>
                <w:rFonts w:ascii="Sylfaen" w:hAnsi="Sylfaen"/>
                <w:b/>
                <w:sz w:val="24"/>
                <w:szCs w:val="24"/>
                <w:lang w:val="ka-GE"/>
              </w:rPr>
            </w:pPr>
            <w:r w:rsidRPr="00BE4F57">
              <w:rPr>
                <w:rFonts w:ascii="Sylfaen" w:hAnsi="Sylfaen"/>
                <w:b/>
                <w:bCs/>
                <w:sz w:val="24"/>
                <w:szCs w:val="24"/>
              </w:rPr>
              <w:t xml:space="preserve">36 </w:t>
            </w:r>
            <w:r w:rsidRPr="00BE4F57">
              <w:rPr>
                <w:rFonts w:ascii="Sylfaen" w:hAnsi="Sylfaen"/>
                <w:b/>
                <w:bCs/>
                <w:sz w:val="24"/>
                <w:szCs w:val="24"/>
                <w:lang w:val="ka-GE"/>
              </w:rPr>
              <w:t>თვე</w:t>
            </w:r>
          </w:p>
          <w:p w14:paraId="7384DEF0"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(N=147) (%)</w:t>
            </w:r>
          </w:p>
        </w:tc>
      </w:tr>
      <w:tr w:rsidR="008B1423" w:rsidRPr="00BE4F57" w14:paraId="4BE2D7B0" w14:textId="77777777" w:rsidTr="000152A5">
        <w:trPr>
          <w:trHeight w:hRule="exact" w:val="398"/>
        </w:trPr>
        <w:tc>
          <w:tcPr>
            <w:tcW w:w="2166" w:type="dxa"/>
            <w:tcBorders>
              <w:top w:val="single" w:sz="6" w:space="0" w:color="000000"/>
              <w:left w:val="single" w:sz="2" w:space="0" w:color="000000"/>
              <w:bottom w:val="single" w:sz="6" w:space="0" w:color="000000"/>
              <w:right w:val="single" w:sz="6" w:space="0" w:color="000000"/>
            </w:tcBorders>
          </w:tcPr>
          <w:p w14:paraId="2ED04B2E"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rPr>
              <w:t>≤0</w:t>
            </w:r>
            <w:r w:rsidRPr="00BE4F57">
              <w:rPr>
                <w:rFonts w:ascii="Sylfaen" w:hAnsi="Sylfaen"/>
                <w:sz w:val="24"/>
                <w:szCs w:val="24"/>
                <w:lang w:val="ka-GE"/>
              </w:rPr>
              <w:t xml:space="preserve"> </w:t>
            </w:r>
          </w:p>
        </w:tc>
        <w:tc>
          <w:tcPr>
            <w:tcW w:w="1528" w:type="dxa"/>
            <w:tcBorders>
              <w:top w:val="single" w:sz="6" w:space="0" w:color="000000"/>
              <w:left w:val="single" w:sz="6" w:space="0" w:color="000000"/>
              <w:bottom w:val="single" w:sz="6" w:space="0" w:color="000000"/>
              <w:right w:val="single" w:sz="6" w:space="0" w:color="000000"/>
            </w:tcBorders>
          </w:tcPr>
          <w:p w14:paraId="07E0E23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26.2</w:t>
            </w:r>
          </w:p>
        </w:tc>
        <w:tc>
          <w:tcPr>
            <w:tcW w:w="1559" w:type="dxa"/>
            <w:tcBorders>
              <w:top w:val="single" w:sz="6" w:space="0" w:color="000000"/>
              <w:left w:val="single" w:sz="6" w:space="0" w:color="000000"/>
              <w:bottom w:val="single" w:sz="6" w:space="0" w:color="000000"/>
              <w:right w:val="single" w:sz="6" w:space="0" w:color="000000"/>
            </w:tcBorders>
          </w:tcPr>
          <w:p w14:paraId="5952AB1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24.3</w:t>
            </w:r>
          </w:p>
        </w:tc>
        <w:tc>
          <w:tcPr>
            <w:tcW w:w="1560" w:type="dxa"/>
            <w:tcBorders>
              <w:top w:val="single" w:sz="6" w:space="0" w:color="000000"/>
              <w:left w:val="single" w:sz="6" w:space="0" w:color="000000"/>
              <w:bottom w:val="single" w:sz="6" w:space="0" w:color="000000"/>
              <w:right w:val="single" w:sz="6" w:space="0" w:color="000000"/>
            </w:tcBorders>
          </w:tcPr>
          <w:p w14:paraId="537ABF7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20.8</w:t>
            </w:r>
          </w:p>
        </w:tc>
        <w:tc>
          <w:tcPr>
            <w:tcW w:w="1417" w:type="dxa"/>
            <w:tcBorders>
              <w:top w:val="single" w:sz="6" w:space="0" w:color="000000"/>
              <w:left w:val="single" w:sz="6" w:space="0" w:color="000000"/>
              <w:bottom w:val="single" w:sz="6" w:space="0" w:color="000000"/>
              <w:right w:val="single" w:sz="6" w:space="0" w:color="000000"/>
            </w:tcBorders>
          </w:tcPr>
          <w:p w14:paraId="2710FD5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23.2</w:t>
            </w:r>
          </w:p>
        </w:tc>
        <w:tc>
          <w:tcPr>
            <w:tcW w:w="1418" w:type="dxa"/>
            <w:tcBorders>
              <w:top w:val="single" w:sz="6" w:space="0" w:color="000000"/>
              <w:left w:val="single" w:sz="6" w:space="0" w:color="000000"/>
              <w:bottom w:val="single" w:sz="6" w:space="0" w:color="000000"/>
              <w:right w:val="single" w:sz="2" w:space="0" w:color="000000"/>
            </w:tcBorders>
          </w:tcPr>
          <w:p w14:paraId="51D3F82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17.0</w:t>
            </w:r>
          </w:p>
        </w:tc>
      </w:tr>
      <w:tr w:rsidR="008B1423" w:rsidRPr="00BE4F57" w14:paraId="75EFDC40" w14:textId="77777777" w:rsidTr="000152A5">
        <w:trPr>
          <w:trHeight w:hRule="exact" w:val="390"/>
        </w:trPr>
        <w:tc>
          <w:tcPr>
            <w:tcW w:w="2166" w:type="dxa"/>
            <w:tcBorders>
              <w:top w:val="single" w:sz="6" w:space="0" w:color="000000"/>
              <w:left w:val="single" w:sz="2" w:space="0" w:color="000000"/>
              <w:bottom w:val="single" w:sz="6" w:space="0" w:color="000000"/>
              <w:right w:val="single" w:sz="6" w:space="0" w:color="000000"/>
            </w:tcBorders>
          </w:tcPr>
          <w:p w14:paraId="587962A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0 - ≤5 (0-11</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43C9F00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57.0</w:t>
            </w:r>
          </w:p>
        </w:tc>
        <w:tc>
          <w:tcPr>
            <w:tcW w:w="1559" w:type="dxa"/>
            <w:tcBorders>
              <w:top w:val="single" w:sz="6" w:space="0" w:color="000000"/>
              <w:left w:val="single" w:sz="6" w:space="0" w:color="000000"/>
              <w:bottom w:val="single" w:sz="6" w:space="0" w:color="000000"/>
              <w:right w:val="single" w:sz="6" w:space="0" w:color="000000"/>
            </w:tcBorders>
          </w:tcPr>
          <w:p w14:paraId="350A8DE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36.0</w:t>
            </w:r>
          </w:p>
        </w:tc>
        <w:tc>
          <w:tcPr>
            <w:tcW w:w="1560" w:type="dxa"/>
            <w:tcBorders>
              <w:top w:val="single" w:sz="6" w:space="0" w:color="000000"/>
              <w:left w:val="single" w:sz="6" w:space="0" w:color="000000"/>
              <w:bottom w:val="single" w:sz="6" w:space="0" w:color="000000"/>
              <w:right w:val="single" w:sz="6" w:space="0" w:color="000000"/>
            </w:tcBorders>
          </w:tcPr>
          <w:p w14:paraId="70F250F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26.0</w:t>
            </w:r>
          </w:p>
        </w:tc>
        <w:tc>
          <w:tcPr>
            <w:tcW w:w="1417" w:type="dxa"/>
            <w:tcBorders>
              <w:top w:val="single" w:sz="6" w:space="0" w:color="000000"/>
              <w:left w:val="single" w:sz="6" w:space="0" w:color="000000"/>
              <w:bottom w:val="single" w:sz="6" w:space="0" w:color="000000"/>
              <w:right w:val="single" w:sz="6" w:space="0" w:color="000000"/>
            </w:tcBorders>
          </w:tcPr>
          <w:p w14:paraId="1B1A396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23.4</w:t>
            </w:r>
          </w:p>
        </w:tc>
        <w:tc>
          <w:tcPr>
            <w:tcW w:w="1418" w:type="dxa"/>
            <w:tcBorders>
              <w:top w:val="single" w:sz="6" w:space="0" w:color="000000"/>
              <w:left w:val="single" w:sz="6" w:space="0" w:color="000000"/>
              <w:bottom w:val="single" w:sz="6" w:space="0" w:color="000000"/>
              <w:right w:val="single" w:sz="2" w:space="0" w:color="000000"/>
            </w:tcBorders>
          </w:tcPr>
          <w:p w14:paraId="5819EEE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25.2</w:t>
            </w:r>
          </w:p>
        </w:tc>
      </w:tr>
      <w:tr w:rsidR="008B1423" w:rsidRPr="00BE4F57" w14:paraId="4535DD77" w14:textId="77777777" w:rsidTr="000152A5">
        <w:trPr>
          <w:trHeight w:hRule="exact" w:val="639"/>
        </w:trPr>
        <w:tc>
          <w:tcPr>
            <w:tcW w:w="2166" w:type="dxa"/>
            <w:tcBorders>
              <w:top w:val="single" w:sz="6" w:space="0" w:color="000000"/>
              <w:left w:val="single" w:sz="2" w:space="0" w:color="000000"/>
              <w:bottom w:val="single" w:sz="6" w:space="0" w:color="000000"/>
              <w:right w:val="single" w:sz="6" w:space="0" w:color="000000"/>
            </w:tcBorders>
          </w:tcPr>
          <w:p w14:paraId="0DE1818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&gt;5 - ≤10 (11-22</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1F320E4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14.9</w:t>
            </w:r>
          </w:p>
        </w:tc>
        <w:tc>
          <w:tcPr>
            <w:tcW w:w="1559" w:type="dxa"/>
            <w:tcBorders>
              <w:top w:val="single" w:sz="6" w:space="0" w:color="000000"/>
              <w:left w:val="single" w:sz="6" w:space="0" w:color="000000"/>
              <w:bottom w:val="single" w:sz="6" w:space="0" w:color="000000"/>
              <w:right w:val="single" w:sz="6" w:space="0" w:color="000000"/>
            </w:tcBorders>
          </w:tcPr>
          <w:p w14:paraId="5E5985A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24.6</w:t>
            </w:r>
          </w:p>
        </w:tc>
        <w:tc>
          <w:tcPr>
            <w:tcW w:w="1560" w:type="dxa"/>
            <w:tcBorders>
              <w:top w:val="single" w:sz="6" w:space="0" w:color="000000"/>
              <w:left w:val="single" w:sz="6" w:space="0" w:color="000000"/>
              <w:bottom w:val="single" w:sz="6" w:space="0" w:color="000000"/>
              <w:right w:val="single" w:sz="6" w:space="0" w:color="000000"/>
            </w:tcBorders>
          </w:tcPr>
          <w:p w14:paraId="2B69B17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24.2</w:t>
            </w:r>
          </w:p>
        </w:tc>
        <w:tc>
          <w:tcPr>
            <w:tcW w:w="1417" w:type="dxa"/>
            <w:tcBorders>
              <w:top w:val="single" w:sz="6" w:space="0" w:color="000000"/>
              <w:left w:val="single" w:sz="6" w:space="0" w:color="000000"/>
              <w:bottom w:val="single" w:sz="6" w:space="0" w:color="000000"/>
              <w:right w:val="single" w:sz="6" w:space="0" w:color="000000"/>
            </w:tcBorders>
          </w:tcPr>
          <w:p w14:paraId="10CABD0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24.1</w:t>
            </w:r>
          </w:p>
        </w:tc>
        <w:tc>
          <w:tcPr>
            <w:tcW w:w="1418" w:type="dxa"/>
            <w:tcBorders>
              <w:top w:val="single" w:sz="6" w:space="0" w:color="000000"/>
              <w:left w:val="single" w:sz="6" w:space="0" w:color="000000"/>
              <w:bottom w:val="single" w:sz="6" w:space="0" w:color="000000"/>
              <w:right w:val="single" w:sz="2" w:space="0" w:color="000000"/>
            </w:tcBorders>
          </w:tcPr>
          <w:p w14:paraId="4CC1E33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18.4</w:t>
            </w:r>
          </w:p>
        </w:tc>
      </w:tr>
      <w:tr w:rsidR="008B1423" w:rsidRPr="00BE4F57" w14:paraId="4AA21EFE" w14:textId="77777777" w:rsidTr="000152A5">
        <w:trPr>
          <w:trHeight w:hRule="exact" w:val="719"/>
        </w:trPr>
        <w:tc>
          <w:tcPr>
            <w:tcW w:w="2166" w:type="dxa"/>
            <w:tcBorders>
              <w:top w:val="single" w:sz="6" w:space="0" w:color="000000"/>
              <w:left w:val="single" w:sz="2" w:space="0" w:color="000000"/>
              <w:bottom w:val="single" w:sz="6" w:space="0" w:color="000000"/>
              <w:right w:val="single" w:sz="6" w:space="0" w:color="000000"/>
            </w:tcBorders>
          </w:tcPr>
          <w:p w14:paraId="3E7DF21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&gt;10 - ≤15 (22-33</w:t>
            </w:r>
            <w:r w:rsidRPr="00BE4F57">
              <w:rPr>
                <w:rFonts w:ascii="Sylfaen" w:hAnsi="Sylfaen"/>
                <w:sz w:val="24"/>
                <w:szCs w:val="24"/>
                <w:lang w:val="ka-GE"/>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00BCA69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1.8</w:t>
            </w:r>
          </w:p>
        </w:tc>
        <w:tc>
          <w:tcPr>
            <w:tcW w:w="1559" w:type="dxa"/>
            <w:tcBorders>
              <w:top w:val="single" w:sz="6" w:space="0" w:color="000000"/>
              <w:left w:val="single" w:sz="6" w:space="0" w:color="000000"/>
              <w:bottom w:val="single" w:sz="6" w:space="0" w:color="000000"/>
              <w:right w:val="single" w:sz="6" w:space="0" w:color="000000"/>
            </w:tcBorders>
          </w:tcPr>
          <w:p w14:paraId="604E85C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10.9</w:t>
            </w:r>
          </w:p>
        </w:tc>
        <w:tc>
          <w:tcPr>
            <w:tcW w:w="1560" w:type="dxa"/>
            <w:tcBorders>
              <w:top w:val="single" w:sz="6" w:space="0" w:color="000000"/>
              <w:left w:val="single" w:sz="6" w:space="0" w:color="000000"/>
              <w:bottom w:val="single" w:sz="6" w:space="0" w:color="000000"/>
              <w:right w:val="single" w:sz="6" w:space="0" w:color="000000"/>
            </w:tcBorders>
          </w:tcPr>
          <w:p w14:paraId="3F6E13B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14.9</w:t>
            </w:r>
          </w:p>
        </w:tc>
        <w:tc>
          <w:tcPr>
            <w:tcW w:w="1417" w:type="dxa"/>
            <w:tcBorders>
              <w:top w:val="single" w:sz="6" w:space="0" w:color="000000"/>
              <w:left w:val="single" w:sz="6" w:space="0" w:color="000000"/>
              <w:bottom w:val="single" w:sz="6" w:space="0" w:color="000000"/>
              <w:right w:val="single" w:sz="6" w:space="0" w:color="000000"/>
            </w:tcBorders>
          </w:tcPr>
          <w:p w14:paraId="7CF7D15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11.4</w:t>
            </w:r>
          </w:p>
        </w:tc>
        <w:tc>
          <w:tcPr>
            <w:tcW w:w="1418" w:type="dxa"/>
            <w:tcBorders>
              <w:top w:val="single" w:sz="6" w:space="0" w:color="000000"/>
              <w:left w:val="single" w:sz="6" w:space="0" w:color="000000"/>
              <w:bottom w:val="single" w:sz="6" w:space="0" w:color="000000"/>
              <w:right w:val="single" w:sz="2" w:space="0" w:color="000000"/>
            </w:tcBorders>
          </w:tcPr>
          <w:p w14:paraId="4A26B95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17.0</w:t>
            </w:r>
          </w:p>
        </w:tc>
      </w:tr>
      <w:tr w:rsidR="008B1423" w:rsidRPr="00BE4F57" w14:paraId="11413F51" w14:textId="77777777" w:rsidTr="000152A5">
        <w:trPr>
          <w:trHeight w:hRule="exact" w:val="701"/>
        </w:trPr>
        <w:tc>
          <w:tcPr>
            <w:tcW w:w="2166" w:type="dxa"/>
            <w:tcBorders>
              <w:top w:val="single" w:sz="6" w:space="0" w:color="000000"/>
              <w:left w:val="single" w:sz="2" w:space="0" w:color="000000"/>
              <w:bottom w:val="single" w:sz="6" w:space="0" w:color="000000"/>
              <w:right w:val="single" w:sz="6" w:space="0" w:color="000000"/>
            </w:tcBorders>
          </w:tcPr>
          <w:p w14:paraId="488BD9E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&gt;15 - ≤20(33-44</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3834494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0.1</w:t>
            </w:r>
          </w:p>
        </w:tc>
        <w:tc>
          <w:tcPr>
            <w:tcW w:w="1559" w:type="dxa"/>
            <w:tcBorders>
              <w:top w:val="single" w:sz="6" w:space="0" w:color="000000"/>
              <w:left w:val="single" w:sz="6" w:space="0" w:color="000000"/>
              <w:bottom w:val="single" w:sz="6" w:space="0" w:color="000000"/>
              <w:right w:val="single" w:sz="6" w:space="0" w:color="000000"/>
            </w:tcBorders>
          </w:tcPr>
          <w:p w14:paraId="48EB8C5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3.1</w:t>
            </w:r>
          </w:p>
        </w:tc>
        <w:tc>
          <w:tcPr>
            <w:tcW w:w="1560" w:type="dxa"/>
            <w:tcBorders>
              <w:top w:val="single" w:sz="6" w:space="0" w:color="000000"/>
              <w:left w:val="single" w:sz="6" w:space="0" w:color="000000"/>
              <w:bottom w:val="single" w:sz="6" w:space="0" w:color="000000"/>
              <w:right w:val="single" w:sz="6" w:space="0" w:color="000000"/>
            </w:tcBorders>
          </w:tcPr>
          <w:p w14:paraId="0F72FEB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8.6</w:t>
            </w:r>
          </w:p>
        </w:tc>
        <w:tc>
          <w:tcPr>
            <w:tcW w:w="1417" w:type="dxa"/>
            <w:tcBorders>
              <w:top w:val="single" w:sz="6" w:space="0" w:color="000000"/>
              <w:left w:val="single" w:sz="6" w:space="0" w:color="000000"/>
              <w:bottom w:val="single" w:sz="6" w:space="0" w:color="000000"/>
              <w:right w:val="single" w:sz="6" w:space="0" w:color="000000"/>
            </w:tcBorders>
          </w:tcPr>
          <w:p w14:paraId="49A316B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9.3</w:t>
            </w:r>
          </w:p>
        </w:tc>
        <w:tc>
          <w:tcPr>
            <w:tcW w:w="1418" w:type="dxa"/>
            <w:tcBorders>
              <w:top w:val="single" w:sz="6" w:space="0" w:color="000000"/>
              <w:left w:val="single" w:sz="6" w:space="0" w:color="000000"/>
              <w:bottom w:val="single" w:sz="6" w:space="0" w:color="000000"/>
              <w:right w:val="single" w:sz="2" w:space="0" w:color="000000"/>
            </w:tcBorders>
          </w:tcPr>
          <w:p w14:paraId="10AB289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11.6</w:t>
            </w:r>
          </w:p>
        </w:tc>
      </w:tr>
      <w:tr w:rsidR="008B1423" w:rsidRPr="00BE4F57" w14:paraId="63A3CACC" w14:textId="77777777" w:rsidTr="000152A5">
        <w:trPr>
          <w:trHeight w:hRule="exact" w:val="712"/>
        </w:trPr>
        <w:tc>
          <w:tcPr>
            <w:tcW w:w="2166" w:type="dxa"/>
            <w:tcBorders>
              <w:top w:val="single" w:sz="6" w:space="0" w:color="000000"/>
              <w:left w:val="single" w:sz="2" w:space="0" w:color="000000"/>
              <w:bottom w:val="single" w:sz="6" w:space="0" w:color="000000"/>
              <w:right w:val="single" w:sz="6" w:space="0" w:color="000000"/>
            </w:tcBorders>
          </w:tcPr>
          <w:p w14:paraId="0F26AFB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lastRenderedPageBreak/>
              <w:t>&gt;20 - ≤25(44-55</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5A2FB62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1559" w:type="dxa"/>
            <w:tcBorders>
              <w:top w:val="single" w:sz="6" w:space="0" w:color="000000"/>
              <w:left w:val="single" w:sz="6" w:space="0" w:color="000000"/>
              <w:bottom w:val="single" w:sz="6" w:space="0" w:color="000000"/>
              <w:right w:val="single" w:sz="6" w:space="0" w:color="000000"/>
            </w:tcBorders>
          </w:tcPr>
          <w:p w14:paraId="736CCD1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0.9</w:t>
            </w:r>
          </w:p>
        </w:tc>
        <w:tc>
          <w:tcPr>
            <w:tcW w:w="1560" w:type="dxa"/>
            <w:tcBorders>
              <w:top w:val="single" w:sz="6" w:space="0" w:color="000000"/>
              <w:left w:val="single" w:sz="6" w:space="0" w:color="000000"/>
              <w:bottom w:val="single" w:sz="6" w:space="0" w:color="000000"/>
              <w:right w:val="single" w:sz="6" w:space="0" w:color="000000"/>
            </w:tcBorders>
          </w:tcPr>
          <w:p w14:paraId="3005B98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3.3</w:t>
            </w:r>
          </w:p>
        </w:tc>
        <w:tc>
          <w:tcPr>
            <w:tcW w:w="1417" w:type="dxa"/>
            <w:tcBorders>
              <w:top w:val="single" w:sz="6" w:space="0" w:color="000000"/>
              <w:left w:val="single" w:sz="6" w:space="0" w:color="000000"/>
              <w:bottom w:val="single" w:sz="6" w:space="0" w:color="000000"/>
              <w:right w:val="single" w:sz="6" w:space="0" w:color="000000"/>
            </w:tcBorders>
          </w:tcPr>
          <w:p w14:paraId="66AB9B1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5.1</w:t>
            </w:r>
          </w:p>
        </w:tc>
        <w:tc>
          <w:tcPr>
            <w:tcW w:w="1418" w:type="dxa"/>
            <w:tcBorders>
              <w:top w:val="single" w:sz="6" w:space="0" w:color="000000"/>
              <w:left w:val="single" w:sz="6" w:space="0" w:color="000000"/>
              <w:bottom w:val="single" w:sz="6" w:space="0" w:color="000000"/>
              <w:right w:val="single" w:sz="2" w:space="0" w:color="000000"/>
            </w:tcBorders>
          </w:tcPr>
          <w:p w14:paraId="606A289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4.1</w:t>
            </w:r>
          </w:p>
        </w:tc>
      </w:tr>
      <w:tr w:rsidR="008B1423" w:rsidRPr="00BE4F57" w14:paraId="428B6B5F" w14:textId="77777777" w:rsidTr="000152A5">
        <w:trPr>
          <w:trHeight w:hRule="exact" w:val="707"/>
        </w:trPr>
        <w:tc>
          <w:tcPr>
            <w:tcW w:w="2166" w:type="dxa"/>
            <w:tcBorders>
              <w:top w:val="single" w:sz="6" w:space="0" w:color="000000"/>
              <w:left w:val="single" w:sz="2" w:space="0" w:color="000000"/>
              <w:bottom w:val="single" w:sz="6" w:space="0" w:color="000000"/>
              <w:right w:val="single" w:sz="6" w:space="0" w:color="000000"/>
            </w:tcBorders>
          </w:tcPr>
          <w:p w14:paraId="1DA7D8D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&gt;25 - ≤30(55-66</w:t>
            </w:r>
            <w:r w:rsidRPr="00BE4F57">
              <w:rPr>
                <w:rFonts w:ascii="Sylfaen" w:hAnsi="Sylfaen"/>
                <w:spacing w:val="-15"/>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p>
        </w:tc>
        <w:tc>
          <w:tcPr>
            <w:tcW w:w="1528" w:type="dxa"/>
            <w:tcBorders>
              <w:top w:val="single" w:sz="6" w:space="0" w:color="000000"/>
              <w:left w:val="single" w:sz="6" w:space="0" w:color="000000"/>
              <w:bottom w:val="single" w:sz="6" w:space="0" w:color="000000"/>
              <w:right w:val="single" w:sz="6" w:space="0" w:color="000000"/>
            </w:tcBorders>
          </w:tcPr>
          <w:p w14:paraId="4B35823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1559" w:type="dxa"/>
            <w:tcBorders>
              <w:top w:val="single" w:sz="6" w:space="0" w:color="000000"/>
              <w:left w:val="single" w:sz="6" w:space="0" w:color="000000"/>
              <w:bottom w:val="single" w:sz="6" w:space="0" w:color="000000"/>
              <w:right w:val="single" w:sz="6" w:space="0" w:color="000000"/>
            </w:tcBorders>
          </w:tcPr>
          <w:p w14:paraId="5ED0A1D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0.2</w:t>
            </w:r>
          </w:p>
        </w:tc>
        <w:tc>
          <w:tcPr>
            <w:tcW w:w="1560" w:type="dxa"/>
            <w:tcBorders>
              <w:top w:val="single" w:sz="6" w:space="0" w:color="000000"/>
              <w:left w:val="single" w:sz="6" w:space="0" w:color="000000"/>
              <w:bottom w:val="single" w:sz="6" w:space="0" w:color="000000"/>
              <w:right w:val="single" w:sz="6" w:space="0" w:color="000000"/>
            </w:tcBorders>
          </w:tcPr>
          <w:p w14:paraId="04DC86C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1.4</w:t>
            </w:r>
          </w:p>
        </w:tc>
        <w:tc>
          <w:tcPr>
            <w:tcW w:w="1417" w:type="dxa"/>
            <w:tcBorders>
              <w:top w:val="single" w:sz="6" w:space="0" w:color="000000"/>
              <w:left w:val="single" w:sz="6" w:space="0" w:color="000000"/>
              <w:bottom w:val="single" w:sz="6" w:space="0" w:color="000000"/>
              <w:right w:val="single" w:sz="6" w:space="0" w:color="000000"/>
            </w:tcBorders>
          </w:tcPr>
          <w:p w14:paraId="1B2A339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2.3</w:t>
            </w:r>
          </w:p>
        </w:tc>
        <w:tc>
          <w:tcPr>
            <w:tcW w:w="1418" w:type="dxa"/>
            <w:tcBorders>
              <w:top w:val="single" w:sz="6" w:space="0" w:color="000000"/>
              <w:left w:val="single" w:sz="6" w:space="0" w:color="000000"/>
              <w:bottom w:val="single" w:sz="6" w:space="0" w:color="000000"/>
              <w:right w:val="single" w:sz="2" w:space="0" w:color="000000"/>
            </w:tcBorders>
          </w:tcPr>
          <w:p w14:paraId="3D09F86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4.8</w:t>
            </w:r>
          </w:p>
        </w:tc>
      </w:tr>
      <w:tr w:rsidR="008B1423" w:rsidRPr="00BE4F57" w14:paraId="1DF31508" w14:textId="77777777" w:rsidTr="000152A5">
        <w:trPr>
          <w:trHeight w:hRule="exact" w:val="390"/>
        </w:trPr>
        <w:tc>
          <w:tcPr>
            <w:tcW w:w="2166" w:type="dxa"/>
            <w:tcBorders>
              <w:top w:val="single" w:sz="6" w:space="0" w:color="000000"/>
              <w:left w:val="single" w:sz="2" w:space="0" w:color="000000"/>
              <w:bottom w:val="single" w:sz="2" w:space="0" w:color="000000"/>
              <w:right w:val="single" w:sz="6" w:space="0" w:color="000000"/>
            </w:tcBorders>
          </w:tcPr>
          <w:p w14:paraId="79A30130" w14:textId="77777777" w:rsidR="008B1423" w:rsidRPr="00BE4F57" w:rsidRDefault="008B1423" w:rsidP="00A14CA6">
            <w:pPr>
              <w:pStyle w:val="TableParagraph"/>
              <w:autoSpaceDE/>
              <w:autoSpaceDN/>
              <w:rPr>
                <w:rFonts w:ascii="Sylfaen" w:hAnsi="Sylfaen"/>
                <w:sz w:val="24"/>
                <w:szCs w:val="24"/>
                <w:lang w:val="ka-GE"/>
              </w:rPr>
            </w:pPr>
            <w:r w:rsidRPr="00BE4F57">
              <w:rPr>
                <w:rFonts w:ascii="Sylfaen" w:hAnsi="Sylfaen"/>
                <w:sz w:val="24"/>
                <w:szCs w:val="24"/>
              </w:rPr>
              <w:t>&gt;30 (&gt;66</w:t>
            </w:r>
            <w:r w:rsidRPr="00BE4F57">
              <w:rPr>
                <w:rFonts w:ascii="Sylfaen" w:hAnsi="Sylfaen"/>
                <w:spacing w:val="-1"/>
                <w:sz w:val="24"/>
                <w:szCs w:val="24"/>
              </w:rPr>
              <w:t xml:space="preserve"> </w:t>
            </w:r>
            <w:r w:rsidRPr="00BE4F57">
              <w:rPr>
                <w:rFonts w:ascii="Sylfaen" w:hAnsi="Sylfaen"/>
                <w:bCs/>
                <w:sz w:val="24"/>
                <w:szCs w:val="24"/>
                <w:lang w:val="ka-GE"/>
              </w:rPr>
              <w:t>ფუნტი</w:t>
            </w:r>
            <w:r w:rsidRPr="00BE4F57">
              <w:rPr>
                <w:rFonts w:ascii="Sylfaen" w:hAnsi="Sylfaen"/>
                <w:spacing w:val="-5"/>
                <w:sz w:val="24"/>
                <w:szCs w:val="24"/>
              </w:rPr>
              <w:t>)</w:t>
            </w:r>
            <w:r w:rsidRPr="00BE4F57">
              <w:rPr>
                <w:rFonts w:ascii="Sylfaen" w:hAnsi="Sylfaen"/>
                <w:spacing w:val="-5"/>
                <w:sz w:val="24"/>
                <w:szCs w:val="24"/>
                <w:lang w:val="ka-GE"/>
              </w:rPr>
              <w:t xml:space="preserve"> </w:t>
            </w:r>
          </w:p>
        </w:tc>
        <w:tc>
          <w:tcPr>
            <w:tcW w:w="1528" w:type="dxa"/>
            <w:tcBorders>
              <w:top w:val="single" w:sz="6" w:space="0" w:color="000000"/>
              <w:left w:val="single" w:sz="6" w:space="0" w:color="000000"/>
              <w:bottom w:val="single" w:sz="2" w:space="0" w:color="000000"/>
              <w:right w:val="single" w:sz="6" w:space="0" w:color="000000"/>
            </w:tcBorders>
          </w:tcPr>
          <w:p w14:paraId="7D717AE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1559" w:type="dxa"/>
            <w:tcBorders>
              <w:top w:val="single" w:sz="6" w:space="0" w:color="000000"/>
              <w:left w:val="single" w:sz="6" w:space="0" w:color="000000"/>
              <w:bottom w:val="single" w:sz="2" w:space="0" w:color="000000"/>
              <w:right w:val="single" w:sz="6" w:space="0" w:color="000000"/>
            </w:tcBorders>
          </w:tcPr>
          <w:p w14:paraId="0585FD4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0.1</w:t>
            </w:r>
          </w:p>
        </w:tc>
        <w:tc>
          <w:tcPr>
            <w:tcW w:w="1560" w:type="dxa"/>
            <w:tcBorders>
              <w:top w:val="single" w:sz="6" w:space="0" w:color="000000"/>
              <w:left w:val="single" w:sz="6" w:space="0" w:color="000000"/>
              <w:bottom w:val="single" w:sz="2" w:space="0" w:color="000000"/>
              <w:right w:val="single" w:sz="6" w:space="0" w:color="000000"/>
            </w:tcBorders>
          </w:tcPr>
          <w:p w14:paraId="0051D67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0.8</w:t>
            </w:r>
          </w:p>
        </w:tc>
        <w:tc>
          <w:tcPr>
            <w:tcW w:w="1417" w:type="dxa"/>
            <w:tcBorders>
              <w:top w:val="single" w:sz="6" w:space="0" w:color="000000"/>
              <w:left w:val="single" w:sz="6" w:space="0" w:color="000000"/>
              <w:bottom w:val="single" w:sz="2" w:space="0" w:color="000000"/>
              <w:right w:val="single" w:sz="6" w:space="0" w:color="000000"/>
            </w:tcBorders>
          </w:tcPr>
          <w:p w14:paraId="5E9D9F5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w:t>
            </w:r>
          </w:p>
        </w:tc>
        <w:tc>
          <w:tcPr>
            <w:tcW w:w="1418" w:type="dxa"/>
            <w:tcBorders>
              <w:top w:val="single" w:sz="6" w:space="0" w:color="000000"/>
              <w:left w:val="single" w:sz="6" w:space="0" w:color="000000"/>
              <w:bottom w:val="single" w:sz="2" w:space="0" w:color="000000"/>
              <w:right w:val="single" w:sz="2" w:space="0" w:color="000000"/>
            </w:tcBorders>
          </w:tcPr>
          <w:p w14:paraId="5FF6E66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w:t>
            </w:r>
          </w:p>
        </w:tc>
      </w:tr>
    </w:tbl>
    <w:p w14:paraId="117A8C2E" w14:textId="77777777" w:rsidR="008B1423" w:rsidRPr="00BE4F57" w:rsidRDefault="008B1423" w:rsidP="00A14CA6">
      <w:pPr>
        <w:spacing w:after="0" w:line="240" w:lineRule="auto"/>
        <w:jc w:val="both"/>
        <w:rPr>
          <w:rFonts w:ascii="Sylfaen" w:hAnsi="Sylfaen"/>
          <w:b/>
          <w:sz w:val="24"/>
          <w:szCs w:val="24"/>
          <w:lang w:val="ka-GE"/>
        </w:rPr>
      </w:pPr>
    </w:p>
    <w:p w14:paraId="25608400" w14:textId="77777777" w:rsidR="008B1423" w:rsidRPr="00BE4F57" w:rsidRDefault="008B1423" w:rsidP="00A14CA6">
      <w:pPr>
        <w:spacing w:after="0" w:line="240" w:lineRule="auto"/>
        <w:jc w:val="both"/>
        <w:rPr>
          <w:rFonts w:ascii="Sylfaen" w:hAnsi="Sylfaen"/>
          <w:b/>
          <w:sz w:val="24"/>
          <w:szCs w:val="24"/>
          <w:lang w:val="ka-GE"/>
        </w:rPr>
      </w:pPr>
    </w:p>
    <w:p w14:paraId="02B4ABD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დოზირების ჯგუფებს შორის წონის მატების თვალსაზრისით განსხვავებები დაფიქსირდა. ერთჯერად 8-კვირიან, რანდომიზებულ, ორმაგ ბრმა, ფიქსირებული დოზის კვლევაში, რომელშიც შედარებული იყო პერორალური ოლანზაპინი 10 (N=199), 20 (N=200) და 40 (N=200) მგ/დღეში შიზოფრენიით ან შიზოაფექტური აშლილობით დაავადებულ მოზრდილ პაციენტებში, საშუალო წონის მატება საწყისი დონიდან საბოლოო წერტილამდე (10 მგ/9 კგ: 1.9 კგ; 20 მგ/დღეში: 2.3 კგ; 40 მგ/დღეში: 3 კგ) დაფიქსირდა მნიშვნელოვანი განსხვავებებით  10 და 40 მგ/დღეში დოზებს შორის.</w:t>
      </w:r>
    </w:p>
    <w:p w14:paraId="68307D7D" w14:textId="77777777" w:rsidR="008B1423" w:rsidRPr="00BE4F57" w:rsidRDefault="008B1423" w:rsidP="00A14CA6">
      <w:pPr>
        <w:spacing w:after="0" w:line="240" w:lineRule="auto"/>
        <w:jc w:val="both"/>
        <w:rPr>
          <w:rFonts w:ascii="Sylfaen" w:hAnsi="Sylfaen"/>
          <w:sz w:val="24"/>
          <w:szCs w:val="24"/>
          <w:u w:val="single"/>
          <w:lang w:val="ka-GE"/>
        </w:rPr>
      </w:pPr>
    </w:p>
    <w:p w14:paraId="274B1B5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ბავშვები და მოზარდები</w:t>
      </w:r>
      <w:r w:rsidRPr="00BE4F57">
        <w:rPr>
          <w:rFonts w:ascii="Sylfaen" w:hAnsi="Sylfaen"/>
          <w:sz w:val="24"/>
          <w:szCs w:val="24"/>
          <w:lang w:val="ka-GE"/>
        </w:rPr>
        <w:t xml:space="preserve"> - 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ოლანზაპინისა და ფლუოქსეტინის კომბინაცია ასოცირებული იყო უფრო მაღალ საშუალო წონის ცვლილებასთან პლაცებოსთან შედარებით (+4.4 კგ შედარებით +0.5 კგ–თან, შედარებით). ექსპოზიციის 8 კვირის შემდეგ, იმ ბავშვებისა და მოზარდების პროცენტული მაჩვენებელი, რომლებმაც წონაში საწყისიდან მინიმუმ 7%, 15% ან 25% მოიმატეს, შეადგენდა, შესაბამისად, 52%, 14% და 1%–ს. კლინიკურად მნიშვნელოვანი წონის მატების მქონე პაციენტების წილი უფრო მაღალი იყო პედიატრიულ და მოზარდ პაციენტებში, შედარებით მოზრდილებში მოკლევადიან მონაცემებთან. წონის მატების გამო მკურნალობის შეწყვეტა დაფიქსირდა ოლანზაპინისა და ფლუოქსეტინის კომბინაციით ნამკურნალები პაციენტების 2.9%-ში და პლაცებოთი ნამკურნალები პაციენტების 0%-ში. ცხრილი 13 ასახავს წონის მატებას, რომელიც დაფიქსირდა ბავშვებში ოლანზაპინისა და ფლუოქსეტინის კომბინაციის კვლევაში.</w:t>
      </w:r>
    </w:p>
    <w:p w14:paraId="076413C0" w14:textId="77777777" w:rsidR="008B1423" w:rsidRPr="00BE4F57" w:rsidRDefault="008B1423" w:rsidP="00A14CA6">
      <w:pPr>
        <w:spacing w:after="0" w:line="240" w:lineRule="auto"/>
        <w:jc w:val="both"/>
        <w:rPr>
          <w:rFonts w:ascii="Sylfaen" w:hAnsi="Sylfaen"/>
          <w:sz w:val="24"/>
          <w:szCs w:val="24"/>
          <w:lang w:val="ka-GE"/>
        </w:rPr>
      </w:pPr>
    </w:p>
    <w:p w14:paraId="2556630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13: წონაში მატება, რომელიც დაფიქსირდა ოლანზაპინისა და ფლუოქსეტინის კომბინაციის გამოყენებისას ბიპოლარული დეპრესიის დროს, ერთჯერად პედიატრიულ კვლევაში.</w:t>
      </w:r>
    </w:p>
    <w:p w14:paraId="7E20BDF4" w14:textId="77777777" w:rsidR="008B1423" w:rsidRPr="00BE4F57" w:rsidRDefault="008B1423" w:rsidP="00A14CA6">
      <w:pPr>
        <w:spacing w:after="0" w:line="240" w:lineRule="auto"/>
        <w:jc w:val="both"/>
        <w:rPr>
          <w:rFonts w:ascii="Sylfaen" w:hAnsi="Sylfaen"/>
          <w:b/>
          <w:sz w:val="24"/>
          <w:szCs w:val="24"/>
          <w:lang w:val="ka-GE"/>
        </w:rPr>
      </w:pPr>
    </w:p>
    <w:tbl>
      <w:tblPr>
        <w:tblW w:w="0" w:type="auto"/>
        <w:tblInd w:w="105" w:type="dxa"/>
        <w:tblLayout w:type="fixed"/>
        <w:tblCellMar>
          <w:left w:w="0" w:type="dxa"/>
          <w:right w:w="0" w:type="dxa"/>
        </w:tblCellMar>
        <w:tblLook w:val="01E0" w:firstRow="1" w:lastRow="1" w:firstColumn="1" w:lastColumn="1" w:noHBand="0" w:noVBand="0"/>
      </w:tblPr>
      <w:tblGrid>
        <w:gridCol w:w="4151"/>
        <w:gridCol w:w="4111"/>
      </w:tblGrid>
      <w:tr w:rsidR="008B1423" w:rsidRPr="00BE4F57" w14:paraId="66151471" w14:textId="77777777" w:rsidTr="000152A5">
        <w:trPr>
          <w:trHeight w:hRule="exact" w:val="703"/>
        </w:trPr>
        <w:tc>
          <w:tcPr>
            <w:tcW w:w="4151" w:type="dxa"/>
            <w:tcBorders>
              <w:top w:val="single" w:sz="2" w:space="0" w:color="000000"/>
              <w:left w:val="single" w:sz="2" w:space="0" w:color="000000"/>
              <w:bottom w:val="single" w:sz="6" w:space="0" w:color="000000"/>
              <w:right w:val="single" w:sz="6" w:space="0" w:color="000000"/>
            </w:tcBorders>
          </w:tcPr>
          <w:p w14:paraId="49243A5E"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lang w:val="ka-GE"/>
              </w:rPr>
              <w:t>მომატებული წონის მაჩვენებელი</w:t>
            </w:r>
            <w:r w:rsidRPr="00BE4F57">
              <w:rPr>
                <w:rFonts w:ascii="Sylfaen" w:hAnsi="Sylfaen"/>
                <w:b/>
                <w:bCs/>
                <w:sz w:val="24"/>
                <w:szCs w:val="24"/>
              </w:rPr>
              <w:t xml:space="preserve"> </w:t>
            </w:r>
            <w:r w:rsidRPr="00BE4F57">
              <w:rPr>
                <w:rFonts w:ascii="Sylfaen" w:hAnsi="Sylfaen"/>
                <w:b/>
                <w:bCs/>
                <w:sz w:val="24"/>
                <w:szCs w:val="24"/>
                <w:lang w:val="ka-GE"/>
              </w:rPr>
              <w:t xml:space="preserve"> კგ</w:t>
            </w:r>
            <w:r w:rsidRPr="00BE4F57">
              <w:rPr>
                <w:rFonts w:ascii="Sylfaen" w:hAnsi="Sylfaen"/>
                <w:b/>
                <w:bCs/>
                <w:sz w:val="24"/>
                <w:szCs w:val="24"/>
              </w:rPr>
              <w:t xml:space="preserve"> (</w:t>
            </w:r>
            <w:r w:rsidRPr="00BE4F57">
              <w:rPr>
                <w:rFonts w:ascii="Sylfaen" w:hAnsi="Sylfaen"/>
                <w:b/>
                <w:bCs/>
                <w:sz w:val="24"/>
                <w:szCs w:val="24"/>
                <w:lang w:val="ka-GE"/>
              </w:rPr>
              <w:t>ფუნტი</w:t>
            </w:r>
            <w:r w:rsidRPr="00BE4F57">
              <w:rPr>
                <w:rFonts w:ascii="Sylfaen" w:hAnsi="Sylfaen"/>
                <w:b/>
                <w:bCs/>
                <w:sz w:val="24"/>
                <w:szCs w:val="24"/>
              </w:rPr>
              <w:t>)</w:t>
            </w:r>
          </w:p>
        </w:tc>
        <w:tc>
          <w:tcPr>
            <w:tcW w:w="4111" w:type="dxa"/>
            <w:tcBorders>
              <w:top w:val="single" w:sz="2" w:space="0" w:color="000000"/>
              <w:left w:val="single" w:sz="6" w:space="0" w:color="000000"/>
              <w:bottom w:val="single" w:sz="6" w:space="0" w:color="000000"/>
              <w:right w:val="single" w:sz="2" w:space="0" w:color="000000"/>
            </w:tcBorders>
          </w:tcPr>
          <w:p w14:paraId="0DE00463"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lang w:val="ka-GE"/>
              </w:rPr>
              <w:t>8 კვირამდე</w:t>
            </w:r>
            <w:r w:rsidRPr="00BE4F57">
              <w:rPr>
                <w:rFonts w:ascii="Sylfaen" w:hAnsi="Sylfaen"/>
                <w:b/>
                <w:bCs/>
                <w:sz w:val="24"/>
                <w:szCs w:val="24"/>
              </w:rPr>
              <w:t xml:space="preserve"> (N=170)(%)</w:t>
            </w:r>
          </w:p>
        </w:tc>
      </w:tr>
      <w:tr w:rsidR="008B1423" w:rsidRPr="00BE4F57" w14:paraId="5F3DA50E" w14:textId="77777777" w:rsidTr="000152A5">
        <w:trPr>
          <w:trHeight w:hRule="exact" w:val="392"/>
        </w:trPr>
        <w:tc>
          <w:tcPr>
            <w:tcW w:w="4151" w:type="dxa"/>
            <w:tcBorders>
              <w:top w:val="single" w:sz="6" w:space="0" w:color="000000"/>
              <w:left w:val="single" w:sz="2" w:space="0" w:color="000000"/>
              <w:bottom w:val="single" w:sz="6" w:space="0" w:color="000000"/>
              <w:right w:val="single" w:sz="6" w:space="0" w:color="000000"/>
            </w:tcBorders>
          </w:tcPr>
          <w:p w14:paraId="51BE2205"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≤0</w:t>
            </w:r>
          </w:p>
        </w:tc>
        <w:tc>
          <w:tcPr>
            <w:tcW w:w="4111" w:type="dxa"/>
            <w:tcBorders>
              <w:top w:val="single" w:sz="6" w:space="0" w:color="000000"/>
              <w:left w:val="single" w:sz="6" w:space="0" w:color="000000"/>
              <w:bottom w:val="single" w:sz="6" w:space="0" w:color="000000"/>
              <w:right w:val="single" w:sz="2" w:space="0" w:color="000000"/>
            </w:tcBorders>
          </w:tcPr>
          <w:p w14:paraId="062BF40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7.1</w:t>
            </w:r>
          </w:p>
        </w:tc>
      </w:tr>
      <w:tr w:rsidR="008B1423" w:rsidRPr="00BE4F57" w14:paraId="036307B4" w14:textId="77777777" w:rsidTr="000152A5">
        <w:trPr>
          <w:trHeight w:hRule="exact" w:val="412"/>
        </w:trPr>
        <w:tc>
          <w:tcPr>
            <w:tcW w:w="4151" w:type="dxa"/>
            <w:tcBorders>
              <w:top w:val="single" w:sz="6" w:space="0" w:color="000000"/>
              <w:left w:val="single" w:sz="2" w:space="0" w:color="000000"/>
              <w:bottom w:val="single" w:sz="6" w:space="0" w:color="000000"/>
              <w:right w:val="single" w:sz="6" w:space="0" w:color="000000"/>
            </w:tcBorders>
          </w:tcPr>
          <w:p w14:paraId="5AF1F53B"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0 - ≤5 (0-11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0F59CEE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54.7</w:t>
            </w:r>
          </w:p>
        </w:tc>
      </w:tr>
      <w:tr w:rsidR="008B1423" w:rsidRPr="00BE4F57" w14:paraId="1F0A62CE" w14:textId="77777777" w:rsidTr="000152A5">
        <w:trPr>
          <w:trHeight w:hRule="exact" w:val="418"/>
        </w:trPr>
        <w:tc>
          <w:tcPr>
            <w:tcW w:w="4151" w:type="dxa"/>
            <w:tcBorders>
              <w:top w:val="single" w:sz="6" w:space="0" w:color="000000"/>
              <w:left w:val="single" w:sz="2" w:space="0" w:color="000000"/>
              <w:bottom w:val="single" w:sz="6" w:space="0" w:color="000000"/>
              <w:right w:val="single" w:sz="6" w:space="0" w:color="000000"/>
            </w:tcBorders>
          </w:tcPr>
          <w:p w14:paraId="092B3612"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&gt;5 - ≤10 (11-22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59C6146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31.2</w:t>
            </w:r>
          </w:p>
        </w:tc>
      </w:tr>
      <w:tr w:rsidR="008B1423" w:rsidRPr="00BE4F57" w14:paraId="24B36FDA" w14:textId="77777777" w:rsidTr="000152A5">
        <w:trPr>
          <w:trHeight w:hRule="exact" w:val="423"/>
        </w:trPr>
        <w:tc>
          <w:tcPr>
            <w:tcW w:w="4151" w:type="dxa"/>
            <w:tcBorders>
              <w:top w:val="single" w:sz="6" w:space="0" w:color="000000"/>
              <w:left w:val="single" w:sz="2" w:space="0" w:color="000000"/>
              <w:bottom w:val="single" w:sz="6" w:space="0" w:color="000000"/>
              <w:right w:val="single" w:sz="6" w:space="0" w:color="000000"/>
            </w:tcBorders>
          </w:tcPr>
          <w:p w14:paraId="6C7D3E11"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&gt;10 - ≤15 (22-33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1BC30C1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7.1</w:t>
            </w:r>
          </w:p>
        </w:tc>
      </w:tr>
      <w:tr w:rsidR="008B1423" w:rsidRPr="00BE4F57" w14:paraId="3220FC19" w14:textId="77777777" w:rsidTr="000152A5">
        <w:trPr>
          <w:trHeight w:hRule="exact" w:val="416"/>
        </w:trPr>
        <w:tc>
          <w:tcPr>
            <w:tcW w:w="4151" w:type="dxa"/>
            <w:tcBorders>
              <w:top w:val="single" w:sz="6" w:space="0" w:color="000000"/>
              <w:left w:val="single" w:sz="2" w:space="0" w:color="000000"/>
              <w:bottom w:val="single" w:sz="6" w:space="0" w:color="000000"/>
              <w:right w:val="single" w:sz="6" w:space="0" w:color="000000"/>
            </w:tcBorders>
          </w:tcPr>
          <w:p w14:paraId="12D6B918"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&gt;15 - ≤20 (33-44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5287785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670CA0F9" w14:textId="77777777" w:rsidTr="000152A5">
        <w:trPr>
          <w:trHeight w:hRule="exact" w:val="422"/>
        </w:trPr>
        <w:tc>
          <w:tcPr>
            <w:tcW w:w="4151" w:type="dxa"/>
            <w:tcBorders>
              <w:top w:val="single" w:sz="6" w:space="0" w:color="000000"/>
              <w:left w:val="single" w:sz="2" w:space="0" w:color="000000"/>
              <w:bottom w:val="single" w:sz="6" w:space="0" w:color="000000"/>
              <w:right w:val="single" w:sz="6" w:space="0" w:color="000000"/>
            </w:tcBorders>
          </w:tcPr>
          <w:p w14:paraId="36741809"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&gt;20 - ≤25 (44-55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1ECAD9A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71B27F94" w14:textId="77777777" w:rsidTr="000152A5">
        <w:trPr>
          <w:trHeight w:hRule="exact" w:val="414"/>
        </w:trPr>
        <w:tc>
          <w:tcPr>
            <w:tcW w:w="4151" w:type="dxa"/>
            <w:tcBorders>
              <w:top w:val="single" w:sz="6" w:space="0" w:color="000000"/>
              <w:left w:val="single" w:sz="2" w:space="0" w:color="000000"/>
              <w:bottom w:val="single" w:sz="6" w:space="0" w:color="000000"/>
              <w:right w:val="single" w:sz="6" w:space="0" w:color="000000"/>
            </w:tcBorders>
          </w:tcPr>
          <w:p w14:paraId="6A887155"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&gt;25 - ≤30 (55-66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6" w:space="0" w:color="000000"/>
              <w:right w:val="single" w:sz="2" w:space="0" w:color="000000"/>
            </w:tcBorders>
          </w:tcPr>
          <w:p w14:paraId="0F70B3E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37E1977E" w14:textId="77777777" w:rsidTr="000152A5">
        <w:trPr>
          <w:trHeight w:hRule="exact" w:val="419"/>
        </w:trPr>
        <w:tc>
          <w:tcPr>
            <w:tcW w:w="4151" w:type="dxa"/>
            <w:tcBorders>
              <w:top w:val="single" w:sz="6" w:space="0" w:color="000000"/>
              <w:left w:val="single" w:sz="2" w:space="0" w:color="000000"/>
              <w:bottom w:val="single" w:sz="2" w:space="0" w:color="000000"/>
              <w:right w:val="single" w:sz="6" w:space="0" w:color="000000"/>
            </w:tcBorders>
          </w:tcPr>
          <w:p w14:paraId="67D548B9" w14:textId="77777777" w:rsidR="008B1423" w:rsidRPr="00BE4F57" w:rsidRDefault="008B1423" w:rsidP="007232FD">
            <w:pPr>
              <w:pStyle w:val="TableParagraph"/>
              <w:autoSpaceDE/>
              <w:autoSpaceDN/>
              <w:ind w:left="258"/>
              <w:rPr>
                <w:rFonts w:ascii="Sylfaen" w:hAnsi="Sylfaen"/>
                <w:sz w:val="24"/>
                <w:szCs w:val="24"/>
              </w:rPr>
            </w:pPr>
            <w:r w:rsidRPr="00BE4F57">
              <w:rPr>
                <w:rFonts w:ascii="Sylfaen" w:hAnsi="Sylfaen"/>
                <w:sz w:val="24"/>
                <w:szCs w:val="24"/>
              </w:rPr>
              <w:t xml:space="preserve">&gt;30 (&gt;66  </w:t>
            </w:r>
            <w:r w:rsidRPr="00BE4F57">
              <w:rPr>
                <w:rFonts w:ascii="Sylfaen" w:hAnsi="Sylfaen"/>
                <w:bCs/>
                <w:sz w:val="24"/>
                <w:szCs w:val="24"/>
                <w:lang w:val="ka-GE"/>
              </w:rPr>
              <w:t>ფუნტი</w:t>
            </w:r>
            <w:r w:rsidRPr="00BE4F57">
              <w:rPr>
                <w:rFonts w:ascii="Sylfaen" w:hAnsi="Sylfaen"/>
                <w:sz w:val="24"/>
                <w:szCs w:val="24"/>
              </w:rPr>
              <w:t>)</w:t>
            </w:r>
          </w:p>
        </w:tc>
        <w:tc>
          <w:tcPr>
            <w:tcW w:w="4111" w:type="dxa"/>
            <w:tcBorders>
              <w:top w:val="single" w:sz="6" w:space="0" w:color="000000"/>
              <w:left w:val="single" w:sz="6" w:space="0" w:color="000000"/>
              <w:bottom w:val="single" w:sz="2" w:space="0" w:color="000000"/>
              <w:right w:val="single" w:sz="2" w:space="0" w:color="000000"/>
            </w:tcBorders>
          </w:tcPr>
          <w:p w14:paraId="7C53DA1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bl>
    <w:p w14:paraId="647D8407" w14:textId="77777777" w:rsidR="008B1423" w:rsidRPr="00BE4F57" w:rsidRDefault="008B1423" w:rsidP="00A14CA6">
      <w:pPr>
        <w:spacing w:after="0" w:line="240" w:lineRule="auto"/>
        <w:jc w:val="both"/>
        <w:rPr>
          <w:rFonts w:ascii="Sylfaen" w:hAnsi="Sylfaen"/>
          <w:b/>
          <w:sz w:val="24"/>
          <w:szCs w:val="24"/>
          <w:lang w:val="ka-GE"/>
        </w:rPr>
      </w:pPr>
    </w:p>
    <w:p w14:paraId="3E3EF6C8" w14:textId="77777777" w:rsidR="008B1423" w:rsidRPr="00BE4F57" w:rsidRDefault="008B1423" w:rsidP="00A14CA6">
      <w:pPr>
        <w:spacing w:after="0" w:line="240" w:lineRule="auto"/>
        <w:jc w:val="both"/>
        <w:rPr>
          <w:rFonts w:ascii="Sylfaen" w:hAnsi="Sylfaen"/>
          <w:sz w:val="24"/>
          <w:szCs w:val="24"/>
          <w:lang w:val="ka-GE"/>
        </w:rPr>
      </w:pPr>
    </w:p>
    <w:p w14:paraId="108E224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ოლანზაპინით მონოთერაპია მოზარდებში</w:t>
      </w:r>
      <w:r w:rsidRPr="00BE4F57">
        <w:rPr>
          <w:rFonts w:ascii="Sylfaen" w:hAnsi="Sylfaen"/>
          <w:sz w:val="24"/>
          <w:szCs w:val="24"/>
          <w:lang w:val="ka-GE"/>
        </w:rPr>
        <w:t xml:space="preserve"> მოზარდებში წონის საშუალო მატება უფრო მეტი იყო, ვიდრე მოზრდილებში. 4 პლაცებო-კონტროლირებად კვლევაში, წონის მატების გამო მკურნალობის შეწყვეტა ოლანზაპინით ნამკურნალები პაციენტების 1%-ში დაფიქსირდა, პლაცებოთი ნამკურნალები პაციენტების 0%-თან შედარებით.</w:t>
      </w:r>
    </w:p>
    <w:p w14:paraId="37C52262" w14:textId="77777777" w:rsidR="008B1423" w:rsidRPr="00BE4F57" w:rsidRDefault="008B1423" w:rsidP="00A14CA6">
      <w:pPr>
        <w:spacing w:after="0" w:line="240" w:lineRule="auto"/>
        <w:jc w:val="both"/>
        <w:rPr>
          <w:rFonts w:ascii="Sylfaen" w:hAnsi="Sylfaen"/>
          <w:sz w:val="24"/>
          <w:szCs w:val="24"/>
          <w:lang w:val="ka-GE"/>
        </w:rPr>
      </w:pPr>
    </w:p>
    <w:p w14:paraId="20C4CC5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14: მოზარდებში წონის მატება ოლანზაპინის გამოყენებისას 4 პლაცებო-კონტროლირებად კვლევაში</w:t>
      </w:r>
    </w:p>
    <w:p w14:paraId="38E0DF8E" w14:textId="77777777" w:rsidR="008B1423" w:rsidRPr="00BE4F57" w:rsidRDefault="008B1423" w:rsidP="00A14CA6">
      <w:pPr>
        <w:spacing w:after="0" w:line="240" w:lineRule="auto"/>
        <w:jc w:val="both"/>
        <w:rPr>
          <w:rFonts w:ascii="Sylfaen" w:hAnsi="Sylfaen"/>
          <w:sz w:val="24"/>
          <w:szCs w:val="24"/>
          <w:lang w:val="ka-GE"/>
        </w:rPr>
      </w:pPr>
    </w:p>
    <w:tbl>
      <w:tblPr>
        <w:tblW w:w="9532" w:type="dxa"/>
        <w:tblInd w:w="115" w:type="dxa"/>
        <w:tblLayout w:type="fixed"/>
        <w:tblCellMar>
          <w:left w:w="0" w:type="dxa"/>
          <w:right w:w="0" w:type="dxa"/>
        </w:tblCellMar>
        <w:tblLook w:val="01E0" w:firstRow="1" w:lastRow="1" w:firstColumn="1" w:lastColumn="1" w:noHBand="0" w:noVBand="0"/>
      </w:tblPr>
      <w:tblGrid>
        <w:gridCol w:w="3334"/>
        <w:gridCol w:w="3507"/>
        <w:gridCol w:w="2691"/>
      </w:tblGrid>
      <w:tr w:rsidR="008B1423" w:rsidRPr="00BE4F57" w14:paraId="776F016E" w14:textId="77777777" w:rsidTr="005C4515">
        <w:trPr>
          <w:trHeight w:hRule="exact" w:val="659"/>
        </w:trPr>
        <w:tc>
          <w:tcPr>
            <w:tcW w:w="3334" w:type="dxa"/>
            <w:vMerge w:val="restart"/>
            <w:tcBorders>
              <w:top w:val="single" w:sz="6" w:space="0" w:color="000000"/>
              <w:left w:val="single" w:sz="6" w:space="0" w:color="000000"/>
              <w:right w:val="single" w:sz="6" w:space="0" w:color="000000"/>
            </w:tcBorders>
          </w:tcPr>
          <w:p w14:paraId="25ED2746" w14:textId="77777777" w:rsidR="008B1423" w:rsidRPr="00BE4F57" w:rsidRDefault="008B1423" w:rsidP="00A14CA6">
            <w:pPr>
              <w:pStyle w:val="TableParagraph"/>
              <w:autoSpaceDE/>
              <w:autoSpaceDN/>
              <w:jc w:val="both"/>
              <w:rPr>
                <w:rFonts w:ascii="Sylfaen" w:hAnsi="Sylfaen"/>
                <w:sz w:val="24"/>
                <w:szCs w:val="24"/>
              </w:rPr>
            </w:pPr>
            <w:r w:rsidRPr="00BE4F57">
              <w:rPr>
                <w:rFonts w:ascii="Sylfaen" w:hAnsi="Sylfaen" w:cs="Sylfaen"/>
                <w:sz w:val="24"/>
                <w:szCs w:val="24"/>
              </w:rPr>
              <w:t>სხეულის</w:t>
            </w:r>
            <w:r w:rsidRPr="00BE4F57">
              <w:rPr>
                <w:rFonts w:ascii="Sylfaen" w:hAnsi="Sylfaen"/>
                <w:sz w:val="24"/>
                <w:szCs w:val="24"/>
              </w:rPr>
              <w:t xml:space="preserve"> </w:t>
            </w:r>
            <w:r w:rsidRPr="00BE4F57">
              <w:rPr>
                <w:rFonts w:ascii="Sylfaen" w:hAnsi="Sylfaen" w:cs="Sylfaen"/>
                <w:sz w:val="24"/>
                <w:szCs w:val="24"/>
              </w:rPr>
              <w:t>წონის</w:t>
            </w:r>
            <w:r w:rsidRPr="00BE4F57">
              <w:rPr>
                <w:rFonts w:ascii="Sylfaen" w:hAnsi="Sylfaen"/>
                <w:sz w:val="24"/>
                <w:szCs w:val="24"/>
              </w:rPr>
              <w:t xml:space="preserve"> </w:t>
            </w:r>
            <w:r w:rsidRPr="00BE4F57">
              <w:rPr>
                <w:rFonts w:ascii="Sylfaen" w:hAnsi="Sylfaen" w:cs="Sylfaen"/>
                <w:sz w:val="24"/>
                <w:szCs w:val="24"/>
              </w:rPr>
              <w:t>საშუალო</w:t>
            </w:r>
            <w:r w:rsidRPr="00BE4F57">
              <w:rPr>
                <w:rFonts w:ascii="Sylfaen" w:hAnsi="Sylfaen"/>
                <w:sz w:val="24"/>
                <w:szCs w:val="24"/>
              </w:rPr>
              <w:t xml:space="preserve"> </w:t>
            </w:r>
            <w:r w:rsidRPr="00BE4F57">
              <w:rPr>
                <w:rFonts w:ascii="Sylfaen" w:hAnsi="Sylfaen" w:cs="Sylfaen"/>
                <w:sz w:val="24"/>
                <w:szCs w:val="24"/>
              </w:rPr>
              <w:t>ცვლილება</w:t>
            </w:r>
            <w:r w:rsidRPr="00BE4F57">
              <w:rPr>
                <w:rFonts w:ascii="Sylfaen" w:hAnsi="Sylfaen"/>
                <w:sz w:val="24"/>
                <w:szCs w:val="24"/>
              </w:rPr>
              <w:t xml:space="preserve"> </w:t>
            </w:r>
            <w:r w:rsidRPr="00BE4F57">
              <w:rPr>
                <w:rFonts w:ascii="Sylfaen" w:hAnsi="Sylfaen" w:cs="Sylfaen"/>
                <w:sz w:val="24"/>
                <w:szCs w:val="24"/>
              </w:rPr>
              <w:t>საწყის</w:t>
            </w:r>
            <w:r w:rsidRPr="00BE4F57">
              <w:rPr>
                <w:rFonts w:ascii="Sylfaen" w:hAnsi="Sylfaen"/>
                <w:sz w:val="24"/>
                <w:szCs w:val="24"/>
              </w:rPr>
              <w:t xml:space="preserve"> </w:t>
            </w:r>
            <w:r w:rsidRPr="00BE4F57">
              <w:rPr>
                <w:rFonts w:ascii="Sylfaen" w:hAnsi="Sylfaen" w:cs="Sylfaen"/>
                <w:sz w:val="24"/>
                <w:szCs w:val="24"/>
              </w:rPr>
              <w:t>დონესთან</w:t>
            </w:r>
            <w:r w:rsidRPr="00BE4F57">
              <w:rPr>
                <w:rFonts w:ascii="Sylfaen" w:hAnsi="Sylfaen"/>
                <w:sz w:val="24"/>
                <w:szCs w:val="24"/>
              </w:rPr>
              <w:t xml:space="preserve"> </w:t>
            </w:r>
            <w:r w:rsidRPr="00BE4F57">
              <w:rPr>
                <w:rFonts w:ascii="Sylfaen" w:hAnsi="Sylfaen" w:cs="Sylfaen"/>
                <w:sz w:val="24"/>
                <w:szCs w:val="24"/>
              </w:rPr>
              <w:t>შედარებით</w:t>
            </w:r>
            <w:r w:rsidRPr="00BE4F57">
              <w:rPr>
                <w:rFonts w:ascii="Sylfaen" w:hAnsi="Sylfaen"/>
                <w:sz w:val="24"/>
                <w:szCs w:val="24"/>
              </w:rPr>
              <w:t xml:space="preserve"> (</w:t>
            </w:r>
            <w:r w:rsidRPr="00BE4F57">
              <w:rPr>
                <w:rFonts w:ascii="Sylfaen" w:hAnsi="Sylfaen"/>
                <w:sz w:val="24"/>
                <w:szCs w:val="24"/>
                <w:lang w:val="ka-GE"/>
              </w:rPr>
              <w:t>მედიანური</w:t>
            </w:r>
            <w:r w:rsidRPr="00BE4F57">
              <w:rPr>
                <w:rFonts w:ascii="Sylfaen" w:hAnsi="Sylfaen"/>
                <w:sz w:val="24"/>
                <w:szCs w:val="24"/>
              </w:rPr>
              <w:t xml:space="preserve"> </w:t>
            </w:r>
            <w:r w:rsidRPr="00BE4F57">
              <w:rPr>
                <w:rFonts w:ascii="Sylfaen" w:hAnsi="Sylfaen" w:cs="Sylfaen"/>
                <w:sz w:val="24"/>
                <w:szCs w:val="24"/>
              </w:rPr>
              <w:t>ექსპოზიცია</w:t>
            </w:r>
            <w:r w:rsidRPr="00BE4F57">
              <w:rPr>
                <w:rFonts w:ascii="Sylfaen" w:hAnsi="Sylfaen"/>
                <w:sz w:val="24"/>
                <w:szCs w:val="24"/>
              </w:rPr>
              <w:t xml:space="preserve"> = 3 </w:t>
            </w:r>
            <w:r w:rsidRPr="00BE4F57">
              <w:rPr>
                <w:rFonts w:ascii="Sylfaen" w:hAnsi="Sylfaen" w:cs="Sylfaen"/>
                <w:sz w:val="24"/>
                <w:szCs w:val="24"/>
              </w:rPr>
              <w:t>კვირა</w:t>
            </w:r>
            <w:r w:rsidRPr="00BE4F57">
              <w:rPr>
                <w:rFonts w:ascii="Sylfaen" w:hAnsi="Sylfaen"/>
                <w:sz w:val="24"/>
                <w:szCs w:val="24"/>
              </w:rPr>
              <w:t>)</w:t>
            </w:r>
          </w:p>
        </w:tc>
        <w:tc>
          <w:tcPr>
            <w:tcW w:w="3507" w:type="dxa"/>
            <w:tcBorders>
              <w:top w:val="single" w:sz="6" w:space="0" w:color="000000"/>
              <w:left w:val="single" w:sz="6" w:space="0" w:color="000000"/>
              <w:bottom w:val="single" w:sz="6" w:space="0" w:color="000000"/>
              <w:right w:val="single" w:sz="6" w:space="0" w:color="000000"/>
            </w:tcBorders>
          </w:tcPr>
          <w:p w14:paraId="1608765C"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rPr>
              <w:t>ოლანზაპინით</w:t>
            </w:r>
            <w:r w:rsidRPr="00BE4F57">
              <w:rPr>
                <w:rFonts w:ascii="Sylfaen" w:hAnsi="Sylfaen"/>
                <w:b/>
                <w:bCs/>
                <w:sz w:val="24"/>
                <w:szCs w:val="24"/>
              </w:rPr>
              <w:t xml:space="preserve"> </w:t>
            </w:r>
            <w:r w:rsidRPr="00BE4F57">
              <w:rPr>
                <w:rFonts w:ascii="Sylfaen" w:hAnsi="Sylfaen" w:cs="Sylfaen"/>
                <w:b/>
                <w:bCs/>
                <w:sz w:val="24"/>
                <w:szCs w:val="24"/>
              </w:rPr>
              <w:t>ნამკურნალები</w:t>
            </w:r>
            <w:r w:rsidRPr="00BE4F57">
              <w:rPr>
                <w:rFonts w:ascii="Sylfaen" w:hAnsi="Sylfaen"/>
                <w:b/>
                <w:bCs/>
                <w:sz w:val="24"/>
                <w:szCs w:val="24"/>
              </w:rPr>
              <w:t xml:space="preserve"> </w:t>
            </w:r>
            <w:r w:rsidRPr="00BE4F57">
              <w:rPr>
                <w:rFonts w:ascii="Sylfaen" w:hAnsi="Sylfaen" w:cs="Sylfaen"/>
                <w:b/>
                <w:bCs/>
                <w:sz w:val="24"/>
                <w:szCs w:val="24"/>
              </w:rPr>
              <w:t>პაციენტები</w:t>
            </w:r>
          </w:p>
        </w:tc>
        <w:tc>
          <w:tcPr>
            <w:tcW w:w="2691" w:type="dxa"/>
            <w:tcBorders>
              <w:top w:val="single" w:sz="6" w:space="0" w:color="000000"/>
              <w:left w:val="single" w:sz="6" w:space="0" w:color="000000"/>
              <w:bottom w:val="single" w:sz="6" w:space="0" w:color="000000"/>
              <w:right w:val="single" w:sz="6" w:space="0" w:color="000000"/>
            </w:tcBorders>
          </w:tcPr>
          <w:p w14:paraId="5DB1574D"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cs="Sylfaen"/>
                <w:b/>
                <w:bCs/>
                <w:sz w:val="24"/>
                <w:szCs w:val="24"/>
                <w:lang w:val="ka-GE"/>
              </w:rPr>
              <w:t>პლაცებოს მიმღები</w:t>
            </w:r>
            <w:r w:rsidRPr="00BE4F57">
              <w:rPr>
                <w:rFonts w:ascii="Sylfaen" w:hAnsi="Sylfaen"/>
                <w:b/>
                <w:bCs/>
                <w:sz w:val="24"/>
                <w:szCs w:val="24"/>
              </w:rPr>
              <w:t xml:space="preserve"> </w:t>
            </w:r>
            <w:r w:rsidRPr="00BE4F57">
              <w:rPr>
                <w:rFonts w:ascii="Sylfaen" w:hAnsi="Sylfaen" w:cs="Sylfaen"/>
                <w:b/>
                <w:bCs/>
                <w:sz w:val="24"/>
                <w:szCs w:val="24"/>
              </w:rPr>
              <w:t>პაციენტები</w:t>
            </w:r>
          </w:p>
        </w:tc>
      </w:tr>
      <w:tr w:rsidR="008B1423" w:rsidRPr="00BE4F57" w14:paraId="62BEC22F" w14:textId="77777777" w:rsidTr="005C4515">
        <w:trPr>
          <w:trHeight w:hRule="exact" w:val="589"/>
        </w:trPr>
        <w:tc>
          <w:tcPr>
            <w:tcW w:w="3334" w:type="dxa"/>
            <w:vMerge/>
            <w:tcBorders>
              <w:left w:val="single" w:sz="6" w:space="0" w:color="000000"/>
              <w:bottom w:val="single" w:sz="6" w:space="0" w:color="000000"/>
              <w:right w:val="single" w:sz="6" w:space="0" w:color="000000"/>
            </w:tcBorders>
          </w:tcPr>
          <w:p w14:paraId="7896DEB4" w14:textId="77777777" w:rsidR="008B1423" w:rsidRPr="00BE4F57" w:rsidRDefault="008B1423" w:rsidP="00A14CA6">
            <w:pPr>
              <w:spacing w:after="0" w:line="240" w:lineRule="auto"/>
              <w:rPr>
                <w:rFonts w:ascii="Sylfaen" w:hAnsi="Sylfaen"/>
                <w:sz w:val="24"/>
                <w:szCs w:val="24"/>
              </w:rPr>
            </w:pPr>
          </w:p>
        </w:tc>
        <w:tc>
          <w:tcPr>
            <w:tcW w:w="3507" w:type="dxa"/>
            <w:tcBorders>
              <w:top w:val="single" w:sz="6" w:space="0" w:color="000000"/>
              <w:left w:val="single" w:sz="6" w:space="0" w:color="000000"/>
              <w:bottom w:val="single" w:sz="6" w:space="0" w:color="000000"/>
              <w:right w:val="single" w:sz="6" w:space="0" w:color="000000"/>
            </w:tcBorders>
          </w:tcPr>
          <w:p w14:paraId="4EEAA86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 xml:space="preserve">4.6 </w:t>
            </w:r>
            <w:r w:rsidRPr="00BE4F57">
              <w:rPr>
                <w:rFonts w:ascii="Sylfaen" w:hAnsi="Sylfaen"/>
                <w:sz w:val="24"/>
                <w:szCs w:val="24"/>
                <w:lang w:val="ka-GE"/>
              </w:rPr>
              <w:t>კგ</w:t>
            </w:r>
            <w:r w:rsidRPr="00BE4F57">
              <w:rPr>
                <w:rFonts w:ascii="Sylfaen" w:hAnsi="Sylfaen"/>
                <w:sz w:val="24"/>
                <w:szCs w:val="24"/>
              </w:rPr>
              <w:t xml:space="preserve"> (10.1 </w:t>
            </w:r>
            <w:r w:rsidRPr="00BE4F57">
              <w:rPr>
                <w:rFonts w:ascii="Sylfaen" w:hAnsi="Sylfaen"/>
                <w:sz w:val="24"/>
                <w:szCs w:val="24"/>
                <w:lang w:val="ka-GE"/>
              </w:rPr>
              <w:t>ფუნტი</w:t>
            </w:r>
            <w:r w:rsidRPr="00BE4F57">
              <w:rPr>
                <w:rFonts w:ascii="Sylfaen" w:hAnsi="Sylfaen"/>
                <w:sz w:val="24"/>
                <w:szCs w:val="24"/>
              </w:rPr>
              <w:t>)</w:t>
            </w:r>
          </w:p>
        </w:tc>
        <w:tc>
          <w:tcPr>
            <w:tcW w:w="2691" w:type="dxa"/>
            <w:tcBorders>
              <w:top w:val="single" w:sz="6" w:space="0" w:color="000000"/>
              <w:left w:val="single" w:sz="6" w:space="0" w:color="000000"/>
              <w:bottom w:val="single" w:sz="6" w:space="0" w:color="000000"/>
              <w:right w:val="single" w:sz="6" w:space="0" w:color="000000"/>
            </w:tcBorders>
          </w:tcPr>
          <w:p w14:paraId="1B4C8CB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 xml:space="preserve">0.3 </w:t>
            </w:r>
            <w:r w:rsidRPr="00BE4F57">
              <w:rPr>
                <w:rFonts w:ascii="Sylfaen" w:hAnsi="Sylfaen"/>
                <w:sz w:val="24"/>
                <w:szCs w:val="24"/>
                <w:lang w:val="ka-GE"/>
              </w:rPr>
              <w:t xml:space="preserve">კგ </w:t>
            </w:r>
            <w:r w:rsidRPr="00BE4F57">
              <w:rPr>
                <w:rFonts w:ascii="Sylfaen" w:hAnsi="Sylfaen"/>
                <w:sz w:val="24"/>
                <w:szCs w:val="24"/>
              </w:rPr>
              <w:t xml:space="preserve">(0.7 </w:t>
            </w:r>
            <w:r w:rsidRPr="00BE4F57">
              <w:rPr>
                <w:rFonts w:ascii="Sylfaen" w:hAnsi="Sylfaen"/>
                <w:sz w:val="24"/>
                <w:szCs w:val="24"/>
                <w:lang w:val="ka-GE"/>
              </w:rPr>
              <w:t>ფუნტი</w:t>
            </w:r>
            <w:r w:rsidRPr="00BE4F57">
              <w:rPr>
                <w:rFonts w:ascii="Sylfaen" w:hAnsi="Sylfaen"/>
                <w:sz w:val="24"/>
                <w:szCs w:val="24"/>
              </w:rPr>
              <w:t>)</w:t>
            </w:r>
          </w:p>
        </w:tc>
      </w:tr>
      <w:tr w:rsidR="008B1423" w:rsidRPr="00BE4F57" w14:paraId="6FFAFC15" w14:textId="77777777" w:rsidTr="005C4515">
        <w:trPr>
          <w:trHeight w:hRule="exact" w:val="1180"/>
        </w:trPr>
        <w:tc>
          <w:tcPr>
            <w:tcW w:w="3334" w:type="dxa"/>
            <w:tcBorders>
              <w:top w:val="single" w:sz="6" w:space="0" w:color="000000"/>
              <w:left w:val="single" w:sz="6" w:space="0" w:color="000000"/>
              <w:bottom w:val="single" w:sz="6" w:space="0" w:color="000000"/>
              <w:right w:val="single" w:sz="6" w:space="0" w:color="000000"/>
            </w:tcBorders>
          </w:tcPr>
          <w:p w14:paraId="4B2C7B6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პაციენტების პროცენტული მაჩვენებელი, რომლებმაც სხეულის საწყისი წონის მინიმუმ 7% მოიმატეს</w:t>
            </w:r>
          </w:p>
        </w:tc>
        <w:tc>
          <w:tcPr>
            <w:tcW w:w="3507" w:type="dxa"/>
            <w:tcBorders>
              <w:top w:val="single" w:sz="6" w:space="0" w:color="000000"/>
              <w:left w:val="single" w:sz="6" w:space="0" w:color="000000"/>
              <w:bottom w:val="single" w:sz="6" w:space="0" w:color="000000"/>
              <w:right w:val="single" w:sz="6" w:space="0" w:color="000000"/>
            </w:tcBorders>
          </w:tcPr>
          <w:p w14:paraId="0486578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40.6%</w:t>
            </w:r>
          </w:p>
          <w:p w14:paraId="30D9030E"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მედიანური ექსპოზიცია</w:t>
            </w:r>
            <w:r w:rsidRPr="00BE4F57">
              <w:rPr>
                <w:rFonts w:ascii="Sylfaen" w:hAnsi="Sylfaen"/>
                <w:sz w:val="24"/>
                <w:szCs w:val="24"/>
              </w:rPr>
              <w:t xml:space="preserve"> 7% = 4 </w:t>
            </w:r>
            <w:r w:rsidRPr="00BE4F57">
              <w:rPr>
                <w:rFonts w:ascii="Sylfaen" w:hAnsi="Sylfaen"/>
                <w:sz w:val="24"/>
                <w:szCs w:val="24"/>
                <w:lang w:val="ka-GE"/>
              </w:rPr>
              <w:t>კვირა</w:t>
            </w:r>
            <w:r w:rsidRPr="00BE4F57">
              <w:rPr>
                <w:rFonts w:ascii="Sylfaen" w:hAnsi="Sylfaen"/>
                <w:sz w:val="24"/>
                <w:szCs w:val="24"/>
              </w:rPr>
              <w:t>)</w:t>
            </w:r>
          </w:p>
        </w:tc>
        <w:tc>
          <w:tcPr>
            <w:tcW w:w="2691" w:type="dxa"/>
            <w:tcBorders>
              <w:top w:val="single" w:sz="6" w:space="0" w:color="000000"/>
              <w:left w:val="single" w:sz="6" w:space="0" w:color="000000"/>
              <w:bottom w:val="single" w:sz="6" w:space="0" w:color="000000"/>
              <w:right w:val="single" w:sz="6" w:space="0" w:color="000000"/>
            </w:tcBorders>
          </w:tcPr>
          <w:p w14:paraId="1056F33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9.8%</w:t>
            </w:r>
          </w:p>
          <w:p w14:paraId="72BDA1F4"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მედიანური ექსპოზიცია</w:t>
            </w:r>
            <w:r w:rsidRPr="00BE4F57">
              <w:rPr>
                <w:rFonts w:ascii="Sylfaen" w:hAnsi="Sylfaen"/>
                <w:sz w:val="24"/>
                <w:szCs w:val="24"/>
              </w:rPr>
              <w:t xml:space="preserve"> 7% = 8 </w:t>
            </w:r>
            <w:r w:rsidRPr="00BE4F57">
              <w:rPr>
                <w:rFonts w:ascii="Sylfaen" w:hAnsi="Sylfaen"/>
                <w:sz w:val="24"/>
                <w:szCs w:val="24"/>
                <w:lang w:val="ka-GE"/>
              </w:rPr>
              <w:t>კვირა</w:t>
            </w:r>
            <w:r w:rsidRPr="00BE4F57">
              <w:rPr>
                <w:rFonts w:ascii="Sylfaen" w:hAnsi="Sylfaen"/>
                <w:sz w:val="24"/>
                <w:szCs w:val="24"/>
              </w:rPr>
              <w:t>)</w:t>
            </w:r>
          </w:p>
        </w:tc>
      </w:tr>
      <w:tr w:rsidR="008B1423" w:rsidRPr="00BE4F57" w14:paraId="0D066662" w14:textId="77777777" w:rsidTr="005C4515">
        <w:trPr>
          <w:trHeight w:hRule="exact" w:val="1141"/>
        </w:trPr>
        <w:tc>
          <w:tcPr>
            <w:tcW w:w="3334" w:type="dxa"/>
            <w:tcBorders>
              <w:top w:val="single" w:sz="6" w:space="0" w:color="000000"/>
              <w:left w:val="single" w:sz="6" w:space="0" w:color="000000"/>
              <w:bottom w:val="single" w:sz="6" w:space="0" w:color="000000"/>
              <w:right w:val="single" w:sz="6" w:space="0" w:color="000000"/>
            </w:tcBorders>
          </w:tcPr>
          <w:p w14:paraId="0AA5A7F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cs="Sylfaen"/>
                <w:sz w:val="24"/>
                <w:szCs w:val="24"/>
              </w:rPr>
              <w:t>პაციენტების</w:t>
            </w:r>
            <w:r w:rsidRPr="00BE4F57">
              <w:rPr>
                <w:rFonts w:ascii="Sylfaen" w:hAnsi="Sylfaen"/>
                <w:sz w:val="24"/>
                <w:szCs w:val="24"/>
              </w:rPr>
              <w:t xml:space="preserve"> </w:t>
            </w:r>
            <w:r w:rsidRPr="00BE4F57">
              <w:rPr>
                <w:rFonts w:ascii="Sylfaen" w:hAnsi="Sylfaen" w:cs="Sylfaen"/>
                <w:sz w:val="24"/>
                <w:szCs w:val="24"/>
              </w:rPr>
              <w:t>პროცენტული</w:t>
            </w:r>
            <w:r w:rsidRPr="00BE4F57">
              <w:rPr>
                <w:rFonts w:ascii="Sylfaen" w:hAnsi="Sylfaen"/>
                <w:sz w:val="24"/>
                <w:szCs w:val="24"/>
              </w:rPr>
              <w:t xml:space="preserve"> </w:t>
            </w:r>
            <w:r w:rsidRPr="00BE4F57">
              <w:rPr>
                <w:rFonts w:ascii="Sylfaen" w:hAnsi="Sylfaen" w:cs="Sylfaen"/>
                <w:sz w:val="24"/>
                <w:szCs w:val="24"/>
              </w:rPr>
              <w:t>მაჩვენებელი</w:t>
            </w:r>
            <w:r w:rsidRPr="00BE4F57">
              <w:rPr>
                <w:rFonts w:ascii="Sylfaen" w:hAnsi="Sylfaen"/>
                <w:sz w:val="24"/>
                <w:szCs w:val="24"/>
              </w:rPr>
              <w:t xml:space="preserve">, </w:t>
            </w:r>
            <w:r w:rsidRPr="00BE4F57">
              <w:rPr>
                <w:rFonts w:ascii="Sylfaen" w:hAnsi="Sylfaen" w:cs="Sylfaen"/>
                <w:sz w:val="24"/>
                <w:szCs w:val="24"/>
              </w:rPr>
              <w:t>რომლებმაც</w:t>
            </w:r>
            <w:r w:rsidRPr="00BE4F57">
              <w:rPr>
                <w:rFonts w:ascii="Sylfaen" w:hAnsi="Sylfaen"/>
                <w:sz w:val="24"/>
                <w:szCs w:val="24"/>
              </w:rPr>
              <w:t xml:space="preserve"> </w:t>
            </w:r>
            <w:r w:rsidRPr="00BE4F57">
              <w:rPr>
                <w:rFonts w:ascii="Sylfaen" w:hAnsi="Sylfaen" w:cs="Sylfaen"/>
                <w:sz w:val="24"/>
                <w:szCs w:val="24"/>
              </w:rPr>
              <w:t>სხეულის</w:t>
            </w:r>
            <w:r w:rsidRPr="00BE4F57">
              <w:rPr>
                <w:rFonts w:ascii="Sylfaen" w:hAnsi="Sylfaen"/>
                <w:sz w:val="24"/>
                <w:szCs w:val="24"/>
              </w:rPr>
              <w:t xml:space="preserve"> </w:t>
            </w:r>
            <w:r w:rsidRPr="00BE4F57">
              <w:rPr>
                <w:rFonts w:ascii="Sylfaen" w:hAnsi="Sylfaen" w:cs="Sylfaen"/>
                <w:sz w:val="24"/>
                <w:szCs w:val="24"/>
              </w:rPr>
              <w:t>საწყისი</w:t>
            </w:r>
            <w:r w:rsidRPr="00BE4F57">
              <w:rPr>
                <w:rFonts w:ascii="Sylfaen" w:hAnsi="Sylfaen"/>
                <w:sz w:val="24"/>
                <w:szCs w:val="24"/>
              </w:rPr>
              <w:t xml:space="preserve"> </w:t>
            </w:r>
            <w:r w:rsidRPr="00BE4F57">
              <w:rPr>
                <w:rFonts w:ascii="Sylfaen" w:hAnsi="Sylfaen" w:cs="Sylfaen"/>
                <w:sz w:val="24"/>
                <w:szCs w:val="24"/>
              </w:rPr>
              <w:t>წონის</w:t>
            </w:r>
            <w:r w:rsidRPr="00BE4F57">
              <w:rPr>
                <w:rFonts w:ascii="Sylfaen" w:hAnsi="Sylfaen"/>
                <w:sz w:val="24"/>
                <w:szCs w:val="24"/>
              </w:rPr>
              <w:t xml:space="preserve"> </w:t>
            </w:r>
            <w:r w:rsidRPr="00BE4F57">
              <w:rPr>
                <w:rFonts w:ascii="Sylfaen" w:hAnsi="Sylfaen" w:cs="Sylfaen"/>
                <w:sz w:val="24"/>
                <w:szCs w:val="24"/>
              </w:rPr>
              <w:t>მინიმუმ</w:t>
            </w:r>
            <w:r w:rsidRPr="00BE4F57">
              <w:rPr>
                <w:rFonts w:ascii="Sylfaen" w:hAnsi="Sylfaen"/>
                <w:sz w:val="24"/>
                <w:szCs w:val="24"/>
              </w:rPr>
              <w:t xml:space="preserve"> 15% </w:t>
            </w:r>
            <w:r w:rsidRPr="00BE4F57">
              <w:rPr>
                <w:rFonts w:ascii="Sylfaen" w:hAnsi="Sylfaen" w:cs="Sylfaen"/>
                <w:sz w:val="24"/>
                <w:szCs w:val="24"/>
              </w:rPr>
              <w:t>მოიმატეს</w:t>
            </w:r>
          </w:p>
        </w:tc>
        <w:tc>
          <w:tcPr>
            <w:tcW w:w="3507" w:type="dxa"/>
            <w:tcBorders>
              <w:top w:val="single" w:sz="6" w:space="0" w:color="000000"/>
              <w:left w:val="single" w:sz="6" w:space="0" w:color="000000"/>
              <w:bottom w:val="single" w:sz="6" w:space="0" w:color="000000"/>
              <w:right w:val="single" w:sz="6" w:space="0" w:color="000000"/>
            </w:tcBorders>
          </w:tcPr>
          <w:p w14:paraId="10289B3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7.1%</w:t>
            </w:r>
          </w:p>
          <w:p w14:paraId="00D6B46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მედიანური ექსპოზიცია</w:t>
            </w:r>
            <w:r w:rsidRPr="00BE4F57">
              <w:rPr>
                <w:rFonts w:ascii="Sylfaen" w:hAnsi="Sylfaen"/>
                <w:sz w:val="24"/>
                <w:szCs w:val="24"/>
              </w:rPr>
              <w:t xml:space="preserve"> 15% = 19 </w:t>
            </w:r>
            <w:r w:rsidRPr="00BE4F57">
              <w:rPr>
                <w:rFonts w:ascii="Sylfaen" w:hAnsi="Sylfaen"/>
                <w:sz w:val="24"/>
                <w:szCs w:val="24"/>
                <w:lang w:val="ka-GE"/>
              </w:rPr>
              <w:t>კვირა</w:t>
            </w:r>
            <w:r w:rsidRPr="00BE4F57">
              <w:rPr>
                <w:rFonts w:ascii="Sylfaen" w:hAnsi="Sylfaen"/>
                <w:sz w:val="24"/>
                <w:szCs w:val="24"/>
              </w:rPr>
              <w:t>)</w:t>
            </w:r>
          </w:p>
        </w:tc>
        <w:tc>
          <w:tcPr>
            <w:tcW w:w="2691" w:type="dxa"/>
            <w:tcBorders>
              <w:top w:val="single" w:sz="6" w:space="0" w:color="000000"/>
              <w:left w:val="single" w:sz="6" w:space="0" w:color="000000"/>
              <w:bottom w:val="single" w:sz="6" w:space="0" w:color="000000"/>
              <w:right w:val="single" w:sz="6" w:space="0" w:color="000000"/>
            </w:tcBorders>
          </w:tcPr>
          <w:p w14:paraId="47D42BE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2.7%</w:t>
            </w:r>
          </w:p>
          <w:p w14:paraId="31A47417"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w:t>
            </w:r>
            <w:r w:rsidRPr="00BE4F57">
              <w:rPr>
                <w:rFonts w:ascii="Sylfaen" w:hAnsi="Sylfaen"/>
                <w:sz w:val="24"/>
                <w:szCs w:val="24"/>
                <w:lang w:val="ka-GE"/>
              </w:rPr>
              <w:t>მედიანური ექსპოზიცია</w:t>
            </w:r>
            <w:r w:rsidRPr="00BE4F57">
              <w:rPr>
                <w:rFonts w:ascii="Sylfaen" w:hAnsi="Sylfaen"/>
                <w:sz w:val="24"/>
                <w:szCs w:val="24"/>
              </w:rPr>
              <w:t xml:space="preserve"> 15% = 8 </w:t>
            </w:r>
            <w:r w:rsidRPr="00BE4F57">
              <w:rPr>
                <w:rFonts w:ascii="Sylfaen" w:hAnsi="Sylfaen"/>
                <w:sz w:val="24"/>
                <w:szCs w:val="24"/>
                <w:lang w:val="ka-GE"/>
              </w:rPr>
              <w:t>კვირა</w:t>
            </w:r>
            <w:r w:rsidRPr="00BE4F57">
              <w:rPr>
                <w:rFonts w:ascii="Sylfaen" w:hAnsi="Sylfaen"/>
                <w:sz w:val="24"/>
                <w:szCs w:val="24"/>
              </w:rPr>
              <w:t>)</w:t>
            </w:r>
          </w:p>
        </w:tc>
      </w:tr>
    </w:tbl>
    <w:p w14:paraId="499270C7" w14:textId="77777777" w:rsidR="008B1423" w:rsidRPr="00BE4F57" w:rsidRDefault="008B1423" w:rsidP="00A14CA6">
      <w:pPr>
        <w:spacing w:after="0" w:line="240" w:lineRule="auto"/>
        <w:jc w:val="both"/>
        <w:rPr>
          <w:rFonts w:ascii="Sylfaen" w:hAnsi="Sylfaen"/>
          <w:sz w:val="24"/>
          <w:szCs w:val="24"/>
          <w:lang w:val="ka-GE"/>
        </w:rPr>
      </w:pPr>
    </w:p>
    <w:p w14:paraId="11FD5E7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გრძელვადიან კვლევებში (მინიმუმ 24 კვირა), საშუალო წონის მატება იყო 11.2 კგ (საშუალო ექსპოზიცია 201 დღე, N=179). მოზარდების პროცენტული მაჩვენებელი, რომლებმაც ხანგრძლივი ექსპოზიციისას მოიმატეს საწყისი მაჩვენებლიდან სხეულის წონის მინიმუმ 7%, 15% ან 25%, შესაბამისად, იყო 89%, 55% და 29%. მოზარდ პაციენტებში, საწყისი BMI კატეგორიის მიხედვით საშუალო წონის მატება იყო შესაბამისად 11.5 კგ, 12.1 კგ და 12.7 კგ ნორმალური (N=106), ჭარბწონიანი (N=26) და სიმსუქნით დაავადებული (N=17) პაციენტებისთვის. წონის მატების გამო მკურნალობის შეწყვეტა მოხდა ოლანზაპინით ნამკურნალები პაციენტების 2.2%-ში, ექსპოზიციიდან მინიმუმ 24 კვირის შემდეგ. ცხრილი 15 ასახავს მონაცემებს წონის მატების შესახებ ოლანზაპინის გამოყენებისას მოზარდებში 6 კლინიკური კვლევიდან. თითოეულ სვეტში მოცემული მონაცემები წარმოადგენს იმ პაციენტების მონაცემებს, რომლებმაც დაასრულეს მკურნალობის პროცესი მითითებულ პერიოდებში. ოლანზაპინით მკურნალობის 6 თვის შემდეგ მოზარდებში წონის მატების შესახებ კლინიკური კვლევების მონაცემები მწირია.</w:t>
      </w:r>
    </w:p>
    <w:p w14:paraId="401D7204" w14:textId="77777777" w:rsidR="008B1423" w:rsidRPr="00BE4F57" w:rsidRDefault="008B1423" w:rsidP="00A14CA6">
      <w:pPr>
        <w:spacing w:after="0" w:line="240" w:lineRule="auto"/>
        <w:jc w:val="both"/>
        <w:rPr>
          <w:rFonts w:ascii="Sylfaen" w:hAnsi="Sylfaen"/>
          <w:sz w:val="24"/>
          <w:szCs w:val="24"/>
          <w:lang w:val="ka-GE"/>
        </w:rPr>
      </w:pPr>
    </w:p>
    <w:p w14:paraId="44ABD02E"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15: ოლანზაპინით მკურნალობის დროს მოზარდებში წონის მატება</w:t>
      </w:r>
    </w:p>
    <w:p w14:paraId="0E5E4E8E" w14:textId="77777777" w:rsidR="008B1423" w:rsidRPr="00BE4F57" w:rsidRDefault="008B1423" w:rsidP="00A14CA6">
      <w:pPr>
        <w:spacing w:after="0" w:line="240" w:lineRule="auto"/>
        <w:jc w:val="both"/>
        <w:rPr>
          <w:rFonts w:ascii="Sylfaen" w:hAnsi="Sylfaen"/>
          <w:b/>
          <w:sz w:val="24"/>
          <w:szCs w:val="24"/>
          <w:lang w:val="ka-GE"/>
        </w:rPr>
      </w:pPr>
    </w:p>
    <w:tbl>
      <w:tblPr>
        <w:tblW w:w="8972" w:type="dxa"/>
        <w:tblInd w:w="108" w:type="dxa"/>
        <w:tblLayout w:type="fixed"/>
        <w:tblCellMar>
          <w:left w:w="0" w:type="dxa"/>
          <w:right w:w="0" w:type="dxa"/>
        </w:tblCellMar>
        <w:tblLook w:val="01E0" w:firstRow="1" w:lastRow="1" w:firstColumn="1" w:lastColumn="1" w:noHBand="0" w:noVBand="0"/>
      </w:tblPr>
      <w:tblGrid>
        <w:gridCol w:w="3302"/>
        <w:gridCol w:w="2880"/>
        <w:gridCol w:w="2790"/>
      </w:tblGrid>
      <w:tr w:rsidR="008B1423" w:rsidRPr="00BE4F57" w14:paraId="1D0D2AD0" w14:textId="77777777" w:rsidTr="00720E20">
        <w:trPr>
          <w:trHeight w:hRule="exact" w:val="633"/>
        </w:trPr>
        <w:tc>
          <w:tcPr>
            <w:tcW w:w="3302" w:type="dxa"/>
            <w:tcBorders>
              <w:top w:val="single" w:sz="6" w:space="0" w:color="000000"/>
              <w:left w:val="single" w:sz="6" w:space="0" w:color="000000"/>
              <w:bottom w:val="single" w:sz="6" w:space="0" w:color="000000"/>
              <w:right w:val="single" w:sz="6" w:space="0" w:color="000000"/>
            </w:tcBorders>
          </w:tcPr>
          <w:p w14:paraId="52F848E5"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lang w:val="ka-GE"/>
              </w:rPr>
              <w:t>მომატებული წონის მაჩვენებელი</w:t>
            </w:r>
            <w:r w:rsidRPr="00BE4F57">
              <w:rPr>
                <w:rFonts w:ascii="Sylfaen" w:hAnsi="Sylfaen"/>
                <w:b/>
                <w:bCs/>
                <w:sz w:val="24"/>
                <w:szCs w:val="24"/>
              </w:rPr>
              <w:t xml:space="preserve"> </w:t>
            </w:r>
            <w:r w:rsidRPr="00BE4F57">
              <w:rPr>
                <w:rFonts w:ascii="Sylfaen" w:hAnsi="Sylfaen"/>
                <w:b/>
                <w:bCs/>
                <w:sz w:val="24"/>
                <w:szCs w:val="24"/>
                <w:lang w:val="ka-GE"/>
              </w:rPr>
              <w:t xml:space="preserve"> კგ</w:t>
            </w:r>
            <w:r w:rsidRPr="00BE4F57">
              <w:rPr>
                <w:rFonts w:ascii="Sylfaen" w:hAnsi="Sylfaen"/>
                <w:b/>
                <w:bCs/>
                <w:sz w:val="24"/>
                <w:szCs w:val="24"/>
              </w:rPr>
              <w:t xml:space="preserve"> (</w:t>
            </w:r>
            <w:r w:rsidRPr="00BE4F57">
              <w:rPr>
                <w:rFonts w:ascii="Sylfaen" w:hAnsi="Sylfaen"/>
                <w:b/>
                <w:bCs/>
                <w:sz w:val="24"/>
                <w:szCs w:val="24"/>
                <w:lang w:val="ka-GE"/>
              </w:rPr>
              <w:t>ფუნტი</w:t>
            </w:r>
            <w:r w:rsidRPr="00BE4F57">
              <w:rPr>
                <w:rFonts w:ascii="Sylfaen" w:hAnsi="Sylfaen"/>
                <w:b/>
                <w:bCs/>
                <w:sz w:val="24"/>
                <w:szCs w:val="24"/>
              </w:rPr>
              <w:t>)</w:t>
            </w:r>
          </w:p>
        </w:tc>
        <w:tc>
          <w:tcPr>
            <w:tcW w:w="2880" w:type="dxa"/>
            <w:tcBorders>
              <w:top w:val="single" w:sz="6" w:space="0" w:color="000000"/>
              <w:left w:val="single" w:sz="6" w:space="0" w:color="000000"/>
              <w:bottom w:val="single" w:sz="6" w:space="0" w:color="000000"/>
              <w:right w:val="single" w:sz="6" w:space="0" w:color="000000"/>
            </w:tcBorders>
          </w:tcPr>
          <w:p w14:paraId="1A115295"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 xml:space="preserve">6 </w:t>
            </w:r>
            <w:r w:rsidRPr="00BE4F57">
              <w:rPr>
                <w:rFonts w:ascii="Sylfaen" w:hAnsi="Sylfaen"/>
                <w:b/>
                <w:bCs/>
                <w:sz w:val="24"/>
                <w:szCs w:val="24"/>
                <w:lang w:val="ka-GE"/>
              </w:rPr>
              <w:t>თვე</w:t>
            </w:r>
            <w:r w:rsidRPr="00BE4F57">
              <w:rPr>
                <w:rFonts w:ascii="Sylfaen" w:hAnsi="Sylfaen"/>
                <w:b/>
                <w:bCs/>
                <w:sz w:val="24"/>
                <w:szCs w:val="24"/>
              </w:rPr>
              <w:t xml:space="preserve"> (N=243) (%)</w:t>
            </w:r>
          </w:p>
        </w:tc>
        <w:tc>
          <w:tcPr>
            <w:tcW w:w="2790" w:type="dxa"/>
            <w:tcBorders>
              <w:top w:val="single" w:sz="6" w:space="0" w:color="000000"/>
              <w:left w:val="single" w:sz="6" w:space="0" w:color="000000"/>
              <w:bottom w:val="single" w:sz="6" w:space="0" w:color="000000"/>
              <w:right w:val="single" w:sz="6" w:space="0" w:color="000000"/>
            </w:tcBorders>
          </w:tcPr>
          <w:p w14:paraId="2599EC5B" w14:textId="77777777" w:rsidR="008B1423" w:rsidRPr="00BE4F57" w:rsidRDefault="008B1423" w:rsidP="00A14CA6">
            <w:pPr>
              <w:pStyle w:val="TableParagraph"/>
              <w:autoSpaceDE/>
              <w:autoSpaceDN/>
              <w:rPr>
                <w:rFonts w:ascii="Sylfaen" w:hAnsi="Sylfaen"/>
                <w:b/>
                <w:sz w:val="24"/>
                <w:szCs w:val="24"/>
              </w:rPr>
            </w:pPr>
            <w:r w:rsidRPr="00BE4F57">
              <w:rPr>
                <w:rFonts w:ascii="Sylfaen" w:hAnsi="Sylfaen"/>
                <w:b/>
                <w:bCs/>
                <w:sz w:val="24"/>
                <w:szCs w:val="24"/>
              </w:rPr>
              <w:t xml:space="preserve">6 </w:t>
            </w:r>
            <w:r w:rsidRPr="00BE4F57">
              <w:rPr>
                <w:rFonts w:ascii="Sylfaen" w:hAnsi="Sylfaen"/>
                <w:b/>
                <w:bCs/>
                <w:sz w:val="24"/>
                <w:szCs w:val="24"/>
                <w:lang w:val="ka-GE"/>
              </w:rPr>
              <w:t>თვე</w:t>
            </w:r>
            <w:r w:rsidRPr="00BE4F57">
              <w:rPr>
                <w:rFonts w:ascii="Sylfaen" w:hAnsi="Sylfaen"/>
                <w:b/>
                <w:bCs/>
                <w:sz w:val="24"/>
                <w:szCs w:val="24"/>
              </w:rPr>
              <w:t xml:space="preserve"> (N=191) (%)</w:t>
            </w:r>
          </w:p>
        </w:tc>
      </w:tr>
      <w:tr w:rsidR="008B1423" w:rsidRPr="00BE4F57" w14:paraId="6BA62319" w14:textId="77777777" w:rsidTr="00E47AE7">
        <w:trPr>
          <w:trHeight w:hRule="exact" w:val="326"/>
        </w:trPr>
        <w:tc>
          <w:tcPr>
            <w:tcW w:w="3302" w:type="dxa"/>
            <w:tcBorders>
              <w:top w:val="single" w:sz="6" w:space="0" w:color="000000"/>
              <w:left w:val="single" w:sz="6" w:space="0" w:color="000000"/>
              <w:bottom w:val="single" w:sz="6" w:space="0" w:color="000000"/>
              <w:right w:val="single" w:sz="6" w:space="0" w:color="000000"/>
            </w:tcBorders>
            <w:vAlign w:val="center"/>
          </w:tcPr>
          <w:p w14:paraId="1D30398B" w14:textId="77777777" w:rsidR="008B1423" w:rsidRPr="00BE4F57" w:rsidRDefault="008B1423" w:rsidP="007232FD">
            <w:pPr>
              <w:pStyle w:val="TableParagraph"/>
              <w:autoSpaceDE/>
              <w:autoSpaceDN/>
              <w:ind w:left="80"/>
              <w:rPr>
                <w:rFonts w:ascii="Sylfaen" w:hAnsi="Sylfaen"/>
                <w:sz w:val="24"/>
                <w:szCs w:val="24"/>
              </w:rPr>
            </w:pPr>
            <w:r w:rsidRPr="00BE4F57">
              <w:rPr>
                <w:rFonts w:ascii="Sylfaen" w:hAnsi="Sylfaen"/>
                <w:sz w:val="24"/>
                <w:szCs w:val="24"/>
              </w:rPr>
              <w:t>≤0</w:t>
            </w:r>
          </w:p>
        </w:tc>
        <w:tc>
          <w:tcPr>
            <w:tcW w:w="2880" w:type="dxa"/>
            <w:tcBorders>
              <w:top w:val="single" w:sz="6" w:space="0" w:color="000000"/>
              <w:left w:val="single" w:sz="6" w:space="0" w:color="000000"/>
              <w:bottom w:val="single" w:sz="6" w:space="0" w:color="000000"/>
              <w:right w:val="single" w:sz="6" w:space="0" w:color="000000"/>
            </w:tcBorders>
            <w:vAlign w:val="center"/>
          </w:tcPr>
          <w:p w14:paraId="5E1C4403"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2.9</w:t>
            </w:r>
          </w:p>
        </w:tc>
        <w:tc>
          <w:tcPr>
            <w:tcW w:w="2790" w:type="dxa"/>
            <w:tcBorders>
              <w:top w:val="single" w:sz="6" w:space="0" w:color="000000"/>
              <w:left w:val="single" w:sz="6" w:space="0" w:color="000000"/>
              <w:bottom w:val="single" w:sz="6" w:space="0" w:color="000000"/>
              <w:right w:val="single" w:sz="6" w:space="0" w:color="000000"/>
            </w:tcBorders>
            <w:vAlign w:val="center"/>
          </w:tcPr>
          <w:p w14:paraId="7D6A21F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w:t>
            </w:r>
          </w:p>
        </w:tc>
      </w:tr>
      <w:tr w:rsidR="008B1423" w:rsidRPr="00BE4F57" w14:paraId="0AAD952E" w14:textId="77777777" w:rsidTr="00E47AE7">
        <w:trPr>
          <w:trHeight w:hRule="exact" w:val="287"/>
        </w:trPr>
        <w:tc>
          <w:tcPr>
            <w:tcW w:w="3302" w:type="dxa"/>
            <w:tcBorders>
              <w:top w:val="single" w:sz="6" w:space="0" w:color="000000"/>
              <w:left w:val="single" w:sz="6" w:space="0" w:color="000000"/>
              <w:bottom w:val="single" w:sz="6" w:space="0" w:color="000000"/>
              <w:right w:val="single" w:sz="6" w:space="0" w:color="000000"/>
            </w:tcBorders>
            <w:vAlign w:val="center"/>
          </w:tcPr>
          <w:p w14:paraId="5F9D6799" w14:textId="77777777" w:rsidR="008B1423" w:rsidRPr="00BE4F57" w:rsidRDefault="008B1423" w:rsidP="007232FD">
            <w:pPr>
              <w:pStyle w:val="TableParagraph"/>
              <w:autoSpaceDE/>
              <w:autoSpaceDN/>
              <w:ind w:left="80"/>
              <w:rPr>
                <w:rFonts w:ascii="Sylfaen" w:hAnsi="Sylfaen"/>
                <w:sz w:val="24"/>
                <w:szCs w:val="24"/>
              </w:rPr>
            </w:pPr>
            <w:r w:rsidRPr="00BE4F57">
              <w:rPr>
                <w:rFonts w:ascii="Sylfaen" w:hAnsi="Sylfaen"/>
                <w:sz w:val="24"/>
                <w:szCs w:val="24"/>
              </w:rPr>
              <w:t>0 - ≤5(0-11</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349C399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47.3</w:t>
            </w:r>
          </w:p>
        </w:tc>
        <w:tc>
          <w:tcPr>
            <w:tcW w:w="2790" w:type="dxa"/>
            <w:tcBorders>
              <w:top w:val="single" w:sz="6" w:space="0" w:color="000000"/>
              <w:left w:val="single" w:sz="6" w:space="0" w:color="000000"/>
              <w:bottom w:val="single" w:sz="6" w:space="0" w:color="000000"/>
              <w:right w:val="single" w:sz="6" w:space="0" w:color="000000"/>
            </w:tcBorders>
            <w:vAlign w:val="center"/>
          </w:tcPr>
          <w:p w14:paraId="685B1E7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24.6</w:t>
            </w:r>
          </w:p>
        </w:tc>
      </w:tr>
      <w:tr w:rsidR="008B1423" w:rsidRPr="00BE4F57" w14:paraId="21EFC39F" w14:textId="77777777" w:rsidTr="00E47AE7">
        <w:trPr>
          <w:trHeight w:hRule="exact" w:val="292"/>
        </w:trPr>
        <w:tc>
          <w:tcPr>
            <w:tcW w:w="3302" w:type="dxa"/>
            <w:tcBorders>
              <w:top w:val="single" w:sz="6" w:space="0" w:color="000000"/>
              <w:left w:val="single" w:sz="6" w:space="0" w:color="000000"/>
              <w:bottom w:val="single" w:sz="6" w:space="0" w:color="000000"/>
              <w:right w:val="single" w:sz="6" w:space="0" w:color="000000"/>
            </w:tcBorders>
            <w:vAlign w:val="center"/>
          </w:tcPr>
          <w:p w14:paraId="4040AB2D"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&gt;5</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≤10</w:t>
            </w:r>
            <w:r w:rsidRPr="00BE4F57">
              <w:rPr>
                <w:rFonts w:ascii="Sylfaen" w:hAnsi="Sylfaen"/>
                <w:spacing w:val="-15"/>
                <w:sz w:val="24"/>
                <w:szCs w:val="24"/>
              </w:rPr>
              <w:t xml:space="preserve"> </w:t>
            </w:r>
            <w:r w:rsidRPr="00BE4F57">
              <w:rPr>
                <w:rFonts w:ascii="Sylfaen" w:hAnsi="Sylfaen"/>
                <w:sz w:val="24"/>
                <w:szCs w:val="24"/>
              </w:rPr>
              <w:t>(11-22</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0BF3B04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42.4</w:t>
            </w:r>
          </w:p>
        </w:tc>
        <w:tc>
          <w:tcPr>
            <w:tcW w:w="2790" w:type="dxa"/>
            <w:tcBorders>
              <w:top w:val="single" w:sz="6" w:space="0" w:color="000000"/>
              <w:left w:val="single" w:sz="6" w:space="0" w:color="000000"/>
              <w:bottom w:val="single" w:sz="6" w:space="0" w:color="000000"/>
              <w:right w:val="single" w:sz="6" w:space="0" w:color="000000"/>
            </w:tcBorders>
            <w:vAlign w:val="center"/>
          </w:tcPr>
          <w:p w14:paraId="1EBF0A02"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26.7</w:t>
            </w:r>
          </w:p>
        </w:tc>
      </w:tr>
      <w:tr w:rsidR="008B1423" w:rsidRPr="00BE4F57" w14:paraId="0BF1DDBA" w14:textId="77777777" w:rsidTr="00E47AE7">
        <w:trPr>
          <w:trHeight w:hRule="exact" w:val="323"/>
        </w:trPr>
        <w:tc>
          <w:tcPr>
            <w:tcW w:w="3302" w:type="dxa"/>
            <w:tcBorders>
              <w:top w:val="single" w:sz="6" w:space="0" w:color="000000"/>
              <w:left w:val="single" w:sz="6" w:space="0" w:color="000000"/>
              <w:bottom w:val="single" w:sz="6" w:space="0" w:color="000000"/>
              <w:right w:val="single" w:sz="6" w:space="0" w:color="000000"/>
            </w:tcBorders>
            <w:vAlign w:val="center"/>
          </w:tcPr>
          <w:p w14:paraId="06307CE3"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&gt;10</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≤15</w:t>
            </w:r>
            <w:r w:rsidRPr="00BE4F57">
              <w:rPr>
                <w:rFonts w:ascii="Sylfaen" w:hAnsi="Sylfaen"/>
                <w:spacing w:val="-15"/>
                <w:sz w:val="24"/>
                <w:szCs w:val="24"/>
              </w:rPr>
              <w:t xml:space="preserve"> </w:t>
            </w:r>
            <w:r w:rsidRPr="00BE4F57">
              <w:rPr>
                <w:rFonts w:ascii="Sylfaen" w:hAnsi="Sylfaen"/>
                <w:sz w:val="24"/>
                <w:szCs w:val="24"/>
              </w:rPr>
              <w:t>(22-33</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0D33C6F1"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5.8</w:t>
            </w:r>
          </w:p>
        </w:tc>
        <w:tc>
          <w:tcPr>
            <w:tcW w:w="2790" w:type="dxa"/>
            <w:tcBorders>
              <w:top w:val="single" w:sz="6" w:space="0" w:color="000000"/>
              <w:left w:val="single" w:sz="6" w:space="0" w:color="000000"/>
              <w:bottom w:val="single" w:sz="6" w:space="0" w:color="000000"/>
              <w:right w:val="single" w:sz="6" w:space="0" w:color="000000"/>
            </w:tcBorders>
            <w:vAlign w:val="center"/>
          </w:tcPr>
          <w:p w14:paraId="1663C10D"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22.0</w:t>
            </w:r>
          </w:p>
        </w:tc>
      </w:tr>
      <w:tr w:rsidR="008B1423" w:rsidRPr="00BE4F57" w14:paraId="188800F6" w14:textId="77777777" w:rsidTr="00E47AE7">
        <w:trPr>
          <w:trHeight w:hRule="exact" w:val="286"/>
        </w:trPr>
        <w:tc>
          <w:tcPr>
            <w:tcW w:w="3302" w:type="dxa"/>
            <w:tcBorders>
              <w:top w:val="single" w:sz="6" w:space="0" w:color="000000"/>
              <w:left w:val="single" w:sz="6" w:space="0" w:color="000000"/>
              <w:bottom w:val="single" w:sz="6" w:space="0" w:color="000000"/>
              <w:right w:val="single" w:sz="6" w:space="0" w:color="000000"/>
            </w:tcBorders>
            <w:vAlign w:val="center"/>
          </w:tcPr>
          <w:p w14:paraId="58D3DF6B"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&gt;15</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≤20</w:t>
            </w:r>
            <w:r w:rsidRPr="00BE4F57">
              <w:rPr>
                <w:rFonts w:ascii="Sylfaen" w:hAnsi="Sylfaen"/>
                <w:spacing w:val="-15"/>
                <w:sz w:val="24"/>
                <w:szCs w:val="24"/>
              </w:rPr>
              <w:t xml:space="preserve"> </w:t>
            </w:r>
            <w:r w:rsidRPr="00BE4F57">
              <w:rPr>
                <w:rFonts w:ascii="Sylfaen" w:hAnsi="Sylfaen"/>
                <w:sz w:val="24"/>
                <w:szCs w:val="24"/>
              </w:rPr>
              <w:t>(33-44</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532EE436"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0.8</w:t>
            </w:r>
          </w:p>
        </w:tc>
        <w:tc>
          <w:tcPr>
            <w:tcW w:w="2790" w:type="dxa"/>
            <w:tcBorders>
              <w:top w:val="single" w:sz="6" w:space="0" w:color="000000"/>
              <w:left w:val="single" w:sz="6" w:space="0" w:color="000000"/>
              <w:bottom w:val="single" w:sz="6" w:space="0" w:color="000000"/>
              <w:right w:val="single" w:sz="6" w:space="0" w:color="000000"/>
            </w:tcBorders>
            <w:vAlign w:val="center"/>
          </w:tcPr>
          <w:p w14:paraId="48F5CB6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12.6</w:t>
            </w:r>
          </w:p>
        </w:tc>
      </w:tr>
      <w:tr w:rsidR="008B1423" w:rsidRPr="00BE4F57" w14:paraId="27FA53EF" w14:textId="77777777" w:rsidTr="00E47AE7">
        <w:trPr>
          <w:trHeight w:hRule="exact" w:val="275"/>
        </w:trPr>
        <w:tc>
          <w:tcPr>
            <w:tcW w:w="3302" w:type="dxa"/>
            <w:tcBorders>
              <w:top w:val="single" w:sz="6" w:space="0" w:color="000000"/>
              <w:left w:val="single" w:sz="6" w:space="0" w:color="000000"/>
              <w:bottom w:val="single" w:sz="6" w:space="0" w:color="000000"/>
              <w:right w:val="single" w:sz="6" w:space="0" w:color="000000"/>
            </w:tcBorders>
            <w:vAlign w:val="center"/>
          </w:tcPr>
          <w:p w14:paraId="3499A41A"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&gt;20</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≤25</w:t>
            </w:r>
            <w:r w:rsidRPr="00BE4F57">
              <w:rPr>
                <w:rFonts w:ascii="Sylfaen" w:hAnsi="Sylfaen"/>
                <w:spacing w:val="-15"/>
                <w:sz w:val="24"/>
                <w:szCs w:val="24"/>
              </w:rPr>
              <w:t xml:space="preserve"> </w:t>
            </w:r>
            <w:r w:rsidRPr="00BE4F57">
              <w:rPr>
                <w:rFonts w:ascii="Sylfaen" w:hAnsi="Sylfaen"/>
                <w:sz w:val="24"/>
                <w:szCs w:val="24"/>
              </w:rPr>
              <w:t>(44-55</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05393EE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0.8</w:t>
            </w:r>
          </w:p>
        </w:tc>
        <w:tc>
          <w:tcPr>
            <w:tcW w:w="2790" w:type="dxa"/>
            <w:tcBorders>
              <w:top w:val="single" w:sz="6" w:space="0" w:color="000000"/>
              <w:left w:val="single" w:sz="6" w:space="0" w:color="000000"/>
              <w:bottom w:val="single" w:sz="6" w:space="0" w:color="000000"/>
              <w:right w:val="single" w:sz="6" w:space="0" w:color="000000"/>
            </w:tcBorders>
            <w:vAlign w:val="center"/>
          </w:tcPr>
          <w:p w14:paraId="002F0C5F"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9.4</w:t>
            </w:r>
          </w:p>
        </w:tc>
      </w:tr>
      <w:tr w:rsidR="008B1423" w:rsidRPr="00BE4F57" w14:paraId="21C7BB5F" w14:textId="77777777" w:rsidTr="00E47AE7">
        <w:trPr>
          <w:trHeight w:hRule="exact" w:val="294"/>
        </w:trPr>
        <w:tc>
          <w:tcPr>
            <w:tcW w:w="3302" w:type="dxa"/>
            <w:tcBorders>
              <w:top w:val="single" w:sz="6" w:space="0" w:color="000000"/>
              <w:left w:val="single" w:sz="6" w:space="0" w:color="000000"/>
              <w:bottom w:val="single" w:sz="6" w:space="0" w:color="000000"/>
              <w:right w:val="single" w:sz="6" w:space="0" w:color="000000"/>
            </w:tcBorders>
            <w:vAlign w:val="center"/>
          </w:tcPr>
          <w:p w14:paraId="4972ACE0"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&gt;25</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≤30</w:t>
            </w:r>
            <w:r w:rsidRPr="00BE4F57">
              <w:rPr>
                <w:rFonts w:ascii="Sylfaen" w:hAnsi="Sylfaen"/>
                <w:spacing w:val="-15"/>
                <w:sz w:val="24"/>
                <w:szCs w:val="24"/>
              </w:rPr>
              <w:t xml:space="preserve"> </w:t>
            </w:r>
            <w:r w:rsidRPr="00BE4F57">
              <w:rPr>
                <w:rFonts w:ascii="Sylfaen" w:hAnsi="Sylfaen"/>
                <w:sz w:val="24"/>
                <w:szCs w:val="24"/>
              </w:rPr>
              <w:t>(55-66</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4F5EE650"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2790" w:type="dxa"/>
            <w:tcBorders>
              <w:top w:val="single" w:sz="6" w:space="0" w:color="000000"/>
              <w:left w:val="single" w:sz="6" w:space="0" w:color="000000"/>
              <w:bottom w:val="single" w:sz="6" w:space="0" w:color="000000"/>
              <w:right w:val="single" w:sz="6" w:space="0" w:color="000000"/>
            </w:tcBorders>
            <w:vAlign w:val="center"/>
          </w:tcPr>
          <w:p w14:paraId="06B67C35"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2.1</w:t>
            </w:r>
          </w:p>
        </w:tc>
      </w:tr>
      <w:tr w:rsidR="008B1423" w:rsidRPr="00BE4F57" w14:paraId="368E4AEA" w14:textId="77777777" w:rsidTr="00E47AE7">
        <w:trPr>
          <w:trHeight w:hRule="exact" w:val="283"/>
        </w:trPr>
        <w:tc>
          <w:tcPr>
            <w:tcW w:w="3302" w:type="dxa"/>
            <w:tcBorders>
              <w:top w:val="single" w:sz="6" w:space="0" w:color="000000"/>
              <w:left w:val="single" w:sz="6" w:space="0" w:color="000000"/>
              <w:bottom w:val="single" w:sz="6" w:space="0" w:color="000000"/>
              <w:right w:val="single" w:sz="6" w:space="0" w:color="000000"/>
            </w:tcBorders>
            <w:vAlign w:val="center"/>
          </w:tcPr>
          <w:p w14:paraId="066BF53F"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&gt;30</w:t>
            </w:r>
            <w:r w:rsidRPr="00BE4F57">
              <w:rPr>
                <w:rFonts w:ascii="Sylfaen" w:hAnsi="Sylfaen"/>
                <w:spacing w:val="-15"/>
                <w:sz w:val="24"/>
                <w:szCs w:val="24"/>
              </w:rPr>
              <w:t xml:space="preserve"> </w:t>
            </w:r>
            <w:r w:rsidRPr="00BE4F57">
              <w:rPr>
                <w:rFonts w:ascii="Sylfaen" w:hAnsi="Sylfaen"/>
                <w:sz w:val="24"/>
                <w:szCs w:val="24"/>
              </w:rPr>
              <w:t>-≤35</w:t>
            </w:r>
            <w:r w:rsidRPr="00BE4F57">
              <w:rPr>
                <w:rFonts w:ascii="Sylfaen" w:hAnsi="Sylfaen"/>
                <w:spacing w:val="-15"/>
                <w:sz w:val="24"/>
                <w:szCs w:val="24"/>
              </w:rPr>
              <w:t xml:space="preserve"> </w:t>
            </w:r>
            <w:r w:rsidRPr="00BE4F57">
              <w:rPr>
                <w:rFonts w:ascii="Sylfaen" w:hAnsi="Sylfaen"/>
                <w:sz w:val="24"/>
                <w:szCs w:val="24"/>
              </w:rPr>
              <w:t>(66-77</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76AC1B2B"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2790" w:type="dxa"/>
            <w:tcBorders>
              <w:top w:val="single" w:sz="6" w:space="0" w:color="000000"/>
              <w:left w:val="single" w:sz="6" w:space="0" w:color="000000"/>
              <w:bottom w:val="single" w:sz="6" w:space="0" w:color="000000"/>
              <w:right w:val="single" w:sz="6" w:space="0" w:color="000000"/>
            </w:tcBorders>
            <w:vAlign w:val="center"/>
          </w:tcPr>
          <w:p w14:paraId="439B440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508AD80F" w14:textId="77777777" w:rsidTr="00E47AE7">
        <w:trPr>
          <w:trHeight w:hRule="exact" w:val="274"/>
        </w:trPr>
        <w:tc>
          <w:tcPr>
            <w:tcW w:w="3302" w:type="dxa"/>
            <w:tcBorders>
              <w:top w:val="single" w:sz="6" w:space="0" w:color="000000"/>
              <w:left w:val="single" w:sz="6" w:space="0" w:color="000000"/>
              <w:bottom w:val="single" w:sz="6" w:space="0" w:color="000000"/>
              <w:right w:val="single" w:sz="6" w:space="0" w:color="000000"/>
            </w:tcBorders>
            <w:vAlign w:val="center"/>
          </w:tcPr>
          <w:p w14:paraId="0BDCC296"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z w:val="24"/>
                <w:szCs w:val="24"/>
              </w:rPr>
              <w:t>&gt;35</w:t>
            </w:r>
            <w:r w:rsidRPr="00BE4F57">
              <w:rPr>
                <w:rFonts w:ascii="Sylfaen" w:hAnsi="Sylfaen"/>
                <w:spacing w:val="-15"/>
                <w:sz w:val="24"/>
                <w:szCs w:val="24"/>
              </w:rPr>
              <w:t xml:space="preserve"> </w:t>
            </w:r>
            <w:r w:rsidRPr="00BE4F57">
              <w:rPr>
                <w:rFonts w:ascii="Sylfaen" w:hAnsi="Sylfaen"/>
                <w:sz w:val="24"/>
                <w:szCs w:val="24"/>
              </w:rPr>
              <w:t>-</w:t>
            </w:r>
            <w:r w:rsidRPr="00BE4F57">
              <w:rPr>
                <w:rFonts w:ascii="Sylfaen" w:hAnsi="Sylfaen"/>
                <w:spacing w:val="-14"/>
                <w:sz w:val="24"/>
                <w:szCs w:val="24"/>
              </w:rPr>
              <w:t xml:space="preserve"> </w:t>
            </w:r>
            <w:r w:rsidRPr="00BE4F57">
              <w:rPr>
                <w:rFonts w:ascii="Sylfaen" w:hAnsi="Sylfaen"/>
                <w:sz w:val="24"/>
                <w:szCs w:val="24"/>
              </w:rPr>
              <w:t>≤40</w:t>
            </w:r>
            <w:r w:rsidRPr="00BE4F57">
              <w:rPr>
                <w:rFonts w:ascii="Sylfaen" w:hAnsi="Sylfaen"/>
                <w:spacing w:val="-15"/>
                <w:sz w:val="24"/>
                <w:szCs w:val="24"/>
              </w:rPr>
              <w:t xml:space="preserve"> </w:t>
            </w:r>
            <w:r w:rsidRPr="00BE4F57">
              <w:rPr>
                <w:rFonts w:ascii="Sylfaen" w:hAnsi="Sylfaen"/>
                <w:sz w:val="24"/>
                <w:szCs w:val="24"/>
              </w:rPr>
              <w:t>(77-88</w:t>
            </w:r>
            <w:r w:rsidRPr="00BE4F57">
              <w:rPr>
                <w:rFonts w:ascii="Sylfaen" w:hAnsi="Sylfaen"/>
                <w:spacing w:val="-15"/>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2F21A439"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2790" w:type="dxa"/>
            <w:tcBorders>
              <w:top w:val="single" w:sz="6" w:space="0" w:color="000000"/>
              <w:left w:val="single" w:sz="6" w:space="0" w:color="000000"/>
              <w:bottom w:val="single" w:sz="6" w:space="0" w:color="000000"/>
              <w:right w:val="single" w:sz="6" w:space="0" w:color="000000"/>
            </w:tcBorders>
            <w:vAlign w:val="center"/>
          </w:tcPr>
          <w:p w14:paraId="38A5ED3C"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r>
      <w:tr w:rsidR="008B1423" w:rsidRPr="00BE4F57" w14:paraId="7863479C" w14:textId="77777777" w:rsidTr="00E47AE7">
        <w:trPr>
          <w:trHeight w:hRule="exact" w:val="291"/>
        </w:trPr>
        <w:tc>
          <w:tcPr>
            <w:tcW w:w="3302" w:type="dxa"/>
            <w:tcBorders>
              <w:top w:val="single" w:sz="6" w:space="0" w:color="000000"/>
              <w:left w:val="single" w:sz="6" w:space="0" w:color="000000"/>
              <w:bottom w:val="single" w:sz="6" w:space="0" w:color="000000"/>
              <w:right w:val="single" w:sz="6" w:space="0" w:color="000000"/>
            </w:tcBorders>
            <w:vAlign w:val="center"/>
          </w:tcPr>
          <w:p w14:paraId="798F994D" w14:textId="77777777" w:rsidR="008B1423" w:rsidRPr="00BE4F57" w:rsidRDefault="008B1423" w:rsidP="007232FD">
            <w:pPr>
              <w:pStyle w:val="TableParagraph"/>
              <w:autoSpaceDE/>
              <w:autoSpaceDN/>
              <w:ind w:left="80"/>
              <w:rPr>
                <w:rFonts w:ascii="Sylfaen" w:hAnsi="Sylfaen"/>
                <w:sz w:val="24"/>
                <w:szCs w:val="24"/>
                <w:lang w:val="ka-GE"/>
              </w:rPr>
            </w:pPr>
            <w:r w:rsidRPr="00BE4F57">
              <w:rPr>
                <w:rFonts w:ascii="Sylfaen" w:hAnsi="Sylfaen"/>
                <w:spacing w:val="-4"/>
                <w:sz w:val="24"/>
                <w:szCs w:val="24"/>
              </w:rPr>
              <w:lastRenderedPageBreak/>
              <w:t>&gt;40</w:t>
            </w:r>
            <w:r w:rsidRPr="00BE4F57">
              <w:rPr>
                <w:rFonts w:ascii="Sylfaen" w:hAnsi="Sylfaen"/>
                <w:spacing w:val="-10"/>
                <w:sz w:val="24"/>
                <w:szCs w:val="24"/>
              </w:rPr>
              <w:t xml:space="preserve"> </w:t>
            </w:r>
            <w:r w:rsidRPr="00BE4F57">
              <w:rPr>
                <w:rFonts w:ascii="Sylfaen" w:hAnsi="Sylfaen"/>
                <w:spacing w:val="-4"/>
                <w:sz w:val="24"/>
                <w:szCs w:val="24"/>
              </w:rPr>
              <w:t>(&gt;88</w:t>
            </w:r>
            <w:r w:rsidRPr="00BE4F57">
              <w:rPr>
                <w:rFonts w:ascii="Sylfaen" w:hAnsi="Sylfaen"/>
                <w:spacing w:val="-10"/>
                <w:sz w:val="24"/>
                <w:szCs w:val="24"/>
              </w:rPr>
              <w:t xml:space="preserve"> </w:t>
            </w:r>
            <w:r w:rsidRPr="00BE4F57">
              <w:rPr>
                <w:rFonts w:ascii="Sylfaen" w:hAnsi="Sylfaen"/>
                <w:spacing w:val="-15"/>
                <w:sz w:val="24"/>
                <w:szCs w:val="24"/>
                <w:lang w:val="ka-GE"/>
              </w:rPr>
              <w:t>ფუნტი</w:t>
            </w:r>
            <w:r w:rsidRPr="00BE4F57">
              <w:rPr>
                <w:rFonts w:ascii="Sylfaen" w:hAnsi="Sylfaen"/>
                <w:spacing w:val="-5"/>
                <w:sz w:val="24"/>
                <w:szCs w:val="24"/>
              </w:rPr>
              <w:t>)</w:t>
            </w:r>
          </w:p>
        </w:tc>
        <w:tc>
          <w:tcPr>
            <w:tcW w:w="2880" w:type="dxa"/>
            <w:tcBorders>
              <w:top w:val="single" w:sz="6" w:space="0" w:color="000000"/>
              <w:left w:val="single" w:sz="6" w:space="0" w:color="000000"/>
              <w:bottom w:val="single" w:sz="6" w:space="0" w:color="000000"/>
              <w:right w:val="single" w:sz="6" w:space="0" w:color="000000"/>
            </w:tcBorders>
            <w:vAlign w:val="center"/>
          </w:tcPr>
          <w:p w14:paraId="14F927B8"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w:t>
            </w:r>
          </w:p>
        </w:tc>
        <w:tc>
          <w:tcPr>
            <w:tcW w:w="2790" w:type="dxa"/>
            <w:tcBorders>
              <w:top w:val="single" w:sz="6" w:space="0" w:color="000000"/>
              <w:left w:val="single" w:sz="6" w:space="0" w:color="000000"/>
              <w:bottom w:val="single" w:sz="6" w:space="0" w:color="000000"/>
              <w:right w:val="single" w:sz="6" w:space="0" w:color="000000"/>
            </w:tcBorders>
            <w:vAlign w:val="center"/>
          </w:tcPr>
          <w:p w14:paraId="3575845A" w14:textId="77777777" w:rsidR="008B1423" w:rsidRPr="00BE4F57" w:rsidRDefault="008B1423" w:rsidP="00A14CA6">
            <w:pPr>
              <w:pStyle w:val="TableParagraph"/>
              <w:autoSpaceDE/>
              <w:autoSpaceDN/>
              <w:rPr>
                <w:rFonts w:ascii="Sylfaen" w:hAnsi="Sylfaen"/>
                <w:sz w:val="24"/>
                <w:szCs w:val="24"/>
              </w:rPr>
            </w:pPr>
            <w:r w:rsidRPr="00BE4F57">
              <w:rPr>
                <w:rFonts w:ascii="Sylfaen" w:hAnsi="Sylfaen"/>
                <w:sz w:val="24"/>
                <w:szCs w:val="24"/>
              </w:rPr>
              <w:t>0.5</w:t>
            </w:r>
          </w:p>
        </w:tc>
      </w:tr>
    </w:tbl>
    <w:p w14:paraId="13BF207D" w14:textId="77777777" w:rsidR="008B1423" w:rsidRPr="00BE4F57" w:rsidRDefault="008B1423" w:rsidP="00A14CA6">
      <w:pPr>
        <w:spacing w:after="0" w:line="240" w:lineRule="auto"/>
        <w:jc w:val="both"/>
        <w:rPr>
          <w:rFonts w:ascii="Sylfaen" w:hAnsi="Sylfaen"/>
          <w:sz w:val="24"/>
          <w:szCs w:val="24"/>
          <w:lang w:val="ka-GE"/>
        </w:rPr>
      </w:pPr>
    </w:p>
    <w:p w14:paraId="264E15C8" w14:textId="77777777" w:rsidR="008B1423" w:rsidRPr="00BE4F57" w:rsidRDefault="008B1423" w:rsidP="00A14CA6">
      <w:pPr>
        <w:spacing w:after="0" w:line="240" w:lineRule="auto"/>
        <w:jc w:val="both"/>
        <w:rPr>
          <w:rFonts w:ascii="Sylfaen" w:hAnsi="Sylfaen"/>
          <w:b/>
          <w:sz w:val="24"/>
          <w:szCs w:val="24"/>
        </w:rPr>
      </w:pPr>
      <w:r w:rsidRPr="00BE4F57">
        <w:rPr>
          <w:rFonts w:ascii="Sylfaen" w:hAnsi="Sylfaen"/>
          <w:b/>
          <w:sz w:val="24"/>
          <w:szCs w:val="24"/>
        </w:rPr>
        <w:t>სეროტონინის სინდრომი</w:t>
      </w:r>
    </w:p>
    <w:p w14:paraId="1CA6603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rPr>
        <w:t xml:space="preserve">სეროტონინის </w:t>
      </w:r>
      <w:r w:rsidRPr="00BE4F57">
        <w:rPr>
          <w:rFonts w:ascii="Sylfaen" w:hAnsi="Sylfaen"/>
          <w:sz w:val="24"/>
          <w:szCs w:val="24"/>
          <w:lang w:val="ka-GE"/>
        </w:rPr>
        <w:t>სელექტიური</w:t>
      </w:r>
      <w:r w:rsidRPr="00BE4F57">
        <w:rPr>
          <w:rFonts w:ascii="Sylfaen" w:hAnsi="Sylfaen"/>
          <w:sz w:val="24"/>
          <w:szCs w:val="24"/>
        </w:rPr>
        <w:t xml:space="preserve"> უკუმიტაცების ინჰიბიტორებმა (SSRIs), მათ შორის ოლანზაპინისა და ფლუოქსეტინის კომბინაციამ, შეიძლება გამოიწვიოს სეროტონინის სინდრომი, რომელიც პოტენციურად სიცოცხლისთვის საშიში მდგომარეობაა. რისკი იზრდება სხვა სეროტონერგული პრეპარატების (მათ შორის ტრიპტანების, ტრიციკლური ანტიდეპრესანტების, ფენტანილის, ლითიუმის, ტრამადოლის, მეპერიდინის, მეტადონის, ტრიპტოფანის, ბუსპირონის, ამფეტამინების და კრაზანას) და </w:t>
      </w:r>
      <w:r w:rsidRPr="00BE4F57">
        <w:rPr>
          <w:rFonts w:ascii="Sylfaen" w:hAnsi="Sylfaen"/>
          <w:sz w:val="24"/>
          <w:szCs w:val="24"/>
          <w:lang w:val="ka-GE"/>
        </w:rPr>
        <w:t xml:space="preserve">სეროტონინის </w:t>
      </w:r>
      <w:r w:rsidRPr="00BE4F57">
        <w:rPr>
          <w:rFonts w:ascii="Sylfaen" w:hAnsi="Sylfaen"/>
          <w:sz w:val="24"/>
          <w:szCs w:val="24"/>
        </w:rPr>
        <w:t>მეტაბოლიზმის შემაფერხებელი პრეპარატები</w:t>
      </w:r>
      <w:r w:rsidRPr="00BE4F57">
        <w:rPr>
          <w:rFonts w:ascii="Sylfaen" w:hAnsi="Sylfaen"/>
          <w:sz w:val="24"/>
          <w:szCs w:val="24"/>
          <w:lang w:val="ka-GE"/>
        </w:rPr>
        <w:t xml:space="preserve">, როგორიცაა </w:t>
      </w:r>
      <w:r w:rsidRPr="00BE4F57">
        <w:rPr>
          <w:rFonts w:ascii="Sylfaen" w:hAnsi="Sylfaen"/>
          <w:sz w:val="24"/>
          <w:szCs w:val="24"/>
        </w:rPr>
        <w:t>MAOI</w:t>
      </w:r>
      <w:r w:rsidRPr="00BE4F57">
        <w:rPr>
          <w:rFonts w:ascii="Sylfaen" w:hAnsi="Sylfaen"/>
          <w:sz w:val="24"/>
          <w:szCs w:val="24"/>
          <w:lang w:val="ka-GE"/>
        </w:rPr>
        <w:t>–ები</w:t>
      </w:r>
      <w:r w:rsidRPr="00BE4F57">
        <w:rPr>
          <w:rFonts w:ascii="Sylfaen" w:hAnsi="Sylfaen"/>
          <w:sz w:val="24"/>
          <w:szCs w:val="24"/>
        </w:rPr>
        <w:t xml:space="preserve"> (იხ.</w:t>
      </w:r>
      <w:r w:rsidRPr="00BE4F57">
        <w:rPr>
          <w:rFonts w:ascii="Sylfaen" w:hAnsi="Sylfaen"/>
          <w:sz w:val="24"/>
          <w:szCs w:val="24"/>
          <w:lang w:val="ka-GE"/>
        </w:rPr>
        <w:t xml:space="preserve"> ნაწილი</w:t>
      </w:r>
      <w:r w:rsidRPr="00BE4F57">
        <w:rPr>
          <w:rFonts w:ascii="Sylfaen" w:hAnsi="Sylfaen"/>
          <w:sz w:val="24"/>
          <w:szCs w:val="24"/>
        </w:rPr>
        <w:t xml:space="preserve"> 4.3. უკუჩვენებები და 4.5. ურთიერთქმედება</w:t>
      </w:r>
      <w:r w:rsidRPr="00BE4F57">
        <w:rPr>
          <w:rFonts w:ascii="Sylfaen" w:hAnsi="Sylfaen"/>
          <w:sz w:val="24"/>
          <w:szCs w:val="24"/>
          <w:lang w:val="ka-GE"/>
        </w:rPr>
        <w:t xml:space="preserve"> </w:t>
      </w:r>
      <w:r w:rsidRPr="00BE4F57">
        <w:rPr>
          <w:rFonts w:ascii="Sylfaen" w:hAnsi="Sylfaen"/>
          <w:sz w:val="24"/>
          <w:szCs w:val="24"/>
        </w:rPr>
        <w:t xml:space="preserve">სხვა სამკურნალო </w:t>
      </w:r>
      <w:r w:rsidRPr="00BE4F57">
        <w:rPr>
          <w:rFonts w:ascii="Sylfaen" w:hAnsi="Sylfaen"/>
          <w:sz w:val="24"/>
          <w:szCs w:val="24"/>
          <w:lang w:val="ka-GE"/>
        </w:rPr>
        <w:t>პრეპარატებთან</w:t>
      </w:r>
      <w:r w:rsidRPr="00BE4F57">
        <w:rPr>
          <w:rFonts w:ascii="Sylfaen" w:hAnsi="Sylfaen"/>
          <w:sz w:val="24"/>
          <w:szCs w:val="24"/>
        </w:rPr>
        <w:t xml:space="preserve"> და ურთიერთქმედების სხვა ფორმები). სეროტონინის სინდრომი ასევე შეიძლება განვითარდეს ამ პრეპარატების დამოუკიდებლად გამოყენებისას. სეროტონინის სინდრომის სიმპტომებია ფსიქიკური მდგომარეობის ცვლილება (მაგ., აგზნება, ჰალუცინაციები, კომა), ვეგეტატიური არასტაბილურობა (მაგ., ტაქიკარდია, ლაბილური არტერიული წნევა, თავბრუსხვევა, ოფლიანობა, </w:t>
      </w:r>
      <w:r w:rsidRPr="00BE4F57">
        <w:rPr>
          <w:rFonts w:ascii="Sylfaen" w:hAnsi="Sylfaen"/>
          <w:sz w:val="24"/>
          <w:szCs w:val="24"/>
          <w:lang w:val="ka-GE"/>
        </w:rPr>
        <w:t>წამოხურება</w:t>
      </w:r>
      <w:r w:rsidRPr="00BE4F57">
        <w:rPr>
          <w:rFonts w:ascii="Sylfaen" w:hAnsi="Sylfaen"/>
          <w:sz w:val="24"/>
          <w:szCs w:val="24"/>
        </w:rPr>
        <w:t>, ჰიპერთერმია), ნერვ-კუნთოვანი დარღვევები (მაგ., ტრემორი, რიგიდ</w:t>
      </w:r>
      <w:r w:rsidRPr="00BE4F57">
        <w:rPr>
          <w:rFonts w:ascii="Sylfaen" w:hAnsi="Sylfaen"/>
          <w:sz w:val="24"/>
          <w:szCs w:val="24"/>
          <w:lang w:val="ka-GE"/>
        </w:rPr>
        <w:t>ულობა</w:t>
      </w:r>
      <w:r w:rsidRPr="00BE4F57">
        <w:rPr>
          <w:rFonts w:ascii="Sylfaen" w:hAnsi="Sylfaen"/>
          <w:sz w:val="24"/>
          <w:szCs w:val="24"/>
        </w:rPr>
        <w:t xml:space="preserve">, </w:t>
      </w:r>
      <w:r w:rsidRPr="00BE4F57">
        <w:rPr>
          <w:rFonts w:ascii="Sylfaen" w:hAnsi="Sylfaen"/>
          <w:sz w:val="24"/>
          <w:szCs w:val="24"/>
          <w:lang w:val="ka-GE"/>
        </w:rPr>
        <w:t>შებოჭილობა</w:t>
      </w:r>
      <w:r w:rsidRPr="00BE4F57">
        <w:rPr>
          <w:rFonts w:ascii="Sylfaen" w:hAnsi="Sylfaen"/>
          <w:sz w:val="24"/>
          <w:szCs w:val="24"/>
        </w:rPr>
        <w:t xml:space="preserve">, </w:t>
      </w:r>
      <w:r w:rsidRPr="00BE4F57">
        <w:rPr>
          <w:rFonts w:ascii="Sylfaen" w:hAnsi="Sylfaen"/>
          <w:sz w:val="24"/>
          <w:szCs w:val="24"/>
          <w:lang w:val="ka-GE"/>
        </w:rPr>
        <w:t xml:space="preserve">მიოკლონუსი, ჰიპერრეფლექსია, კოორდინაციის დარღვევა) </w:t>
      </w:r>
      <w:r w:rsidRPr="00BE4F57">
        <w:rPr>
          <w:rFonts w:ascii="Sylfaen" w:hAnsi="Sylfaen"/>
          <w:sz w:val="24"/>
          <w:szCs w:val="24"/>
        </w:rPr>
        <w:t>კრუნჩხვები და/ან კუჭ-ნაწლავის სიმპტომები (მაგ., გულისრევა, ღებინება, დიარეა)</w:t>
      </w:r>
      <w:r w:rsidRPr="00BE4F57">
        <w:rPr>
          <w:rFonts w:ascii="Sylfaen" w:hAnsi="Sylfaen"/>
          <w:sz w:val="24"/>
          <w:szCs w:val="24"/>
          <w:lang w:val="ka-GE"/>
        </w:rPr>
        <w:t>.</w:t>
      </w:r>
    </w:p>
    <w:p w14:paraId="35C6E20C" w14:textId="77777777" w:rsidR="008B1423" w:rsidRPr="00BE4F57" w:rsidRDefault="008B1423" w:rsidP="00A14CA6">
      <w:pPr>
        <w:spacing w:after="0" w:line="240" w:lineRule="auto"/>
        <w:jc w:val="both"/>
        <w:rPr>
          <w:rFonts w:ascii="Sylfaen" w:hAnsi="Sylfaen"/>
          <w:sz w:val="24"/>
          <w:szCs w:val="24"/>
        </w:rPr>
      </w:pPr>
    </w:p>
    <w:p w14:paraId="29DAB0B1"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რექსეპი კომბის დეპრესიის სამკურნალოდ განკუთვნილი MAOI</w:t>
      </w:r>
      <w:r w:rsidRPr="00BE4F57">
        <w:rPr>
          <w:rFonts w:ascii="Sylfaen" w:hAnsi="Sylfaen"/>
          <w:sz w:val="24"/>
          <w:szCs w:val="24"/>
          <w:lang w:val="ka-GE"/>
        </w:rPr>
        <w:t>–</w:t>
      </w:r>
      <w:r w:rsidRPr="00BE4F57">
        <w:rPr>
          <w:rFonts w:ascii="Sylfaen" w:hAnsi="Sylfaen"/>
          <w:sz w:val="24"/>
          <w:szCs w:val="24"/>
        </w:rPr>
        <w:t>ებ</w:t>
      </w:r>
      <w:r w:rsidRPr="00BE4F57">
        <w:rPr>
          <w:rFonts w:ascii="Sylfaen" w:hAnsi="Sylfaen"/>
          <w:sz w:val="24"/>
          <w:szCs w:val="24"/>
          <w:lang w:val="ka-GE"/>
        </w:rPr>
        <w:t>თან</w:t>
      </w:r>
      <w:r w:rsidRPr="00BE4F57">
        <w:rPr>
          <w:rFonts w:ascii="Sylfaen" w:hAnsi="Sylfaen"/>
          <w:sz w:val="24"/>
          <w:szCs w:val="24"/>
        </w:rPr>
        <w:t xml:space="preserve"> ერთდროული გამოყენება უკუნაჩვენებია.</w:t>
      </w:r>
    </w:p>
    <w:p w14:paraId="45B930F8" w14:textId="77777777" w:rsidR="008B1423" w:rsidRPr="00BE4F57" w:rsidRDefault="008B1423" w:rsidP="00A14CA6">
      <w:pPr>
        <w:spacing w:after="0" w:line="240" w:lineRule="auto"/>
        <w:jc w:val="both"/>
        <w:rPr>
          <w:rFonts w:ascii="Sylfaen" w:hAnsi="Sylfaen"/>
          <w:sz w:val="24"/>
          <w:szCs w:val="24"/>
        </w:rPr>
      </w:pPr>
    </w:p>
    <w:p w14:paraId="6C987C8C"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გარდა ამისა, რექსეპი კომბის მიღება არ უნდა დაიწყოს პაციენტში, რომელიც მკურნალობს MAOI</w:t>
      </w:r>
      <w:r w:rsidRPr="00BE4F57">
        <w:rPr>
          <w:rFonts w:ascii="Sylfaen" w:hAnsi="Sylfaen"/>
          <w:sz w:val="24"/>
          <w:szCs w:val="24"/>
          <w:lang w:val="ka-GE"/>
        </w:rPr>
        <w:t>–</w:t>
      </w:r>
      <w:r w:rsidRPr="00BE4F57">
        <w:rPr>
          <w:rFonts w:ascii="Sylfaen" w:hAnsi="Sylfaen"/>
          <w:sz w:val="24"/>
          <w:szCs w:val="24"/>
        </w:rPr>
        <w:t>ებით, როგორიცაა ლინეზოლიდი ან ინტრავენური მეთილენის ლურჯი. არ არსებობს ცნობები მეთილენის ლურჯის სხვა გზებით მიღების შესახებ (მაგალითად, პერორალური კაფსულები ან ადგილობრივი ქსოვილ</w:t>
      </w:r>
      <w:r w:rsidRPr="00BE4F57">
        <w:rPr>
          <w:rFonts w:ascii="Sylfaen" w:hAnsi="Sylfaen"/>
          <w:sz w:val="24"/>
          <w:szCs w:val="24"/>
          <w:lang w:val="ka-GE"/>
        </w:rPr>
        <w:t>ში</w:t>
      </w:r>
      <w:r w:rsidRPr="00BE4F57">
        <w:rPr>
          <w:rFonts w:ascii="Sylfaen" w:hAnsi="Sylfaen"/>
          <w:sz w:val="24"/>
          <w:szCs w:val="24"/>
        </w:rPr>
        <w:t xml:space="preserve"> ინექცია). თუ რექსეპი კომბის მიმღებ</w:t>
      </w:r>
      <w:r w:rsidRPr="00BE4F57">
        <w:rPr>
          <w:rFonts w:ascii="Sylfaen" w:hAnsi="Sylfaen"/>
          <w:sz w:val="24"/>
          <w:szCs w:val="24"/>
          <w:lang w:val="ka-GE"/>
        </w:rPr>
        <w:t>მა</w:t>
      </w:r>
      <w:r w:rsidRPr="00BE4F57">
        <w:rPr>
          <w:rFonts w:ascii="Sylfaen" w:hAnsi="Sylfaen"/>
          <w:sz w:val="24"/>
          <w:szCs w:val="24"/>
        </w:rPr>
        <w:t xml:space="preserve"> პაციენტ</w:t>
      </w:r>
      <w:r w:rsidRPr="00BE4F57">
        <w:rPr>
          <w:rFonts w:ascii="Sylfaen" w:hAnsi="Sylfaen"/>
          <w:sz w:val="24"/>
          <w:szCs w:val="24"/>
          <w:lang w:val="ka-GE"/>
        </w:rPr>
        <w:t>მა</w:t>
      </w:r>
      <w:r w:rsidRPr="00BE4F57">
        <w:rPr>
          <w:rFonts w:ascii="Sylfaen" w:hAnsi="Sylfaen"/>
          <w:sz w:val="24"/>
          <w:szCs w:val="24"/>
        </w:rPr>
        <w:t xml:space="preserve"> უნდა და</w:t>
      </w:r>
      <w:r w:rsidRPr="00BE4F57">
        <w:rPr>
          <w:rFonts w:ascii="Sylfaen" w:hAnsi="Sylfaen"/>
          <w:sz w:val="24"/>
          <w:szCs w:val="24"/>
          <w:lang w:val="ka-GE"/>
        </w:rPr>
        <w:t>ი</w:t>
      </w:r>
      <w:r w:rsidRPr="00BE4F57">
        <w:rPr>
          <w:rFonts w:ascii="Sylfaen" w:hAnsi="Sylfaen"/>
          <w:sz w:val="24"/>
          <w:szCs w:val="24"/>
        </w:rPr>
        <w:t>წყოს MAOI</w:t>
      </w:r>
      <w:r w:rsidRPr="00BE4F57">
        <w:rPr>
          <w:rFonts w:ascii="Sylfaen" w:hAnsi="Sylfaen"/>
          <w:sz w:val="24"/>
          <w:szCs w:val="24"/>
          <w:lang w:val="ka-GE"/>
        </w:rPr>
        <w:t>–</w:t>
      </w:r>
      <w:r w:rsidRPr="00BE4F57">
        <w:rPr>
          <w:rFonts w:ascii="Sylfaen" w:hAnsi="Sylfaen"/>
          <w:sz w:val="24"/>
          <w:szCs w:val="24"/>
        </w:rPr>
        <w:t>ით</w:t>
      </w:r>
      <w:r w:rsidRPr="00BE4F57">
        <w:rPr>
          <w:rFonts w:ascii="Sylfaen" w:hAnsi="Sylfaen"/>
          <w:sz w:val="24"/>
          <w:szCs w:val="24"/>
          <w:lang w:val="ka-GE"/>
        </w:rPr>
        <w:t xml:space="preserve"> მკურნალობა</w:t>
      </w:r>
      <w:r w:rsidRPr="00BE4F57">
        <w:rPr>
          <w:rFonts w:ascii="Sylfaen" w:hAnsi="Sylfaen"/>
          <w:sz w:val="24"/>
          <w:szCs w:val="24"/>
        </w:rPr>
        <w:t>, როგორიცაა ლინეზოლიდი ან ინტრავენური მეთილენის ლურჯი, MAOI</w:t>
      </w:r>
      <w:r w:rsidRPr="00BE4F57">
        <w:rPr>
          <w:rFonts w:ascii="Sylfaen" w:hAnsi="Sylfaen"/>
          <w:sz w:val="24"/>
          <w:szCs w:val="24"/>
          <w:lang w:val="ka-GE"/>
        </w:rPr>
        <w:t>–</w:t>
      </w:r>
      <w:r w:rsidRPr="00BE4F57">
        <w:rPr>
          <w:rFonts w:ascii="Sylfaen" w:hAnsi="Sylfaen"/>
          <w:sz w:val="24"/>
          <w:szCs w:val="24"/>
        </w:rPr>
        <w:t xml:space="preserve">ით მკურნალობის დაწყებამდე შეწყვიტეთ ოლანზაპინისა და ფლუოქსეტინის კომბინაციის მიღება (იხილეთ </w:t>
      </w:r>
      <w:r w:rsidRPr="00BE4F57">
        <w:rPr>
          <w:rFonts w:ascii="Sylfaen" w:hAnsi="Sylfaen"/>
          <w:sz w:val="24"/>
          <w:szCs w:val="24"/>
          <w:lang w:val="ka-GE"/>
        </w:rPr>
        <w:t>ნაწილები</w:t>
      </w:r>
      <w:r w:rsidRPr="00BE4F57">
        <w:rPr>
          <w:rFonts w:ascii="Sylfaen" w:hAnsi="Sylfaen"/>
          <w:sz w:val="24"/>
          <w:szCs w:val="24"/>
        </w:rPr>
        <w:t xml:space="preserve"> 4.3. უკუჩვენებები და 4.5. ურთიერთქმედება სხვა სამკურნალო </w:t>
      </w:r>
      <w:r w:rsidRPr="00BE4F57">
        <w:rPr>
          <w:rFonts w:ascii="Sylfaen" w:hAnsi="Sylfaen"/>
          <w:sz w:val="24"/>
          <w:szCs w:val="24"/>
          <w:lang w:val="ka-GE"/>
        </w:rPr>
        <w:t>პრეპარატებთან და ურთიერთქმედების სხვა ფორმები</w:t>
      </w:r>
      <w:r w:rsidRPr="00BE4F57">
        <w:rPr>
          <w:rFonts w:ascii="Sylfaen" w:hAnsi="Sylfaen"/>
          <w:sz w:val="24"/>
          <w:szCs w:val="24"/>
        </w:rPr>
        <w:t>).</w:t>
      </w:r>
    </w:p>
    <w:p w14:paraId="30EEFAA0" w14:textId="77777777" w:rsidR="008B1423" w:rsidRPr="00BE4F57" w:rsidRDefault="008B1423" w:rsidP="00A14CA6">
      <w:pPr>
        <w:spacing w:after="0" w:line="240" w:lineRule="auto"/>
        <w:jc w:val="both"/>
        <w:rPr>
          <w:rFonts w:ascii="Sylfaen" w:hAnsi="Sylfaen"/>
          <w:sz w:val="24"/>
          <w:szCs w:val="24"/>
        </w:rPr>
      </w:pPr>
    </w:p>
    <w:p w14:paraId="5B11980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rPr>
        <w:t>რექსეპი კომბის მიმღებ ყველა პაციენტ</w:t>
      </w:r>
      <w:r w:rsidRPr="00BE4F57">
        <w:rPr>
          <w:rFonts w:ascii="Sylfaen" w:hAnsi="Sylfaen"/>
          <w:sz w:val="24"/>
          <w:szCs w:val="24"/>
          <w:lang w:val="ka-GE"/>
        </w:rPr>
        <w:t>თან</w:t>
      </w:r>
      <w:r w:rsidRPr="00BE4F57">
        <w:rPr>
          <w:rFonts w:ascii="Sylfaen" w:hAnsi="Sylfaen"/>
          <w:sz w:val="24"/>
          <w:szCs w:val="24"/>
        </w:rPr>
        <w:t xml:space="preserve"> უნდა </w:t>
      </w:r>
      <w:r w:rsidRPr="00BE4F57">
        <w:rPr>
          <w:rFonts w:ascii="Sylfaen" w:hAnsi="Sylfaen"/>
          <w:sz w:val="24"/>
          <w:szCs w:val="24"/>
          <w:lang w:val="ka-GE"/>
        </w:rPr>
        <w:t>ხორციელდებოდეს</w:t>
      </w:r>
      <w:r w:rsidRPr="00BE4F57">
        <w:rPr>
          <w:rFonts w:ascii="Sylfaen" w:hAnsi="Sylfaen"/>
          <w:sz w:val="24"/>
          <w:szCs w:val="24"/>
        </w:rPr>
        <w:t xml:space="preserve"> </w:t>
      </w:r>
      <w:r w:rsidRPr="00BE4F57">
        <w:rPr>
          <w:rFonts w:ascii="Sylfaen" w:hAnsi="Sylfaen"/>
          <w:sz w:val="24"/>
          <w:szCs w:val="24"/>
          <w:lang w:val="ka-GE"/>
        </w:rPr>
        <w:t xml:space="preserve">მონიტორინგი </w:t>
      </w:r>
      <w:r w:rsidRPr="00BE4F57">
        <w:rPr>
          <w:rFonts w:ascii="Sylfaen" w:hAnsi="Sylfaen"/>
          <w:sz w:val="24"/>
          <w:szCs w:val="24"/>
        </w:rPr>
        <w:t>სეროტონინის სინდრომის განვითარებ</w:t>
      </w:r>
      <w:r w:rsidRPr="00BE4F57">
        <w:rPr>
          <w:rFonts w:ascii="Sylfaen" w:hAnsi="Sylfaen"/>
          <w:sz w:val="24"/>
          <w:szCs w:val="24"/>
          <w:lang w:val="ka-GE"/>
        </w:rPr>
        <w:t>ის გამო</w:t>
      </w:r>
      <w:r w:rsidRPr="00BE4F57">
        <w:rPr>
          <w:rFonts w:ascii="Sylfaen" w:hAnsi="Sylfaen"/>
          <w:sz w:val="24"/>
          <w:szCs w:val="24"/>
        </w:rPr>
        <w:t>. თუ გამოვლინდა</w:t>
      </w:r>
      <w:r w:rsidRPr="00BE4F57">
        <w:rPr>
          <w:rFonts w:ascii="Sylfaen" w:hAnsi="Sylfaen"/>
          <w:sz w:val="24"/>
          <w:szCs w:val="24"/>
          <w:lang w:val="ka-GE"/>
        </w:rPr>
        <w:t xml:space="preserve"> </w:t>
      </w:r>
      <w:r w:rsidRPr="00BE4F57">
        <w:rPr>
          <w:rFonts w:ascii="Sylfaen" w:hAnsi="Sylfaen"/>
          <w:sz w:val="24"/>
          <w:szCs w:val="24"/>
        </w:rPr>
        <w:t>ზემოთ ჩამოთვლილი სიმპტომები, დაუყოვნებლივ შეწყვიტეთ რექსეპი კომბი</w:t>
      </w:r>
      <w:r w:rsidRPr="00BE4F57">
        <w:rPr>
          <w:rFonts w:ascii="Sylfaen" w:hAnsi="Sylfaen"/>
          <w:sz w:val="24"/>
          <w:szCs w:val="24"/>
          <w:lang w:val="ka-GE"/>
        </w:rPr>
        <w:t>თ</w:t>
      </w:r>
      <w:r w:rsidRPr="00BE4F57">
        <w:rPr>
          <w:rFonts w:ascii="Sylfaen" w:hAnsi="Sylfaen"/>
          <w:sz w:val="24"/>
          <w:szCs w:val="24"/>
        </w:rPr>
        <w:t xml:space="preserve"> და </w:t>
      </w:r>
      <w:r w:rsidRPr="00BE4F57">
        <w:rPr>
          <w:rFonts w:ascii="Sylfaen" w:hAnsi="Sylfaen"/>
          <w:sz w:val="24"/>
          <w:szCs w:val="24"/>
          <w:lang w:val="ka-GE"/>
        </w:rPr>
        <w:t>თანმხლები</w:t>
      </w:r>
      <w:r w:rsidRPr="00BE4F57">
        <w:rPr>
          <w:rFonts w:ascii="Sylfaen" w:hAnsi="Sylfaen"/>
          <w:sz w:val="24"/>
          <w:szCs w:val="24"/>
        </w:rPr>
        <w:t xml:space="preserve"> სეროტონინერგული საშუალებები</w:t>
      </w:r>
      <w:r w:rsidRPr="00BE4F57">
        <w:rPr>
          <w:rFonts w:ascii="Sylfaen" w:hAnsi="Sylfaen"/>
          <w:sz w:val="24"/>
          <w:szCs w:val="24"/>
          <w:lang w:val="ka-GE"/>
        </w:rPr>
        <w:t>თ</w:t>
      </w:r>
      <w:r w:rsidRPr="00BE4F57">
        <w:rPr>
          <w:rFonts w:ascii="Sylfaen" w:hAnsi="Sylfaen"/>
          <w:sz w:val="24"/>
          <w:szCs w:val="24"/>
        </w:rPr>
        <w:t xml:space="preserve"> მკურნალობა და დაიწყეთ </w:t>
      </w:r>
      <w:r w:rsidRPr="00BE4F57">
        <w:rPr>
          <w:rFonts w:ascii="Sylfaen" w:hAnsi="Sylfaen"/>
          <w:sz w:val="24"/>
          <w:szCs w:val="24"/>
          <w:lang w:val="ka-GE"/>
        </w:rPr>
        <w:t xml:space="preserve">შემანარჩუნებელი </w:t>
      </w:r>
      <w:r w:rsidRPr="00BE4F57">
        <w:rPr>
          <w:rFonts w:ascii="Sylfaen" w:hAnsi="Sylfaen"/>
          <w:sz w:val="24"/>
          <w:szCs w:val="24"/>
        </w:rPr>
        <w:t xml:space="preserve">სიმპტომური მკურნალობა. თუ რექსეპი კომბის სხვა სეროტონინერგულ პრეპარატებთან ერთად გამოყენება კლინიკურად აუცილებელია, პაციენტები უნდა იყვნენ ინფორმირებულნი სეროტონინის სინდრომის მომატებული რისკის შესახებ და სიმპტომები უნდა იყოს </w:t>
      </w:r>
      <w:r w:rsidRPr="00BE4F57">
        <w:rPr>
          <w:rFonts w:ascii="Sylfaen" w:hAnsi="Sylfaen"/>
          <w:sz w:val="24"/>
          <w:szCs w:val="24"/>
          <w:lang w:val="ka-GE"/>
        </w:rPr>
        <w:t>გაკონტროლებული</w:t>
      </w:r>
      <w:r w:rsidRPr="00BE4F57">
        <w:rPr>
          <w:rFonts w:ascii="Sylfaen" w:hAnsi="Sylfaen"/>
          <w:sz w:val="24"/>
          <w:szCs w:val="24"/>
        </w:rPr>
        <w:t>.</w:t>
      </w:r>
    </w:p>
    <w:p w14:paraId="4D021E75" w14:textId="77777777" w:rsidR="008B1423" w:rsidRPr="00BE4F57" w:rsidRDefault="008B1423" w:rsidP="00A14CA6">
      <w:pPr>
        <w:spacing w:after="0" w:line="240" w:lineRule="auto"/>
        <w:jc w:val="both"/>
        <w:rPr>
          <w:rFonts w:ascii="Sylfaen" w:hAnsi="Sylfaen"/>
          <w:sz w:val="24"/>
          <w:szCs w:val="24"/>
          <w:lang w:val="ka-GE"/>
        </w:rPr>
      </w:pPr>
    </w:p>
    <w:p w14:paraId="6557472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დახურულკუთხოვანი გლაუკომა</w:t>
      </w:r>
    </w:p>
    <w:p w14:paraId="60512BB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ბევრი ანტიდეპრესანტული მედიკამენტის, მათ შორის რექსეპი კომბის, გამოყენების შემდეგ გუგის გაფართოებამ შეიძლება გამოიწვიოს კუთხის დახურვის შეტევა პაციენტში, რომელსაც ანატომიურად ვიწრო კუთხე აქვს ღია ირიდექტომიის გარეშე.</w:t>
      </w:r>
    </w:p>
    <w:p w14:paraId="2506B3B8" w14:textId="77777777" w:rsidR="008B1423" w:rsidRPr="00BE4F57" w:rsidRDefault="008B1423" w:rsidP="00A14CA6">
      <w:pPr>
        <w:spacing w:after="0" w:line="240" w:lineRule="auto"/>
        <w:jc w:val="both"/>
        <w:rPr>
          <w:rFonts w:ascii="Sylfaen" w:hAnsi="Sylfaen"/>
          <w:sz w:val="24"/>
          <w:szCs w:val="24"/>
          <w:lang w:val="ka-GE"/>
        </w:rPr>
      </w:pPr>
    </w:p>
    <w:p w14:paraId="0D29621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ალერგიული რეაქციები და გამონაყარი</w:t>
      </w:r>
    </w:p>
    <w:p w14:paraId="07A450A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რექსეპი კომბის პრემარკეტინგულ კონტროლირებად კლინიკურ კვლევებში, რექსეპი კომბით ნამკურნალებ პაციენტებში გამონაყარის ან ალერგიული რეაქციების საერთო სიხშირე [4.6% (26/571)] მსგავსი იყო ასეთის პლაცებოს შემთხვევაში [5.2% (25/477)]. გამონაყარის და/ან ჭინჭრის </w:t>
      </w:r>
      <w:r w:rsidRPr="00BE4F57">
        <w:rPr>
          <w:rFonts w:ascii="Sylfaen" w:hAnsi="Sylfaen"/>
          <w:sz w:val="24"/>
          <w:szCs w:val="24"/>
          <w:lang w:val="ka-GE"/>
        </w:rPr>
        <w:lastRenderedPageBreak/>
        <w:t>ციების შემთხვევების უმეტესობა მსუბუქი იყო; თუმცა, 3 პაციენტმა შეწყვიტა მკურნალობა (1 გამონაყარის გამო, რომელიც საშუალო სიმძიმის იყო, და 2 ალერგიული რეაქციების გამო, რომელთაგან 1 მოიცავდა სახის შეშუპებას).</w:t>
      </w:r>
    </w:p>
    <w:p w14:paraId="45B65FF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აშშ-ში ჩატარებულ ფლუოქსეტინის კლინიკურ კვლევებში, ფლუოქსეტინით ნამკურნალები 10,782 პაციენტიდან 7%-ს განუვითარდა სხვადასხვა ტიპის გამონაყარი და/ან ჭინჭრის ციება. პრემარკეტინგულ კლინიკურ კვლევებში დაფიქსირებულ გამონაყარის და/ან ჭინჭრის ციების შემთხვევებს შორის, თითქმის მესამედს მკურნალობა შეუწყდა გამონაყარის და/ან გამონაყართან დაკავშირებული სისტემური ნიშნების ან სიმპტომების გამო.</w:t>
      </w:r>
    </w:p>
    <w:p w14:paraId="008C965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გამონაყართან დაკავშირებული კლინიკური ნიშნებია ცხელება, ლეიკოციტოზი, ართრალგიები, შეშუპება, მაჯის გვირაბის სინდრომი, სუნთქვის უკმარისობა, ლიმფადენოპათია, პროტეინურია და ტრანსამინაზების მსუბუქი მომატება. პაციენტთა უმეტესობა სწრაფად გამოჯანმრთელდა ფლუოქსეტინის შეწყვეტის და/ან ანტიჰისტამინური ან სტეროიდური პრეპარატებით დამატებითი მკურნალობის შემდეგ და ყველა პაციენტი, რომელსაც აღენიშნებოდა ეს რეაქციები, სრულად გამოჯანმრთელდა.</w:t>
      </w:r>
    </w:p>
    <w:p w14:paraId="2C7175D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ფლუოქსეტინის პრემარკეტინგულ კლინიკურ კვლევებში, 2 პაციენტს განუვითარდა კანის სერიოზული სისტემური დაავადება. არცერთ პაციენტს არ დაუსვეს ცალსახა დიაგნოზი, თუმცა ერთს ლეიკოციტოკლასტური ვასკულიტი ჰქონდა, ხოლო მეორეს - მძიმე დესკვამაციური სინდრომი, რომელიც სხვადასხვაგვარად განიხილებოდა, როგორც ვასკულიტი ან მულტიფორმული ერითემა. სხვა პაციენტებს აღენიშნებოდათ სისტემური სინდრომები, რომლებიც შრატისმიერ დაავადებაზე მიუთითებდა.</w:t>
      </w:r>
    </w:p>
    <w:p w14:paraId="17C3270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ფლუოქსეტინის გამოყენების შემდეგ, გამონაყარის მქონე პაციენტებში განვითარდა სისტემური რეაქციები, რომლებიც შესაძლოა ვასკულიტთან იყოს დაკავშირებული. მიუხედავად იმისა, რომ ეს რეაქციები იშვიათია, ისინი შეიძლება იყოს სერიოზული და აზიანებდეს ფილტვებს, თირკმლებს ან ღვიძლს. ამ სისტემურ რეაქციებთან დაკავშირებით მოხსენებულია სიკვდილის შემთხვევები.</w:t>
      </w:r>
    </w:p>
    <w:p w14:paraId="34BC2B8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აღწერილია ანაფილაქტოიდური რეაქციები, მათ შორის ბრონქოსპაზმი, ანგიონევროზული შეშუპება და ჭინჭრის ციება ცალკე და კომბინაციაში.</w:t>
      </w:r>
    </w:p>
    <w:p w14:paraId="31DF2AF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იშვიათად მოხსენებულია ფილტვისმიერი რეაქციები, მათ შორის სხვადასხვა ჰისტოპათოლოგიის და/ან ფიბროზის ხასიათის ანთებითი პროცესები. ეს რეაქციები გამოვლინდა ქოშინით, როგორც ერთადერთი წინამორბედი სიმპტომი. </w:t>
      </w:r>
    </w:p>
    <w:p w14:paraId="5980B93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უცნობია, აქვთ თუ არა ამ სისტემურ რეაქციებს და გამონაყარს საერთო გამომწვევი მიზეზი, თუ ისინი გამოწვეულია სხვადასხვა ეტიოლოგიით ან პათოგენური პროცესებით. გარდა ამისა, ამ რეაქციების სპეციფიკური იმუნოლოგიური საფუძველი არ არის დადგენილი. გამონაყარის ან სხვა შესაძლო ალერგიული მოვლენების გამოვლენის შემთხვევაში, რომელთა ალტერნატიული ეტიოლოგიის დადგენა შეუძლებელია, რექსეპი კომბის მიღება უნდა შეწყდეს.</w:t>
      </w:r>
    </w:p>
    <w:p w14:paraId="3A4E1C87" w14:textId="77777777" w:rsidR="008B1423" w:rsidRPr="00BE4F57" w:rsidRDefault="008B1423" w:rsidP="00A14CA6">
      <w:pPr>
        <w:spacing w:after="0" w:line="240" w:lineRule="auto"/>
        <w:jc w:val="both"/>
        <w:rPr>
          <w:rFonts w:ascii="Sylfaen" w:hAnsi="Sylfaen"/>
          <w:color w:val="FF0000"/>
          <w:sz w:val="24"/>
          <w:szCs w:val="24"/>
          <w:lang w:val="ka-GE"/>
        </w:rPr>
      </w:pPr>
    </w:p>
    <w:p w14:paraId="61A9495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მანიის/ჰიპომანიის გააქტიურება</w:t>
      </w:r>
    </w:p>
    <w:p w14:paraId="366FC12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დიდი დეპრესიული ეპიზოდი შეიძლება იყოს ბიპოლარული აშლილობის საწყისი გამოვლინება. ზოგადად ითვლება (თუმცა კონტროლირებად კვლევებში არ არის დადგენილი), რომ ასეთი ეპიზოდის მხოლოდ ანტიდეპრესანტით მკურნალობამ შეიძლება გაზარდოს მანიაკური ეპიზოდის დაჩქარების ალბათობა ბიპოლარული აშლილობის რისკის მქონე პაციენტებში. წარმოადგენს თუ არა კლინიკური გაუარესებისა და სუიციდის რისკისთვის აღწერილი რომელიმე სიმპტომი ასეთი გარდაქმნის ნიშანს, უცნობია. თუმცა, ანტიდეპრესანტით მკურნალობის დაწყებამდე, დეპრესიული სიმპტომების მქონე პაციენტებმა უნდა გაიარონ ადეკვატური სკრინინგი იმის დასადგენად, არიან თუ არა ისინი ბიპოლარული აშლილობის რისკის ქვეშ; ასეთი სკრინინგი უნდა მოიცავდეს დეტალურ ფსიქიატრიულ ისტორიას, მათ შორის სუიციდის, ბიპოლარული აშლილობის და დეპრესიის ოჯახურ ისტორიას. უნდა აღინიშნოს, რომ რექსეპი კომბი </w:t>
      </w:r>
      <w:r w:rsidRPr="00BE4F57">
        <w:rPr>
          <w:rFonts w:ascii="Sylfaen" w:hAnsi="Sylfaen"/>
          <w:sz w:val="24"/>
          <w:szCs w:val="24"/>
          <w:lang w:val="ka-GE"/>
        </w:rPr>
        <w:lastRenderedPageBreak/>
        <w:t>დამტკიცებულია ბიპოლარულ I აშლილობასთან დაკავშირებული დეპრესიული ეპიზოდების მწვავე მკურნალობისთვის.</w:t>
      </w:r>
    </w:p>
    <w:p w14:paraId="785215F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ბიპოლარული დეპრესიის 3 კონტროლირებად კვლევაში (2 მოზრდილებში და 1 ბავშვებსა და მოზარდებში [10-დან 17 წლამდე ასაკის]), არ დაფიქსირებულა სტატისტიკურად მნიშვნელოვანი განსხვავება მანიაკური რეაქციების (მანიაკური რეაქცია ან მანიაკურ-დეპრესიული რეაქცია) შემთხვევების მხრივ ოლანზაპინით ნამკურნალებ პაციენტებსა და პლაცებოს მიმღებ პაციენტებს შორის. მოზრდილთა კვლევაში, მანიაკური რეაქციების სიხშირე უფრო მაღალი იყო ოლანზაპინისა და ფლუოქსეტინის კომბინაციით ნამკურნალებ პაციენტებში (7% [3/43]), ვიდრე პლაცებოს მიმღებ პაციენტებში (3% [5/184]). სხვა მოზრდილთა კვლევაში, მანიაკური რეაქციების სიხშირე იყო 2% [1/43] ოლანზაპინისა და ფლუოქსეტინის კომბინაციით ნამკურნალებ პაციენტებში და 8% [15/193] პლაცებოს მიმღებ პაციენტებში. 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მანიაკური რეაქციების სიხშირე შეადგენდა 1%–ს [2/170] ოლანზაპინის და ფლუოქსეტინის კომბინაციით ნამკურნალებ პაციენტებში პლაცებოთი ნამკურნალები პაციენტების 0%–თან შედარებით [0/84].</w:t>
      </w:r>
      <w:r w:rsidRPr="00BE4F57">
        <w:rPr>
          <w:sz w:val="24"/>
          <w:szCs w:val="24"/>
          <w:lang w:val="ka-GE"/>
        </w:rPr>
        <w:t xml:space="preserve"> </w:t>
      </w:r>
      <w:r w:rsidRPr="00BE4F57">
        <w:rPr>
          <w:rFonts w:ascii="Sylfaen" w:hAnsi="Sylfaen"/>
          <w:sz w:val="24"/>
          <w:szCs w:val="24"/>
          <w:lang w:val="ka-GE"/>
        </w:rPr>
        <w:t xml:space="preserve"> ბიპოლარული I აშლილობის ციკლური ბუნების გამო, პაციენტები უნდა იმყოფებოდნენ საფუძვლიანი მონიტორინგის ქვეშ ოლანზაპინისა და ფლუოქსეტინის კომბინაციით მკურნალობის დროს მანია/ჰიპომანიის სიმპტომების განვითარების თვალსაზრისით.</w:t>
      </w:r>
    </w:p>
    <w:p w14:paraId="002176EE" w14:textId="77777777" w:rsidR="008B1423" w:rsidRPr="00BE4F57" w:rsidRDefault="008B1423" w:rsidP="00A14CA6">
      <w:pPr>
        <w:spacing w:after="0" w:line="240" w:lineRule="auto"/>
        <w:jc w:val="both"/>
        <w:rPr>
          <w:rFonts w:ascii="Sylfaen" w:hAnsi="Sylfaen"/>
          <w:sz w:val="24"/>
          <w:szCs w:val="24"/>
          <w:lang w:val="ka-GE"/>
        </w:rPr>
      </w:pPr>
    </w:p>
    <w:p w14:paraId="1EDC45F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მოგვიანებითი დისკინეზია</w:t>
      </w:r>
    </w:p>
    <w:p w14:paraId="0375668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პოტენციურად შეუქცევადი, უნებლიე, დისკინეზიური მოძრაობების სინდრომი შეიძლება განვითარდეს ანტიფსიქოზური პრეპარატებით ნამკურნალებ პაციენტებში. მიუხედავად იმისა, რომ სინდრომის გავრცელება ყველაზე მაღალია ხანდაზმულებში, განსაკუთრებით ხანდაზმულ ქალებში, შეუძლებელია გავრცელების შეფასებებზე დაყრდნობა იმის პროგნოზირებისთვის, თუ ანტიფსიქოზური მკურნალობის დაწყებისას რომელ პაციენტებს აქვთ სინდრომის განვითარების ალბათობა. უცნობია, განსხვავდება თუ არა ანტიფსიქოზური პრეპარატები მოგვიანებითი დისკინეზიის გამოწვევის პოტენციალით.</w:t>
      </w:r>
    </w:p>
    <w:p w14:paraId="49EB480C" w14:textId="77777777" w:rsidR="008B1423" w:rsidRPr="00BE4F57" w:rsidRDefault="008B1423" w:rsidP="00A14CA6">
      <w:pPr>
        <w:spacing w:after="0" w:line="240" w:lineRule="auto"/>
        <w:jc w:val="both"/>
        <w:rPr>
          <w:rFonts w:ascii="Sylfaen" w:hAnsi="Sylfaen"/>
          <w:sz w:val="24"/>
          <w:szCs w:val="24"/>
          <w:lang w:val="ka-GE"/>
        </w:rPr>
      </w:pPr>
    </w:p>
    <w:p w14:paraId="6237C9A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ვარაუდობენ, რომ მოგვიანებითი დისკინეზიის განვითარების რისკი და მისი შეუქცევადობის ალბათობა იზრდება მკურნალობის ხანგრძლივობისა და პაციენტისთვის შეყვანილი ანტიფსიქოზური პრეპარატების საერთო კუმულაციური დოზის ზრდასთან ერთად. თუმცა, სინდრომი შეიძლება განვითარდეს, თუმცა გაცილებით იშვიათად, შედარებით დაბალი დოზებით მკურნალობის მოკლე პერიოდების შემდეგ ან შეიძლება განვითარდეს მკურნალობის შეწყვეტის შემდეგაც კი.</w:t>
      </w:r>
    </w:p>
    <w:p w14:paraId="113EF417" w14:textId="77777777" w:rsidR="008B1423" w:rsidRPr="00BE4F57" w:rsidRDefault="008B1423" w:rsidP="00A14CA6">
      <w:pPr>
        <w:spacing w:after="0" w:line="240" w:lineRule="auto"/>
        <w:jc w:val="both"/>
        <w:rPr>
          <w:rFonts w:ascii="Sylfaen" w:hAnsi="Sylfaen"/>
          <w:sz w:val="24"/>
          <w:szCs w:val="24"/>
          <w:lang w:val="ka-GE"/>
        </w:rPr>
      </w:pPr>
    </w:p>
    <w:p w14:paraId="3726DE9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მოგვიანებითი დისკინეზიის დადგენილი შემთხვევების მკურნალობა არ არსებობს, თუმცა სინდრომი შეიძლება ნაწილობრივ ან სრულად გაქრეს, თუ ანტიფსიქოზური მკურნალობა შეწყდება. თუმცა, თავად ანტიფსიქოზურმა მკურნალობამ შეიძლება დათრგუნოს (ან ნაწილობრივ დათრგუნოს) სინდრომის ნიშნები და სიმპტომები და ამით შესაძლოა შენიღბოს ძირითადი პროცესი. სიმპტომური სუპრესიის გავლენა სინდრომის ხანგრძლივ მიმდინარეობაზე უცნობია.</w:t>
      </w:r>
    </w:p>
    <w:p w14:paraId="6935FE3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დისკინეტიკური მოძრაობის შემთხვევები პაციენტებში, რომლებიც ოლანზაპინისა და ფლუოქსეტინის კომბინაციით მკურნალობდნენ, იშვიათი იყო. კლინიკურ კვლევებში, რომლებშიც მონაწილეობდნენ ოლანზაპინისა და ფლუოქსეტინის კომბინაციით ნამკურნალები პაციენტები, უნებლიე პათოლოგიური მოძრაობების სკალას (AIMS) საშუალო ქულა შემცირდა ოლანზაპინისა და ფლუოქსეტინის კომბინაციის კონტროლირებად მონაცემთა ბაზაში საწყის დონესთან შედარებით. თუმცა, ოლანზაპინისა და ფლუოქსეტინის კომბინაცია ისე უნდა დაინიშნოს, რომ </w:t>
      </w:r>
      <w:r w:rsidRPr="00BE4F57">
        <w:rPr>
          <w:rFonts w:ascii="Sylfaen" w:hAnsi="Sylfaen"/>
          <w:sz w:val="24"/>
          <w:szCs w:val="24"/>
          <w:lang w:val="ka-GE"/>
        </w:rPr>
        <w:lastRenderedPageBreak/>
        <w:t>მინიმუმამდე იქნას დაყვანილი მოგვიანებითი დისკინეზიის რისკი. თუ ოლანზაპინისა და ფლუოქსეტინის კომბინაციაზე მყოფ პაციენტში გამოვლინდა მოგვიანებითი დისკინეზიის ნიშნები და სიმპტომები, განიხილება პრეპარატის მიღების შეწყვეტა. თუმცა, ზოგიერთ პაციენტს შეიძლება დასჭირდეს რექსეპი კომბით მკურნალობა სინდრომის არსებობის მიუხედავად. მკურნალობის გაგრძელების საჭიროება პერიოდულად უნდა გადაიხედოს.</w:t>
      </w:r>
    </w:p>
    <w:p w14:paraId="5766D9D3" w14:textId="77777777" w:rsidR="008B1423" w:rsidRPr="00BE4F57" w:rsidRDefault="008B1423" w:rsidP="00A14CA6">
      <w:pPr>
        <w:spacing w:after="0" w:line="240" w:lineRule="auto"/>
        <w:jc w:val="both"/>
        <w:rPr>
          <w:rFonts w:ascii="Sylfaen" w:hAnsi="Sylfaen"/>
          <w:sz w:val="24"/>
          <w:szCs w:val="24"/>
          <w:lang w:val="ka-GE"/>
        </w:rPr>
      </w:pPr>
    </w:p>
    <w:p w14:paraId="1FBF5CEE"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ორთოსტატული ჰიპოტენზია</w:t>
      </w:r>
    </w:p>
    <w:p w14:paraId="0B5CD1C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კომბიმ შეიძლება გამოიწვიოს ორთოსტატული ჰიპოტენზია, რომელიც დაკავშირებულია თავბრუსხვევასთან, ტაქიკარდიასთან, ბრადიკარდიასთან და ზოგიერთ პაციენტში სინკოპესთან, განსაკუთრებით საწყისი</w:t>
      </w:r>
      <w:r w:rsidRPr="00BE4F57">
        <w:rPr>
          <w:rFonts w:ascii="Sylfaen" w:hAnsi="Sylfaen"/>
          <w:sz w:val="24"/>
          <w:szCs w:val="24"/>
        </w:rPr>
        <w:t xml:space="preserve"> </w:t>
      </w:r>
      <w:r w:rsidRPr="00BE4F57">
        <w:rPr>
          <w:rFonts w:ascii="Sylfaen" w:hAnsi="Sylfaen"/>
          <w:sz w:val="24"/>
          <w:szCs w:val="24"/>
          <w:lang w:val="ka-GE"/>
        </w:rPr>
        <w:t>დოზის ტიტრაციის პერიოდის განმავლობაში.</w:t>
      </w:r>
    </w:p>
    <w:p w14:paraId="02E9A04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კომბინაციის კონტროლირებად კლინიკურ კვლევებში ყველა ჩვენების მიხედვით, არ დაფიქსირებულა მნიშვნელოვანი განსხვავებები ოლანზაპინისა და ფლუოქსეტინის კომბინაციით ნამკურნალებ პაციენტებსა და ოლანზაპინის, ფლუოქსეტინის ან პლაცებოს მიმღებ პაციენტებს შორის სისტოლური არტერიული წნევის ორთოსტატული დაქვეითების ექსპოზიციაზე კორექტირებული მაჩვენებლების მხრივ მინიმუმ </w:t>
      </w:r>
      <w:r w:rsidRPr="00BE4F57">
        <w:rPr>
          <w:rFonts w:ascii="Sylfaen" w:hAnsi="Sylfaen"/>
          <w:sz w:val="24"/>
          <w:szCs w:val="24"/>
        </w:rPr>
        <w:t xml:space="preserve">30 </w:t>
      </w:r>
      <w:r w:rsidRPr="00BE4F57">
        <w:rPr>
          <w:rFonts w:ascii="Sylfaen" w:hAnsi="Sylfaen"/>
          <w:sz w:val="24"/>
          <w:szCs w:val="24"/>
          <w:lang w:val="ka-GE"/>
        </w:rPr>
        <w:t>მმ</w:t>
      </w:r>
      <w:r w:rsidRPr="00BE4F57">
        <w:rPr>
          <w:rFonts w:ascii="Sylfaen" w:hAnsi="Sylfaen"/>
          <w:sz w:val="24"/>
          <w:szCs w:val="24"/>
        </w:rPr>
        <w:t xml:space="preserve"> </w:t>
      </w:r>
      <w:r w:rsidRPr="00BE4F57">
        <w:rPr>
          <w:rFonts w:ascii="Sylfaen" w:hAnsi="Sylfaen"/>
          <w:sz w:val="24"/>
          <w:szCs w:val="24"/>
          <w:lang w:val="ka-GE"/>
        </w:rPr>
        <w:t xml:space="preserve">ვწყ.სვ. სისტოლური არტერიული წნევის ორთოსტატული დაქვეითება მინიმუმ 30 მმ ვწყ.სვ.  აღინიშნა  ოლანზაპინის და ფლუოქსეტინის კომბინაციის, ოლანზაპინის, ფლუოქსეტინის და პლაცებოს ჯგუფების, შესაბამისად, 4.0%-ში (28/705), 2.3%-ში (19/831), 4.5%-ში (18/399) და 1.8%-ში (8/442). </w:t>
      </w:r>
    </w:p>
    <w:p w14:paraId="57B6B8D4" w14:textId="77777777" w:rsidR="008B1423" w:rsidRPr="00BE4F57" w:rsidRDefault="008B1423" w:rsidP="00A14CA6">
      <w:pPr>
        <w:spacing w:after="0" w:line="240" w:lineRule="auto"/>
        <w:jc w:val="both"/>
        <w:rPr>
          <w:rFonts w:ascii="Sylfaen" w:hAnsi="Sylfaen"/>
          <w:sz w:val="24"/>
          <w:szCs w:val="24"/>
          <w:lang w:val="ka-GE"/>
        </w:rPr>
      </w:pPr>
    </w:p>
    <w:p w14:paraId="17DD929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კომბინაციის კლინიკური ფარმაკოლოგიური კვლევის ფარგლებში, 3 ჯანმრთელი სუბიექტი გაირიცხა კვლევიდან მძიმე, მაგრამ თვითშეზღუდული ჰიპოტენზიისა და ბრადიკარდიის განვითარების შემდეგ, რომელიც განვითარდა ოლანზაპინისა და ფლუოქსეტინის კომბინაციის 12 მგ/50 მგ  ერთჯერადი დოზის მიღებიდან 2-9 საათის შემდეგ. ჰიპოტენზიისა და ბრადიკარდიის (ასევე სინუსური კვანძის გაჩერების) კომბინაციისგან შემდგარი რეაქციები დაფიქსირდა სულ მცირე 3 ჯანმრთელ სუბიექტში, რომლებიც მკურნალობდნენ ოლანზაპინის სხვადასხვა ფორმებით (1 პერორალური, 2 კუნთში). კონტროლირებად კლინიკურ კვლევებში, პაციენტებში, რომლებსაც აღენიშნებოდათ სისტოლური არტერიული წნევის ≥20 მმ ვწყ.სვ. ორთოსტატული დაქვეითების სიხშირე, პულსის სიხშირის ≥20 დარტყმა/წთ ორთოსტატული შემცირებით, შეადგენდა 0.3% (2/706) ოლანზაპინისა და ფლუოქსეტინის კომბინაციის ჯგუფში, 0.2%–ში (1/445) პლაცებოს ჯგუფი, 1.7%-ში (6/837) ოლანზაპინის ჯგუფში და 0%–ში (0/404) ფლუოქსეტინის ჯგუფში. რექსეპი კომბი განსაკუთრებული სიფრთხილით უნდა იქნას გამოყენებული პაციენტებში, რომლებსაც აქვთ გულ-სისხლძარღვთა დაავადება (მიოკარდიუმის ინფარქტის ან იშემიის ანამნეზი, გულის უკმარისობა ან გულ-სისხლძარღვთა დარღვევა ან ცერებროვასკულური დაავადება ანამნეზში ან მდგომარეობები, რომლებიც პაციენტებს ჰიპოტენზიისადმი მიდრეკილებს ხდიან (დეჰიდრატაცია, ჰიპოვოლემია და ანტიჰიპერტენზიული საშუალებებით მკურნალობა).</w:t>
      </w:r>
    </w:p>
    <w:p w14:paraId="2A4D2862" w14:textId="77777777" w:rsidR="008B1423" w:rsidRPr="00BE4F57" w:rsidRDefault="008B1423" w:rsidP="00A14CA6">
      <w:pPr>
        <w:spacing w:after="0" w:line="240" w:lineRule="auto"/>
        <w:jc w:val="both"/>
        <w:rPr>
          <w:rFonts w:ascii="Sylfaen" w:hAnsi="Sylfaen"/>
          <w:sz w:val="24"/>
          <w:szCs w:val="24"/>
          <w:lang w:val="ka-GE"/>
        </w:rPr>
      </w:pPr>
    </w:p>
    <w:p w14:paraId="6D1311A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დაცემა</w:t>
      </w:r>
    </w:p>
    <w:p w14:paraId="0F998D5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კომბინაციამ შეიძლება გამოიწვიოს ძილიანობა, ტანადობის დარღვევა, მოტორული და სენსორული არასტაბილურობა, რამაც შეიძლება გამოიწვიოს დაცემა და შემდგომი მოტეხილობები ან სხვა დაზიანებები. საჭიროა განხორციელდეს განმეორებითი დაცემის რისკის სრული შეფასება პაციენტებისთვის, რომლებსაც აქვთ დაავადებები, მდგომარეობები ან იღებენ მედიკამენტებს, რომლებმაც შეიძლება გაამწვავონ ეს ეფექტები, ანტიფსიქოზური მკურნალობის დაწყებისას და პაციენტებისთვის, რომლებიც ხანგრძლივ ანტიფსიქოზურ მკურნალობას იღებენ. </w:t>
      </w:r>
    </w:p>
    <w:p w14:paraId="10CFE959" w14:textId="77777777" w:rsidR="008B1423" w:rsidRPr="00BE4F57" w:rsidRDefault="008B1423" w:rsidP="00A14CA6">
      <w:pPr>
        <w:spacing w:after="0" w:line="240" w:lineRule="auto"/>
        <w:jc w:val="both"/>
        <w:rPr>
          <w:rFonts w:ascii="Sylfaen" w:hAnsi="Sylfaen"/>
          <w:sz w:val="24"/>
          <w:szCs w:val="24"/>
          <w:lang w:val="ka-GE"/>
        </w:rPr>
      </w:pPr>
    </w:p>
    <w:p w14:paraId="1337AB4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ლეიკოპენია, ნეიტროპენია და აგრანულოციტოზი</w:t>
      </w:r>
    </w:p>
    <w:p w14:paraId="59B2F2F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lastRenderedPageBreak/>
        <w:t>კლასის ეფექტი</w:t>
      </w:r>
      <w:r w:rsidRPr="00BE4F57">
        <w:rPr>
          <w:rFonts w:ascii="Sylfaen" w:hAnsi="Sylfaen"/>
          <w:sz w:val="24"/>
          <w:szCs w:val="24"/>
          <w:lang w:val="ka-GE"/>
        </w:rPr>
        <w:t xml:space="preserve"> - კლინიკურ კვლევებში და/ან პოსტმარკეტინგულ გამოცდილებაში აღწერილია ლეიკოპენიის/ნეიტროპენიის შემთხვევები, რომლებიც დროებით ასოცირდება ანტიფსიქოზურ საშუალებებთან, მათ შორის ოლანზაპინისა და ფლუოქსეტინის კომბინაციასთან. ასევე აღწერილია აგრანულოციტოზი.</w:t>
      </w:r>
    </w:p>
    <w:p w14:paraId="411F2F8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ლეიკოპენიის/ნეიტროპენიის შესაძლო რისკ-ფაქტორები მოიცავს ლეიკოციტების ადრე არსებულ დაბალ რაოდენობას და წამლით გამოწვეულ ლეიკოპენიას/ნეიტროპენიას ანამნეზში. პაციენტებს, რომლებსაც აქვთ კლინიკურად მნიშვნელოვანი ლეიკოციტების დაბალი მაჩვენებელი ან ანამნეზში წამლით გამოწვეული ლეიკოპენიის/ნეიტროპენია, რეგულარულად უნდა ჩაუტარდეთ სისხლის საერთო ანალიზის მონიტორინგი თერაპიის პირველი რამდენიმე თვის განმავლობაში და სხვა გამომწვევი ფაქტორების არარსებობის შემთხვევაში, კლინიკურად მნიშვნელოვანი შემცირების პირველივე ნიშნისთანავე უნდა განიხილონ რექსეპი კომბის შეწყვეტა.</w:t>
      </w:r>
    </w:p>
    <w:p w14:paraId="646FA41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კლინიკურად მნიშვნელოვანი ნეიტროპენიის მქონე პაციენტები უნდა იმყოფებოდნენ სათანადო მონიტორინგის ქვეშ ცხელების ან ინფექციის სხვა სიმპტომების ან ნიშნების გამოვლენის გამო და დაუყოვნებლივ უნდა ჩაუტარდეთ მკურნალობა, თუ ასეთი სიმპტომები ან ნიშნები გამოვლინდა. მძიმე ნეიტროპენიის (ნეიტროფილების აბსოლუტური რაოდენობა &lt; 1000/მმ</w:t>
      </w:r>
      <w:r w:rsidRPr="00BE4F57">
        <w:rPr>
          <w:rFonts w:ascii="Sylfaen" w:hAnsi="Sylfaen"/>
          <w:sz w:val="24"/>
          <w:szCs w:val="24"/>
          <w:vertAlign w:val="superscript"/>
          <w:lang w:val="ka-GE"/>
        </w:rPr>
        <w:t>3</w:t>
      </w:r>
      <w:r w:rsidRPr="00BE4F57">
        <w:rPr>
          <w:rFonts w:ascii="Sylfaen" w:hAnsi="Sylfaen"/>
          <w:sz w:val="24"/>
          <w:szCs w:val="24"/>
          <w:lang w:val="ka-GE"/>
        </w:rPr>
        <w:t xml:space="preserve">) მქონე პაციენტებმა უნდა შეწყვიტონ </w:t>
      </w:r>
      <w:r w:rsidRPr="00BE4F57">
        <w:rPr>
          <w:rFonts w:ascii="Sylfaen" w:hAnsi="Sylfaen"/>
          <w:sz w:val="24"/>
          <w:szCs w:val="24"/>
          <w:u w:val="single"/>
          <w:lang w:val="ka-GE"/>
        </w:rPr>
        <w:t>რექსეპი კომბის</w:t>
      </w:r>
      <w:r w:rsidRPr="00BE4F57">
        <w:rPr>
          <w:rFonts w:ascii="Sylfaen" w:hAnsi="Sylfaen"/>
          <w:sz w:val="24"/>
          <w:szCs w:val="24"/>
          <w:lang w:val="ka-GE"/>
        </w:rPr>
        <w:t xml:space="preserve"> მიღება და გამოჯანმრთელებამდე უნდა ჩაუტარდეთ სისხლის თეთრი უჯრედების მონიტორინგი.</w:t>
      </w:r>
    </w:p>
    <w:p w14:paraId="29F7C45A" w14:textId="77777777" w:rsidR="008B1423" w:rsidRPr="00BE4F57" w:rsidRDefault="008B1423" w:rsidP="00A14CA6">
      <w:pPr>
        <w:spacing w:after="0" w:line="240" w:lineRule="auto"/>
        <w:jc w:val="both"/>
        <w:rPr>
          <w:rFonts w:ascii="Sylfaen" w:hAnsi="Sylfaen"/>
          <w:sz w:val="24"/>
          <w:szCs w:val="24"/>
          <w:lang w:val="ka-GE"/>
        </w:rPr>
      </w:pPr>
    </w:p>
    <w:p w14:paraId="2134860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დისფაგია</w:t>
      </w:r>
    </w:p>
    <w:p w14:paraId="7707033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საყლაპავის მოტორიკის დარღვევა და ასპირაცია დაკავშირებულია ანტიფსიქოზური პრეპარატების გამოყენებასთან. ასპირაციული პნევმონია წარმოადგენს ავადობისა და სიკვდილიანობის ხშირ მიზეზს, განსაკუთრებით ხანდაზმულ პაციენტებში, რომლებსაც აქვთ პროგრესირებადი ალცჰაიმერის დაავადება. რექსეპი კომბის გამოყენება არ არის დამტკიცებული ალცჰაიმერის დაავადების მქონე პაციენტების სამკურნალოდ.</w:t>
      </w:r>
    </w:p>
    <w:p w14:paraId="6312A600" w14:textId="77777777" w:rsidR="008B1423" w:rsidRPr="00BE4F57" w:rsidRDefault="008B1423" w:rsidP="00A14CA6">
      <w:pPr>
        <w:spacing w:after="0" w:line="240" w:lineRule="auto"/>
        <w:jc w:val="both"/>
        <w:rPr>
          <w:rFonts w:ascii="Sylfaen" w:hAnsi="Sylfaen"/>
          <w:sz w:val="24"/>
          <w:szCs w:val="24"/>
          <w:lang w:val="ka-GE"/>
        </w:rPr>
      </w:pPr>
    </w:p>
    <w:p w14:paraId="5D772C2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კრუნჩხვები</w:t>
      </w:r>
    </w:p>
    <w:p w14:paraId="3FE6ED4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ღია კლინიკური კვლევების დროს ოლანზაპინისა და ფლუოქსეტინის კომბინაციით ნამკურნალები პაციენტების 0.2%-ში (4/2547) აღინიშნა კრუნჩხვები. ოლანზაპინისა და ფლუოქსეტინის კომბინაციის კონტროლირებად კვლევებში კრუნჩხვები არ დაფიქსირებულა. კრუნჩხვები ასევე აღინიშნა როგორც ოლანზაპინით, ასევე ფლუოქსეტინით მონოთერაპიის დროს. რექსეპი კომბი სიფრთხილით უნდა იქნას გამოყენებული პაციენტებში, რომლებსაც ანამნეზში აღენიშნებათ კრუნჩხვები ან მდგომარეობები, რომლებიც პოტენციურად ამცირებენ კრუნჩხვების ზღურბლს, მაგალითად, ალცჰაიმერის დემენცია. რექსეპი კომბი არ არის დამტკიცებული ალცჰაიმერის დაავადების მქონე პაციენტების სამკურნალოდ. მდგომარეობები, რომლებიც ამცირებენ კრუნჩხვების ზღურბლს, შეიძლება უფრო გავრცელებული იყოს ≥ 65 წლის ასაკის პოპულაციაში.</w:t>
      </w:r>
    </w:p>
    <w:p w14:paraId="19298D58" w14:textId="77777777" w:rsidR="008B1423" w:rsidRPr="00BE4F57" w:rsidRDefault="008B1423" w:rsidP="00A14CA6">
      <w:pPr>
        <w:spacing w:after="0" w:line="240" w:lineRule="auto"/>
        <w:jc w:val="both"/>
        <w:rPr>
          <w:rFonts w:ascii="Sylfaen" w:hAnsi="Sylfaen"/>
          <w:sz w:val="24"/>
          <w:szCs w:val="24"/>
          <w:lang w:val="ka-GE"/>
        </w:rPr>
      </w:pPr>
    </w:p>
    <w:p w14:paraId="6A20268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პათოლოგიური სისხლდენა</w:t>
      </w:r>
    </w:p>
    <w:p w14:paraId="6E7421A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SNRI–ები და SSRI-ები, მათ შორის ფლუოქსეტინი, შეიძლება ზრდიდეს სისხლდენის რეაქციების რისკს. ასპირინის, არასტეროიდული ანთების საწინააღმდეგო პრეპარატების, ვარფარინის და სხვა ანტიკოაგულანტების ერთდროული გამოყენება ხელს უწყობს ამ რისკს. SNRI და SSRI-ების გამოყენებასთან დაკავშირებული სისხლდენის რეაქციები მერყეობს ექიმოზებიდან, ჰემატომებიდან, ცხვირიდან სისხლდენიდან და პეტექიებიდან სიცოცხლისთვის საშიშ სისხლდენამდე. გამოქვეყნებული დაკვირვებითი კვლევების მონაცემების საფუძველზე, SSRI-ების ზემოქმედება, განსაკუთრებით მშობიარობამდე ერთი თვით ადრე, დაკავშირებულია მშობიარობის შემდგომი სისხლდენის რისკის 2-ჯერზე ნაკლებ გაზრდასთან (იხილეთ ნაწილი „დამატებითი ინფორმაცია განსაკუთრებული პოპულაციებისთვის“). SNRI–ები და SSRI-ების </w:t>
      </w:r>
      <w:r w:rsidRPr="00BE4F57">
        <w:rPr>
          <w:rFonts w:ascii="Sylfaen" w:hAnsi="Sylfaen"/>
          <w:sz w:val="24"/>
          <w:szCs w:val="24"/>
          <w:lang w:val="ka-GE"/>
        </w:rPr>
        <w:lastRenderedPageBreak/>
        <w:t>გამოყენებასთან დაკავშირებული სისხლდენის რეაქციები მერყეობს ექიმოზებიდან, ჰემატომებიდან, ცხვირიდან და პეტექიებიდან სიცოცხლისთვის საშიშ სისხლდენამდე.</w:t>
      </w:r>
    </w:p>
    <w:p w14:paraId="783AE39E" w14:textId="77777777" w:rsidR="008B1423" w:rsidRPr="00BE4F57" w:rsidRDefault="008B1423" w:rsidP="00A14CA6">
      <w:pPr>
        <w:spacing w:after="0" w:line="240" w:lineRule="auto"/>
        <w:jc w:val="both"/>
        <w:rPr>
          <w:rFonts w:ascii="Sylfaen" w:hAnsi="Sylfaen"/>
          <w:sz w:val="24"/>
          <w:szCs w:val="24"/>
          <w:lang w:val="ka-GE"/>
        </w:rPr>
      </w:pPr>
    </w:p>
    <w:p w14:paraId="063B253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პაციენტები უნდა იყვნენ გაფრთხილებულნი სისხლდენის რისკის შესახებ რექსეპი კომბისა და აასპ–ების, ასპირინის ან კოაგულაციაზე მოქმედი სხვა პრეპარატების ერთდროული გამოყენებისას (იხილეთ ნაწილი 4.5. ურთიერთქმედება სხვა სამკურნალო პრეპარატებთან და ურთიერთქმედების სხვა ფორმები).</w:t>
      </w:r>
    </w:p>
    <w:p w14:paraId="260EF8A9" w14:textId="77777777" w:rsidR="008B1423" w:rsidRPr="00BE4F57" w:rsidRDefault="008B1423" w:rsidP="00A14CA6">
      <w:pPr>
        <w:spacing w:after="0" w:line="240" w:lineRule="auto"/>
        <w:jc w:val="both"/>
        <w:rPr>
          <w:rFonts w:ascii="Sylfaen" w:hAnsi="Sylfaen"/>
          <w:sz w:val="24"/>
          <w:szCs w:val="24"/>
          <w:lang w:val="ka-GE"/>
        </w:rPr>
      </w:pPr>
    </w:p>
    <w:p w14:paraId="27662AC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ჰიპონატრიემია</w:t>
      </w:r>
    </w:p>
    <w:p w14:paraId="15842E2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SNRI–ებით და SSRI-ებით, მათ შორის ფლუოქსეტინით და ოლანზაპინისა და ფლუოქსეტინის კომბინაციით, მკურნალობის დროს დაფიქსირდა ჰიპონატრიემია. ბევრ შემთხვევაში, ეს ჰიპონატრიემია, როგორც ჩანს, ანტიდიურეზული ჰორმონის არასათანადო სეკრეციის სინდრომის შედეგია. აღწერილია შრატში ნატრიუმის 110 მმოლ/ლ-ზე დაბალი დონის შემთხვევები, რომლებიც, როგორც ჩანს, შექცევადი იყო ოლანზაპინისა და ფლუოქსეტინის კომბინაციის მიღების შეწყვეტის შემდეგ (იხილეთ ნაწილი დამატებითი ინფორმაცია განსაკუთრებული პოპულაციებისთვის). ხანდაზმულ პაციენტებს შეიძლება გააჩნდეთ ჰიპონატრიემიის განვითარების უფრო მაღალი რისკი SNRI–ებით და SSRI-ებით მკურნალობისას. ასევე, პაციენტებს, რომლებიც იღებენ შარდმდენებს ან განიცდიან სითხის დაკარგვას, თუ არ იღებენ მას, შეიძლება ჰქონდეთ უფრო მაღალი რისკი. სიმპტომური ჰიპონატრიემიის მქონე პაციენტებში უნდა განიხილებოდეს რექსეპი კომბის მიღების შეწყვეტა და უნდა დაინიშნოს შესაბამისი სამედიცინო ჩარევა.</w:t>
      </w:r>
    </w:p>
    <w:p w14:paraId="0AEA3195" w14:textId="77777777" w:rsidR="008B1423" w:rsidRPr="00BE4F57" w:rsidRDefault="008B1423" w:rsidP="00A14CA6">
      <w:pPr>
        <w:spacing w:after="0" w:line="240" w:lineRule="auto"/>
        <w:jc w:val="both"/>
        <w:rPr>
          <w:rFonts w:ascii="Sylfaen" w:hAnsi="Sylfaen"/>
          <w:sz w:val="24"/>
          <w:szCs w:val="24"/>
          <w:lang w:val="ka-GE"/>
        </w:rPr>
      </w:pPr>
    </w:p>
    <w:p w14:paraId="557CDE3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ჰიპონატრიემიის ნიშნები და სიმპტომები მოიცავს თავის ტკივილს, კონცენტრაციის გაძნელებას, მეხსიერების დაქვეითებას, დაბნეულობას, სისუსტეს და წონასწორობის დაკარგვას, რამაც შეიძლება გამოიწვიოს დაცემა. უფრო მძიმე და/ან მწვავე შემთხვევები დაკავშირებულია ჰალუცინაციებთან, სინკოპესთან, კრუნჩხვებთან, კომასთან, სუნთქვის გაჩერებასთან და სიკვდილთან.</w:t>
      </w:r>
    </w:p>
    <w:p w14:paraId="3264FF6E" w14:textId="77777777" w:rsidR="008B1423" w:rsidRPr="00BE4F57" w:rsidRDefault="008B1423" w:rsidP="00A14CA6">
      <w:pPr>
        <w:spacing w:after="0" w:line="240" w:lineRule="auto"/>
        <w:jc w:val="both"/>
        <w:rPr>
          <w:rFonts w:ascii="Sylfaen" w:hAnsi="Sylfaen"/>
          <w:sz w:val="24"/>
          <w:szCs w:val="24"/>
          <w:lang w:val="ka-GE"/>
        </w:rPr>
      </w:pPr>
    </w:p>
    <w:p w14:paraId="67A7DB9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კოგნიტური და მოტორული დარღვევის პოტენციალი</w:t>
      </w:r>
    </w:p>
    <w:p w14:paraId="2D9F9495" w14:textId="77777777" w:rsidR="008B1423" w:rsidRPr="00BE4F57" w:rsidRDefault="008B1423" w:rsidP="00A14CA6">
      <w:pPr>
        <w:spacing w:after="0" w:line="240" w:lineRule="auto"/>
        <w:jc w:val="both"/>
        <w:rPr>
          <w:rFonts w:ascii="Sylfaen" w:hAnsi="Sylfaen"/>
          <w:sz w:val="24"/>
          <w:szCs w:val="24"/>
          <w:lang w:val="ka-GE"/>
        </w:rPr>
      </w:pPr>
    </w:p>
    <w:p w14:paraId="5E13ED7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კომბიმ შეიძლება დააქვეითოს გადაწყვეტილების მიღების, აზროვნების და მოტორული უნარები. პაციენტები უნდა გააფრთხილონ არ გაამოიყენონ სახიფათო მექანიზმები, მათ შორის არ მართონ სატრანსპორტო საშუალებები, სანამ არ დარწმუნდებიან, რომ რექსეპი კომბით მკურნალობამ მათზე უარყოფითი გავლენა არ მოახდინა.</w:t>
      </w:r>
    </w:p>
    <w:p w14:paraId="3D8A1087" w14:textId="77777777" w:rsidR="008B1423" w:rsidRPr="00BE4F57" w:rsidRDefault="008B1423" w:rsidP="00A14CA6">
      <w:pPr>
        <w:spacing w:after="0" w:line="240" w:lineRule="auto"/>
        <w:jc w:val="both"/>
        <w:rPr>
          <w:rFonts w:ascii="Sylfaen" w:hAnsi="Sylfaen"/>
          <w:sz w:val="24"/>
          <w:szCs w:val="24"/>
          <w:lang w:val="ka-GE"/>
        </w:rPr>
      </w:pPr>
    </w:p>
    <w:p w14:paraId="74A8CF2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მოზრდილები</w:t>
      </w:r>
      <w:r w:rsidRPr="00BE4F57">
        <w:rPr>
          <w:rFonts w:ascii="Sylfaen" w:hAnsi="Sylfaen"/>
          <w:sz w:val="24"/>
          <w:szCs w:val="24"/>
          <w:lang w:val="ka-GE"/>
        </w:rPr>
        <w:t xml:space="preserve"> - ოლანზაპინისა და ფლუოქსეტინის კომბინაციით მკურნალობის შედეგად სედაციასთან დაკავშირებული გვერდითი რეაქციები ფართოდ არის აღწერილი, ოლანზაპინისა და ფლუოქსეტინის კომბინაციით მკურნალობისას პაციენტებში 26.6% სიხშირით და პლაცებოთი მკურნალობისას პაციენტებში 10.9% სიხშირით. სედაციასთან დაკავშირებული გვერდითი რეაქციები (სედაცია, ძილიანობა, ჰიპერსომნია და ლეთარგია) იწვევდა კონტროლირებად კლინიკურ კვლევებში პაციენტების 2%-ის (15/771) მონაწილეობის შეწყვეტას.</w:t>
      </w:r>
    </w:p>
    <w:p w14:paraId="0B1FE948" w14:textId="77777777" w:rsidR="008B1423" w:rsidRPr="00BE4F57" w:rsidRDefault="008B1423" w:rsidP="00A14CA6">
      <w:pPr>
        <w:spacing w:after="0" w:line="240" w:lineRule="auto"/>
        <w:jc w:val="both"/>
        <w:rPr>
          <w:rFonts w:ascii="Sylfaen" w:hAnsi="Sylfaen"/>
          <w:sz w:val="24"/>
          <w:szCs w:val="24"/>
          <w:lang w:val="ka-GE"/>
        </w:rPr>
      </w:pPr>
    </w:p>
    <w:p w14:paraId="6245280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ბავშვები და მოზარდები</w:t>
      </w:r>
      <w:r w:rsidRPr="00BE4F57">
        <w:rPr>
          <w:rFonts w:ascii="Sylfaen" w:hAnsi="Sylfaen"/>
          <w:sz w:val="24"/>
          <w:szCs w:val="24"/>
          <w:lang w:val="ka-GE"/>
        </w:rPr>
        <w:t xml:space="preserve"> - 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ძილიანობასთან დაკავშირებული გვერდითი მოვლენები ხშირად აღინიშნა ოლანზაპინის და ფლუოქსეტინის კომბინაციის გამოყენებისას, სიხშირემ შეადგინა 23.5% ოლანზაპინისა და </w:t>
      </w:r>
      <w:r w:rsidRPr="00BE4F57">
        <w:rPr>
          <w:rFonts w:ascii="Sylfaen" w:hAnsi="Sylfaen"/>
          <w:sz w:val="24"/>
          <w:szCs w:val="24"/>
          <w:lang w:val="ka-GE"/>
        </w:rPr>
        <w:lastRenderedPageBreak/>
        <w:t>ფლუოქსეტინის კომბინაციით ნამკურნალებ პაციენტებში 2.4%-თან შედარებით პლაცებოთი ნამკურნალებ პაციენტებში. ძილიანობასთან დაკავშირებული გვერდითი მოვლენები იწვევდა მკურნალობის შეწყვეტას პაციენტების 1.2%-ში (2/170).</w:t>
      </w:r>
    </w:p>
    <w:p w14:paraId="121D6937" w14:textId="77777777" w:rsidR="008B1423" w:rsidRPr="00BE4F57" w:rsidRDefault="008B1423" w:rsidP="00A14CA6">
      <w:pPr>
        <w:spacing w:after="0" w:line="240" w:lineRule="auto"/>
        <w:jc w:val="both"/>
        <w:rPr>
          <w:rFonts w:ascii="Sylfaen" w:hAnsi="Sylfaen"/>
          <w:sz w:val="24"/>
          <w:szCs w:val="24"/>
          <w:lang w:val="ka-GE"/>
        </w:rPr>
      </w:pPr>
    </w:p>
    <w:p w14:paraId="0D5A203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სხეულის ტემპერატურის რეგულირება</w:t>
      </w:r>
    </w:p>
    <w:p w14:paraId="5592075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ორგანიზმის ბაზალური ტემპერატურის შემცირების უნარის დარღვევას უკავშირებენ ანტიფსიქოზური პრეპარატების გამოყენებას. რეკომენდებულია შესაბამისი სიფრთხილის დაცვა რექსეპი კომბის დანიშვნისას იმ პაციენტებისთვის, რომლებსაც აღენიშნებათ მდგომარეობები, რომლებმაც შეიძლება ხელი შეუწყონ  სხეულის ბაზალური ტემპერატურის მატებას (მაგ., ინტენსიური ვარჯიში, ექსტრემალური სიცხის ზემოქმედება, ანტიქოლინერგული აქტივობის მქონე მედიკამენტების თანმხლები მიღება ან დეჰიდრატაციის ზემოქმედება).</w:t>
      </w:r>
    </w:p>
    <w:p w14:paraId="5E315586" w14:textId="77777777" w:rsidR="008B1423" w:rsidRPr="00BE4F57" w:rsidRDefault="008B1423" w:rsidP="00A14CA6">
      <w:pPr>
        <w:spacing w:after="0" w:line="240" w:lineRule="auto"/>
        <w:jc w:val="both"/>
        <w:rPr>
          <w:rFonts w:ascii="Sylfaen" w:hAnsi="Sylfaen"/>
          <w:sz w:val="24"/>
          <w:szCs w:val="24"/>
          <w:lang w:val="ka-GE"/>
        </w:rPr>
      </w:pPr>
    </w:p>
    <w:p w14:paraId="25AACE3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QT ინტერვალის გახანგრძლივება</w:t>
      </w:r>
    </w:p>
    <w:p w14:paraId="24B7153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ფლუოქსეტინით ნამკურნალებ პაციენტებში პოსტმარკეტინგული კვლევებით დაფიქსირებულია პარკუჭოვანი არითმიების შემთხვევები, მათ შორის QT ინტერვალის გახანგრძლივება და ტორსადეს დე პოინტესი. რექსეპი კომბი სიფრთხილით უნდა იქნას გამოყენებული პაციენტებში თანდაყოლილი გახანგრძლივებული QT სინდრომით; QT ინტერვალის გახანგრძლივების ანამნეზით; გახანგრძლივებული QT სინდრომის ან უეცარი კარდიალური სიკვდილის ოჯახური ანამნეზით; QT ინტერვალის გახანგრძლივებით და პარკუჭოვანი არითმიისკენ მიდრეკილების მქონე სხვა მდგომარეობებით. ასეთ მდგომარეობებს მიეკუთვნება QT ინტერვალის გახანგრძლივების ეფექტის მქონე პრეპარატების თანმხლები გამოყენება; ჰიპოკალემია ან ჰიპომაგნემია; ბოლოდროინდელი მიოკარდიუმის  ინფარქტი, არაკომპენსირებული გულის უკმარისობა, ბრადიარითმიები და სხვა მნიშვნელოვანი არითმიები; და ფლუოქსეტინის მომატებული ზემოქმედებისკენ მიდრეკილი მდგომარეობები (ჭარბი დოზირება, ღვიძლის ფუნქციის დარღვევა, CYP2D6 ინჰიბიტორების გამოყენება, CYP2D6-ის სუსტი მეტაბოლიზატორის სტატუსი ან ცილებთან შეკავშირების მაღალი ხარისხის მქონე სხვა პრეპარატების გამოყენება). ფლუოქსეტინი ძირითადად მეტაბოლიზდება CYP2D6-ით (იხილეთ ნაწილი 4.3. უკუჩვენებები, ნაწილი 4.5. ურთიერთქმედება სხვა სამკურნალო პრეპარატებთან და ურთიერთქმედების სხვა ფორმები, ნაწილი 4.8. არასასურველი ეფექტები, ნაწილი 4.9. ჭარბი დოზირება და მკურნალობა და 5. ფარმაკოლოგიური თვისებები).</w:t>
      </w:r>
    </w:p>
    <w:p w14:paraId="1EB4A52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პიმოზიდი და თიორიდაზინი არ უნდა იქნას გამოყენებული რექსეპი კომბისთან ერთად. QT ინტერვალის გამახანგრძლივებელი პრეპარატების ერთდროული გამოყენება თავიდან უნდა იქნას აცილებული. მათ მიეკუთვნება სპეციფიკური ანტიფსიქოზური საშუალებები (მაგ. ზიპრასიდონი, ილოპერიდონი, ქლორპრომაზინი, მეზორიდაზინი, დროპერიდოლი); სპეციფიკური ანტიბიოტიკები (მაგ. ერითრომიცინი, გატიფლოქსაცინი, მოქსიფლოქსაცინი, სპარფლოქსაცინი); IA კლასის ანტიარითმული პრეპარატები (მაგ. ქინიდინი, პროკაინამიდი); III კლასის ანტიარითმული პრეპარატები (მაგ. ამიოდარონი, სოტალოლი); და სხვა (მაგ. პენტამიდინი, ლევომეტადილ აცეტატი, მეტადონი, ჰალოფანტრინი, მეფლოქინი, დოლასეტრონის მეზილატი, პრობუკოლი ან ტაკროლიმუსი) (იხილეთ ნაწილი 4.5. ურთიერთქმედება სხვა სამკურნალო პრეპარატებთან და ურთიერთქმედების სხვა ფორმები და 5. ფარმაკოლოგიური თვისებები).</w:t>
      </w:r>
    </w:p>
    <w:p w14:paraId="1330DDC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თუ რექსეპი კომბით მკურნალობა იწყება QT ინტერვალის გახანგრძლივების და პარკუჭოვანი არითმიების რისკ-ფაქტორების მქონე პაციენტებში, უნდა განიხილებოდეს ეკგ-ს შეფასება და ეკგ-ს პერიოდული მონიტორინგი. თუ პაციენტებს განუვითარდებათ პარკუჭოვანი არითმიის შესაბამისი ნიშნები ან სიმპტომები, განიხილეთ რექსეპი კომბის მიღების შეწყვეტა და კარდიოლოგიური შეფასების ჩატარება.</w:t>
      </w:r>
    </w:p>
    <w:p w14:paraId="54B7F002" w14:textId="77777777" w:rsidR="008B1423" w:rsidRPr="00BE4F57" w:rsidRDefault="008B1423" w:rsidP="00A14CA6">
      <w:pPr>
        <w:spacing w:after="0" w:line="240" w:lineRule="auto"/>
        <w:jc w:val="both"/>
        <w:rPr>
          <w:rFonts w:ascii="Sylfaen" w:hAnsi="Sylfaen"/>
          <w:sz w:val="24"/>
          <w:szCs w:val="24"/>
          <w:lang w:val="ka-GE"/>
        </w:rPr>
      </w:pPr>
    </w:p>
    <w:p w14:paraId="2F7F4DB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 xml:space="preserve">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აღინიშნებოდა QTc ინტერვალში სტატისტიკურად მნიშვნელოვანი განსხვავება ოლანზაპინის და ფლუოქსეტინის კომბინაციით ნამკურნალებ პაციენტებში პლაცებოს მიმღებ პაციენტებთან შედარებით: </w:t>
      </w:r>
      <w:r w:rsidRPr="00BE4F57">
        <w:rPr>
          <w:rFonts w:ascii="Sylfaen" w:hAnsi="Sylfaen" w:cs="Sylfaen"/>
          <w:sz w:val="24"/>
          <w:szCs w:val="24"/>
          <w:lang w:val="ka-GE"/>
        </w:rPr>
        <w:t>ოლანზაპინისა</w:t>
      </w:r>
      <w:r w:rsidRPr="00BE4F57">
        <w:rPr>
          <w:rFonts w:ascii="Sylfaen" w:hAnsi="Sylfaen"/>
          <w:sz w:val="24"/>
          <w:szCs w:val="24"/>
          <w:lang w:val="ka-GE"/>
        </w:rPr>
        <w:t xml:space="preserve"> </w:t>
      </w:r>
      <w:r w:rsidRPr="00BE4F57">
        <w:rPr>
          <w:rFonts w:ascii="Sylfaen" w:hAnsi="Sylfaen" w:cs="Sylfaen"/>
          <w:sz w:val="24"/>
          <w:szCs w:val="24"/>
          <w:lang w:val="ka-GE"/>
        </w:rPr>
        <w:t>და</w:t>
      </w:r>
      <w:r w:rsidRPr="00BE4F57">
        <w:rPr>
          <w:rFonts w:ascii="Sylfaen" w:hAnsi="Sylfaen"/>
          <w:sz w:val="24"/>
          <w:szCs w:val="24"/>
          <w:lang w:val="ka-GE"/>
        </w:rPr>
        <w:t xml:space="preserve"> </w:t>
      </w:r>
      <w:r w:rsidRPr="00BE4F57">
        <w:rPr>
          <w:rFonts w:ascii="Sylfaen" w:hAnsi="Sylfaen" w:cs="Sylfaen"/>
          <w:sz w:val="24"/>
          <w:szCs w:val="24"/>
          <w:lang w:val="ka-GE"/>
        </w:rPr>
        <w:t>ფლუოქსეტინის</w:t>
      </w:r>
      <w:r w:rsidRPr="00BE4F57">
        <w:rPr>
          <w:rFonts w:ascii="Sylfaen" w:hAnsi="Sylfaen"/>
          <w:sz w:val="24"/>
          <w:szCs w:val="24"/>
          <w:lang w:val="ka-GE"/>
        </w:rPr>
        <w:t xml:space="preserve"> </w:t>
      </w:r>
      <w:r w:rsidRPr="00BE4F57">
        <w:rPr>
          <w:rFonts w:ascii="Sylfaen" w:hAnsi="Sylfaen" w:cs="Sylfaen"/>
          <w:sz w:val="24"/>
          <w:szCs w:val="24"/>
          <w:lang w:val="ka-GE"/>
        </w:rPr>
        <w:t>კომბინაციით</w:t>
      </w:r>
      <w:r w:rsidRPr="00BE4F57">
        <w:rPr>
          <w:rFonts w:ascii="Sylfaen" w:hAnsi="Sylfaen"/>
          <w:sz w:val="24"/>
          <w:szCs w:val="24"/>
          <w:lang w:val="ka-GE"/>
        </w:rPr>
        <w:t xml:space="preserve"> </w:t>
      </w:r>
      <w:r w:rsidRPr="00BE4F57">
        <w:rPr>
          <w:rFonts w:ascii="Sylfaen" w:hAnsi="Sylfaen" w:cs="Sylfaen"/>
          <w:sz w:val="24"/>
          <w:szCs w:val="24"/>
          <w:lang w:val="ka-GE"/>
        </w:rPr>
        <w:t>ნამკურნალებ</w:t>
      </w:r>
      <w:r w:rsidRPr="00BE4F57">
        <w:rPr>
          <w:rFonts w:ascii="Sylfaen" w:hAnsi="Sylfaen"/>
          <w:sz w:val="24"/>
          <w:szCs w:val="24"/>
          <w:lang w:val="ka-GE"/>
        </w:rPr>
        <w:t xml:space="preserve"> </w:t>
      </w:r>
      <w:r w:rsidRPr="00BE4F57">
        <w:rPr>
          <w:rFonts w:ascii="Sylfaen" w:hAnsi="Sylfaen" w:cs="Sylfaen"/>
          <w:sz w:val="24"/>
          <w:szCs w:val="24"/>
          <w:lang w:val="ka-GE"/>
        </w:rPr>
        <w:t>პაციენტებში</w:t>
      </w:r>
      <w:r w:rsidRPr="00BE4F57">
        <w:rPr>
          <w:rFonts w:ascii="Sylfaen" w:hAnsi="Sylfaen"/>
          <w:sz w:val="24"/>
          <w:szCs w:val="24"/>
          <w:lang w:val="ka-GE"/>
        </w:rPr>
        <w:t xml:space="preserve"> QTcF-</w:t>
      </w:r>
      <w:r w:rsidRPr="00BE4F57">
        <w:rPr>
          <w:rFonts w:ascii="Sylfaen" w:hAnsi="Sylfaen" w:cs="Sylfaen"/>
          <w:sz w:val="24"/>
          <w:szCs w:val="24"/>
          <w:lang w:val="ka-GE"/>
        </w:rPr>
        <w:t>ის</w:t>
      </w:r>
      <w:r w:rsidRPr="00BE4F57">
        <w:rPr>
          <w:rFonts w:ascii="Sylfaen" w:hAnsi="Sylfaen"/>
          <w:sz w:val="24"/>
          <w:szCs w:val="24"/>
          <w:lang w:val="ka-GE"/>
        </w:rPr>
        <w:t xml:space="preserve"> (</w:t>
      </w:r>
      <w:r w:rsidRPr="00BE4F57">
        <w:rPr>
          <w:rFonts w:ascii="Sylfaen" w:hAnsi="Sylfaen" w:cs="Sylfaen"/>
          <w:sz w:val="24"/>
          <w:szCs w:val="24"/>
          <w:lang w:val="ka-GE"/>
        </w:rPr>
        <w:t>ფრიდერიციის</w:t>
      </w:r>
      <w:r w:rsidRPr="00BE4F57">
        <w:rPr>
          <w:rFonts w:ascii="Sylfaen" w:hAnsi="Sylfaen"/>
          <w:sz w:val="24"/>
          <w:szCs w:val="24"/>
          <w:lang w:val="ka-GE"/>
        </w:rPr>
        <w:t xml:space="preserve"> </w:t>
      </w:r>
      <w:r w:rsidRPr="00BE4F57">
        <w:rPr>
          <w:rFonts w:ascii="Sylfaen" w:hAnsi="Sylfaen" w:cs="Sylfaen"/>
          <w:sz w:val="24"/>
          <w:szCs w:val="24"/>
          <w:lang w:val="ka-GE"/>
        </w:rPr>
        <w:t>კორექციის</w:t>
      </w:r>
      <w:r w:rsidRPr="00BE4F57">
        <w:rPr>
          <w:rFonts w:ascii="Sylfaen" w:hAnsi="Sylfaen"/>
          <w:sz w:val="24"/>
          <w:szCs w:val="24"/>
          <w:lang w:val="ka-GE"/>
        </w:rPr>
        <w:t xml:space="preserve"> </w:t>
      </w:r>
      <w:r w:rsidRPr="00BE4F57">
        <w:rPr>
          <w:rFonts w:ascii="Sylfaen" w:hAnsi="Sylfaen" w:cs="Sylfaen"/>
          <w:sz w:val="24"/>
          <w:szCs w:val="24"/>
          <w:lang w:val="ka-GE"/>
        </w:rPr>
        <w:t>ფაქტორი</w:t>
      </w:r>
      <w:r w:rsidRPr="00BE4F57">
        <w:rPr>
          <w:rFonts w:ascii="Sylfaen" w:hAnsi="Sylfaen"/>
          <w:sz w:val="24"/>
          <w:szCs w:val="24"/>
          <w:lang w:val="ka-GE"/>
        </w:rPr>
        <w:t xml:space="preserve">) </w:t>
      </w:r>
      <w:r w:rsidRPr="00BE4F57">
        <w:rPr>
          <w:rFonts w:ascii="Sylfaen" w:hAnsi="Sylfaen" w:cs="Sylfaen"/>
          <w:sz w:val="24"/>
          <w:szCs w:val="24"/>
          <w:lang w:val="ka-GE"/>
        </w:rPr>
        <w:t>საშუალო</w:t>
      </w:r>
      <w:r w:rsidRPr="00BE4F57">
        <w:rPr>
          <w:rFonts w:ascii="Sylfaen" w:hAnsi="Sylfaen"/>
          <w:sz w:val="24"/>
          <w:szCs w:val="24"/>
          <w:lang w:val="ka-GE"/>
        </w:rPr>
        <w:t xml:space="preserve"> </w:t>
      </w:r>
      <w:r w:rsidRPr="00BE4F57">
        <w:rPr>
          <w:rFonts w:ascii="Sylfaen" w:hAnsi="Sylfaen" w:cs="Sylfaen"/>
          <w:sz w:val="24"/>
          <w:szCs w:val="24"/>
          <w:lang w:val="ka-GE"/>
        </w:rPr>
        <w:t>ცვლილება</w:t>
      </w:r>
      <w:r w:rsidRPr="00BE4F57">
        <w:rPr>
          <w:rFonts w:ascii="Sylfaen" w:hAnsi="Sylfaen"/>
          <w:sz w:val="24"/>
          <w:szCs w:val="24"/>
          <w:lang w:val="ka-GE"/>
        </w:rPr>
        <w:t xml:space="preserve"> </w:t>
      </w:r>
      <w:r w:rsidRPr="00BE4F57">
        <w:rPr>
          <w:rFonts w:ascii="Sylfaen" w:hAnsi="Sylfaen" w:cs="Sylfaen"/>
          <w:sz w:val="24"/>
          <w:szCs w:val="24"/>
          <w:lang w:val="ka-GE"/>
        </w:rPr>
        <w:t>საწყისი</w:t>
      </w:r>
      <w:r w:rsidRPr="00BE4F57">
        <w:rPr>
          <w:rFonts w:ascii="Sylfaen" w:hAnsi="Sylfaen"/>
          <w:sz w:val="24"/>
          <w:szCs w:val="24"/>
          <w:lang w:val="ka-GE"/>
        </w:rPr>
        <w:t xml:space="preserve"> </w:t>
      </w:r>
      <w:r w:rsidRPr="00BE4F57">
        <w:rPr>
          <w:rFonts w:ascii="Sylfaen" w:hAnsi="Sylfaen" w:cs="Sylfaen"/>
          <w:sz w:val="24"/>
          <w:szCs w:val="24"/>
          <w:lang w:val="ka-GE"/>
        </w:rPr>
        <w:t>წერტილიდან</w:t>
      </w:r>
      <w:r w:rsidRPr="00BE4F57">
        <w:rPr>
          <w:rFonts w:ascii="Sylfaen" w:hAnsi="Sylfaen"/>
          <w:sz w:val="24"/>
          <w:szCs w:val="24"/>
          <w:lang w:val="ka-GE"/>
        </w:rPr>
        <w:t xml:space="preserve"> </w:t>
      </w:r>
      <w:r w:rsidRPr="00BE4F57">
        <w:rPr>
          <w:rFonts w:ascii="Sylfaen" w:hAnsi="Sylfaen" w:cs="Sylfaen"/>
          <w:sz w:val="24"/>
          <w:szCs w:val="24"/>
          <w:lang w:val="ka-GE"/>
        </w:rPr>
        <w:t>საბოლოო</w:t>
      </w:r>
      <w:r w:rsidRPr="00BE4F57">
        <w:rPr>
          <w:rFonts w:ascii="Sylfaen" w:hAnsi="Sylfaen"/>
          <w:sz w:val="24"/>
          <w:szCs w:val="24"/>
          <w:lang w:val="ka-GE"/>
        </w:rPr>
        <w:t xml:space="preserve"> </w:t>
      </w:r>
      <w:r w:rsidRPr="00BE4F57">
        <w:rPr>
          <w:rFonts w:ascii="Sylfaen" w:hAnsi="Sylfaen" w:cs="Sylfaen"/>
          <w:sz w:val="24"/>
          <w:szCs w:val="24"/>
          <w:lang w:val="ka-GE"/>
        </w:rPr>
        <w:t>წერტილამდე</w:t>
      </w:r>
      <w:r w:rsidRPr="00BE4F57">
        <w:rPr>
          <w:rFonts w:ascii="Sylfaen" w:hAnsi="Sylfaen"/>
          <w:sz w:val="24"/>
          <w:szCs w:val="24"/>
          <w:lang w:val="ka-GE"/>
        </w:rPr>
        <w:t xml:space="preserve"> </w:t>
      </w:r>
      <w:r w:rsidRPr="00BE4F57">
        <w:rPr>
          <w:rFonts w:ascii="Sylfaen" w:hAnsi="Sylfaen" w:cs="Sylfaen"/>
          <w:sz w:val="24"/>
          <w:szCs w:val="24"/>
          <w:lang w:val="ka-GE"/>
        </w:rPr>
        <w:t>იყო</w:t>
      </w:r>
      <w:r w:rsidRPr="00BE4F57">
        <w:rPr>
          <w:rFonts w:ascii="Sylfaen" w:hAnsi="Sylfaen"/>
          <w:sz w:val="24"/>
          <w:szCs w:val="24"/>
          <w:lang w:val="ka-GE"/>
        </w:rPr>
        <w:t xml:space="preserve"> 8.2 </w:t>
      </w:r>
      <w:r w:rsidRPr="00BE4F57">
        <w:rPr>
          <w:rFonts w:ascii="Sylfaen" w:hAnsi="Sylfaen" w:cs="Sylfaen"/>
          <w:sz w:val="24"/>
          <w:szCs w:val="24"/>
          <w:lang w:val="ka-GE"/>
        </w:rPr>
        <w:t>მილიწამი</w:t>
      </w:r>
      <w:r w:rsidRPr="00BE4F57">
        <w:rPr>
          <w:rFonts w:ascii="Sylfaen" w:hAnsi="Sylfaen"/>
          <w:sz w:val="24"/>
          <w:szCs w:val="24"/>
          <w:lang w:val="ka-GE"/>
        </w:rPr>
        <w:t xml:space="preserve"> (95% CI 6.2, 10.2). </w:t>
      </w:r>
      <w:r w:rsidRPr="00BE4F57">
        <w:rPr>
          <w:rFonts w:ascii="Sylfaen" w:hAnsi="Sylfaen" w:cs="Sylfaen"/>
          <w:sz w:val="24"/>
          <w:szCs w:val="24"/>
          <w:lang w:val="ka-GE"/>
        </w:rPr>
        <w:t>არც ერთ</w:t>
      </w:r>
      <w:r w:rsidRPr="00BE4F57">
        <w:rPr>
          <w:rFonts w:ascii="Sylfaen" w:hAnsi="Sylfaen"/>
          <w:sz w:val="24"/>
          <w:szCs w:val="24"/>
          <w:lang w:val="ka-GE"/>
        </w:rPr>
        <w:t xml:space="preserve"> </w:t>
      </w:r>
      <w:r w:rsidRPr="00BE4F57">
        <w:rPr>
          <w:rFonts w:ascii="Sylfaen" w:hAnsi="Sylfaen" w:cs="Sylfaen"/>
          <w:sz w:val="24"/>
          <w:szCs w:val="24"/>
          <w:lang w:val="ka-GE"/>
        </w:rPr>
        <w:t>პაციენტს</w:t>
      </w:r>
      <w:r w:rsidRPr="00BE4F57">
        <w:rPr>
          <w:rFonts w:ascii="Sylfaen" w:hAnsi="Sylfaen"/>
          <w:sz w:val="24"/>
          <w:szCs w:val="24"/>
          <w:lang w:val="ka-GE"/>
        </w:rPr>
        <w:t xml:space="preserve"> </w:t>
      </w:r>
      <w:r w:rsidRPr="00BE4F57">
        <w:rPr>
          <w:rFonts w:ascii="Sylfaen" w:hAnsi="Sylfaen" w:cs="Sylfaen"/>
          <w:sz w:val="24"/>
          <w:szCs w:val="24"/>
          <w:lang w:val="ka-GE"/>
        </w:rPr>
        <w:t>არ</w:t>
      </w:r>
      <w:r w:rsidRPr="00BE4F57">
        <w:rPr>
          <w:rFonts w:ascii="Sylfaen" w:hAnsi="Sylfaen"/>
          <w:sz w:val="24"/>
          <w:szCs w:val="24"/>
          <w:lang w:val="ka-GE"/>
        </w:rPr>
        <w:t xml:space="preserve"> </w:t>
      </w:r>
      <w:r w:rsidRPr="00BE4F57">
        <w:rPr>
          <w:rFonts w:ascii="Sylfaen" w:hAnsi="Sylfaen" w:cs="Sylfaen"/>
          <w:sz w:val="24"/>
          <w:szCs w:val="24"/>
          <w:lang w:val="ka-GE"/>
        </w:rPr>
        <w:t>განუვითარდა</w:t>
      </w:r>
      <w:r w:rsidRPr="00BE4F57">
        <w:rPr>
          <w:rFonts w:ascii="Sylfaen" w:hAnsi="Sylfaen"/>
          <w:sz w:val="24"/>
          <w:szCs w:val="24"/>
          <w:lang w:val="ka-GE"/>
        </w:rPr>
        <w:t xml:space="preserve"> QTc-</w:t>
      </w:r>
      <w:r w:rsidRPr="00BE4F57">
        <w:rPr>
          <w:rFonts w:ascii="Sylfaen" w:hAnsi="Sylfaen" w:cs="Sylfaen"/>
          <w:sz w:val="24"/>
          <w:szCs w:val="24"/>
          <w:lang w:val="ka-GE"/>
        </w:rPr>
        <w:t>ის</w:t>
      </w:r>
      <w:r w:rsidRPr="00BE4F57">
        <w:rPr>
          <w:rFonts w:ascii="Sylfaen" w:hAnsi="Sylfaen"/>
          <w:sz w:val="24"/>
          <w:szCs w:val="24"/>
          <w:lang w:val="ka-GE"/>
        </w:rPr>
        <w:t xml:space="preserve"> ≥60 </w:t>
      </w:r>
      <w:r w:rsidRPr="00BE4F57">
        <w:rPr>
          <w:rFonts w:ascii="Sylfaen" w:hAnsi="Sylfaen" w:cs="Sylfaen"/>
          <w:sz w:val="24"/>
          <w:szCs w:val="24"/>
          <w:lang w:val="ka-GE"/>
        </w:rPr>
        <w:t>მილიწამიანი</w:t>
      </w:r>
      <w:r w:rsidRPr="00BE4F57">
        <w:rPr>
          <w:rFonts w:ascii="Sylfaen" w:hAnsi="Sylfaen"/>
          <w:sz w:val="24"/>
          <w:szCs w:val="24"/>
          <w:lang w:val="ka-GE"/>
        </w:rPr>
        <w:t xml:space="preserve"> </w:t>
      </w:r>
      <w:r w:rsidRPr="00BE4F57">
        <w:rPr>
          <w:rFonts w:ascii="Sylfaen" w:hAnsi="Sylfaen" w:cs="Sylfaen"/>
          <w:sz w:val="24"/>
          <w:szCs w:val="24"/>
          <w:lang w:val="ka-GE"/>
        </w:rPr>
        <w:t>ან</w:t>
      </w:r>
      <w:r w:rsidRPr="00BE4F57">
        <w:rPr>
          <w:rFonts w:ascii="Sylfaen" w:hAnsi="Sylfaen"/>
          <w:sz w:val="24"/>
          <w:szCs w:val="24"/>
          <w:lang w:val="ka-GE"/>
        </w:rPr>
        <w:t xml:space="preserve"> QTc-</w:t>
      </w:r>
      <w:r w:rsidRPr="00BE4F57">
        <w:rPr>
          <w:rFonts w:ascii="Sylfaen" w:hAnsi="Sylfaen" w:cs="Sylfaen"/>
          <w:sz w:val="24"/>
          <w:szCs w:val="24"/>
          <w:lang w:val="ka-GE"/>
        </w:rPr>
        <w:t>ის</w:t>
      </w:r>
      <w:r w:rsidRPr="00BE4F57">
        <w:rPr>
          <w:rFonts w:ascii="Sylfaen" w:hAnsi="Sylfaen"/>
          <w:sz w:val="24"/>
          <w:szCs w:val="24"/>
          <w:lang w:val="ka-GE"/>
        </w:rPr>
        <w:t xml:space="preserve"> ≥480 </w:t>
      </w:r>
      <w:r w:rsidRPr="00BE4F57">
        <w:rPr>
          <w:rFonts w:ascii="Sylfaen" w:hAnsi="Sylfaen" w:cs="Sylfaen"/>
          <w:sz w:val="24"/>
          <w:szCs w:val="24"/>
          <w:lang w:val="ka-GE"/>
        </w:rPr>
        <w:t>მილიწამიანი</w:t>
      </w:r>
      <w:r w:rsidRPr="00BE4F57">
        <w:rPr>
          <w:rFonts w:ascii="Sylfaen" w:hAnsi="Sylfaen"/>
          <w:sz w:val="24"/>
          <w:szCs w:val="24"/>
          <w:lang w:val="ka-GE"/>
        </w:rPr>
        <w:t xml:space="preserve"> </w:t>
      </w:r>
      <w:r w:rsidRPr="00BE4F57">
        <w:rPr>
          <w:rFonts w:ascii="Sylfaen" w:hAnsi="Sylfaen" w:cs="Sylfaen"/>
          <w:sz w:val="24"/>
          <w:szCs w:val="24"/>
          <w:lang w:val="ka-GE"/>
        </w:rPr>
        <w:t>ზრდა</w:t>
      </w:r>
      <w:r w:rsidRPr="00BE4F57">
        <w:rPr>
          <w:rFonts w:ascii="Sylfaen" w:hAnsi="Sylfaen"/>
          <w:sz w:val="24"/>
          <w:szCs w:val="24"/>
          <w:lang w:val="ka-GE"/>
        </w:rPr>
        <w:t xml:space="preserve">. </w:t>
      </w:r>
      <w:r w:rsidRPr="00BE4F57">
        <w:rPr>
          <w:rFonts w:ascii="Sylfaen" w:hAnsi="Sylfaen" w:cs="Sylfaen"/>
          <w:sz w:val="24"/>
          <w:szCs w:val="24"/>
          <w:lang w:val="ka-GE"/>
        </w:rPr>
        <w:t>კლინიცისტებმა</w:t>
      </w:r>
      <w:r w:rsidRPr="00BE4F57">
        <w:rPr>
          <w:rFonts w:ascii="Sylfaen" w:hAnsi="Sylfaen"/>
          <w:sz w:val="24"/>
          <w:szCs w:val="24"/>
          <w:lang w:val="ka-GE"/>
        </w:rPr>
        <w:t xml:space="preserve"> რექსეპი კომბი </w:t>
      </w:r>
      <w:r w:rsidRPr="00BE4F57">
        <w:rPr>
          <w:rFonts w:ascii="Sylfaen" w:hAnsi="Sylfaen" w:cs="Sylfaen"/>
          <w:sz w:val="24"/>
          <w:szCs w:val="24"/>
          <w:lang w:val="ka-GE"/>
        </w:rPr>
        <w:t>სიფრთხილით</w:t>
      </w:r>
      <w:r w:rsidRPr="00BE4F57">
        <w:rPr>
          <w:rFonts w:ascii="Sylfaen" w:hAnsi="Sylfaen"/>
          <w:sz w:val="24"/>
          <w:szCs w:val="24"/>
          <w:lang w:val="ka-GE"/>
        </w:rPr>
        <w:t xml:space="preserve"> </w:t>
      </w:r>
      <w:r w:rsidRPr="00BE4F57">
        <w:rPr>
          <w:rFonts w:ascii="Sylfaen" w:hAnsi="Sylfaen" w:cs="Sylfaen"/>
          <w:sz w:val="24"/>
          <w:szCs w:val="24"/>
          <w:lang w:val="ka-GE"/>
        </w:rPr>
        <w:t>უნდა</w:t>
      </w:r>
      <w:r w:rsidRPr="00BE4F57">
        <w:rPr>
          <w:rFonts w:ascii="Sylfaen" w:hAnsi="Sylfaen"/>
          <w:sz w:val="24"/>
          <w:szCs w:val="24"/>
          <w:lang w:val="ka-GE"/>
        </w:rPr>
        <w:t xml:space="preserve"> </w:t>
      </w:r>
      <w:r w:rsidRPr="00BE4F57">
        <w:rPr>
          <w:rFonts w:ascii="Sylfaen" w:hAnsi="Sylfaen" w:cs="Sylfaen"/>
          <w:sz w:val="24"/>
          <w:szCs w:val="24"/>
          <w:lang w:val="ka-GE"/>
        </w:rPr>
        <w:t>გამოიყენონ</w:t>
      </w:r>
      <w:r w:rsidRPr="00BE4F57">
        <w:rPr>
          <w:rFonts w:ascii="Sylfaen" w:hAnsi="Sylfaen"/>
          <w:sz w:val="24"/>
          <w:szCs w:val="24"/>
          <w:lang w:val="ka-GE"/>
        </w:rPr>
        <w:t xml:space="preserve"> </w:t>
      </w:r>
      <w:r w:rsidRPr="00BE4F57">
        <w:rPr>
          <w:rFonts w:ascii="Sylfaen" w:hAnsi="Sylfaen" w:cs="Sylfaen"/>
          <w:sz w:val="24"/>
          <w:szCs w:val="24"/>
          <w:lang w:val="ka-GE"/>
        </w:rPr>
        <w:t>ბავშვებსა</w:t>
      </w:r>
      <w:r w:rsidRPr="00BE4F57">
        <w:rPr>
          <w:rFonts w:ascii="Sylfaen" w:hAnsi="Sylfaen"/>
          <w:sz w:val="24"/>
          <w:szCs w:val="24"/>
          <w:lang w:val="ka-GE"/>
        </w:rPr>
        <w:t xml:space="preserve"> </w:t>
      </w:r>
      <w:r w:rsidRPr="00BE4F57">
        <w:rPr>
          <w:rFonts w:ascii="Sylfaen" w:hAnsi="Sylfaen" w:cs="Sylfaen"/>
          <w:sz w:val="24"/>
          <w:szCs w:val="24"/>
          <w:lang w:val="ka-GE"/>
        </w:rPr>
        <w:t>და</w:t>
      </w:r>
      <w:r w:rsidRPr="00BE4F57">
        <w:rPr>
          <w:rFonts w:ascii="Sylfaen" w:hAnsi="Sylfaen"/>
          <w:sz w:val="24"/>
          <w:szCs w:val="24"/>
          <w:lang w:val="ka-GE"/>
        </w:rPr>
        <w:t xml:space="preserve"> </w:t>
      </w:r>
      <w:r w:rsidRPr="00BE4F57">
        <w:rPr>
          <w:rFonts w:ascii="Sylfaen" w:hAnsi="Sylfaen" w:cs="Sylfaen"/>
          <w:sz w:val="24"/>
          <w:szCs w:val="24"/>
          <w:lang w:val="ka-GE"/>
        </w:rPr>
        <w:t>მოზარდებში</w:t>
      </w:r>
      <w:r w:rsidRPr="00BE4F57">
        <w:rPr>
          <w:rFonts w:ascii="Sylfaen" w:hAnsi="Sylfaen"/>
          <w:sz w:val="24"/>
          <w:szCs w:val="24"/>
          <w:lang w:val="ka-GE"/>
        </w:rPr>
        <w:t xml:space="preserve">, </w:t>
      </w:r>
      <w:r w:rsidRPr="00BE4F57">
        <w:rPr>
          <w:rFonts w:ascii="Sylfaen" w:hAnsi="Sylfaen" w:cs="Sylfaen"/>
          <w:sz w:val="24"/>
          <w:szCs w:val="24"/>
          <w:lang w:val="ka-GE"/>
        </w:rPr>
        <w:t>რომლებიც,</w:t>
      </w:r>
      <w:r w:rsidRPr="00BE4F57">
        <w:rPr>
          <w:rFonts w:ascii="Sylfaen" w:hAnsi="Sylfaen"/>
          <w:sz w:val="24"/>
          <w:szCs w:val="24"/>
          <w:lang w:val="ka-GE"/>
        </w:rPr>
        <w:t xml:space="preserve"> როგორც </w:t>
      </w:r>
      <w:r w:rsidRPr="00BE4F57">
        <w:rPr>
          <w:rFonts w:ascii="Sylfaen" w:hAnsi="Sylfaen" w:cs="Sylfaen"/>
          <w:sz w:val="24"/>
          <w:szCs w:val="24"/>
          <w:lang w:val="ka-GE"/>
        </w:rPr>
        <w:t>ცნობილია</w:t>
      </w:r>
      <w:r w:rsidRPr="00BE4F57">
        <w:rPr>
          <w:rFonts w:ascii="Sylfaen" w:hAnsi="Sylfaen"/>
          <w:sz w:val="24"/>
          <w:szCs w:val="24"/>
          <w:lang w:val="ka-GE"/>
        </w:rPr>
        <w:t xml:space="preserve">, QT </w:t>
      </w:r>
      <w:r w:rsidRPr="00BE4F57">
        <w:rPr>
          <w:rFonts w:ascii="Sylfaen" w:hAnsi="Sylfaen" w:cs="Sylfaen"/>
          <w:sz w:val="24"/>
          <w:szCs w:val="24"/>
          <w:lang w:val="ka-GE"/>
        </w:rPr>
        <w:t>ინტერვალის</w:t>
      </w:r>
      <w:r w:rsidRPr="00BE4F57">
        <w:rPr>
          <w:rFonts w:ascii="Sylfaen" w:hAnsi="Sylfaen"/>
          <w:sz w:val="24"/>
          <w:szCs w:val="24"/>
          <w:lang w:val="ka-GE"/>
        </w:rPr>
        <w:t xml:space="preserve"> </w:t>
      </w:r>
      <w:r w:rsidRPr="00BE4F57">
        <w:rPr>
          <w:rFonts w:ascii="Sylfaen" w:hAnsi="Sylfaen" w:cs="Sylfaen"/>
          <w:sz w:val="24"/>
          <w:szCs w:val="24"/>
          <w:lang w:val="ka-GE"/>
        </w:rPr>
        <w:t>გახანგრძლივების</w:t>
      </w:r>
      <w:r w:rsidRPr="00BE4F57">
        <w:rPr>
          <w:rFonts w:ascii="Sylfaen" w:hAnsi="Sylfaen"/>
          <w:sz w:val="24"/>
          <w:szCs w:val="24"/>
          <w:lang w:val="ka-GE"/>
        </w:rPr>
        <w:t xml:space="preserve"> </w:t>
      </w:r>
      <w:r w:rsidRPr="00BE4F57">
        <w:rPr>
          <w:rFonts w:ascii="Sylfaen" w:hAnsi="Sylfaen" w:cs="Sylfaen"/>
          <w:sz w:val="24"/>
          <w:szCs w:val="24"/>
          <w:lang w:val="ka-GE"/>
        </w:rPr>
        <w:t>განსაკუთრებული</w:t>
      </w:r>
      <w:r w:rsidRPr="00BE4F57">
        <w:rPr>
          <w:rFonts w:ascii="Sylfaen" w:hAnsi="Sylfaen"/>
          <w:sz w:val="24"/>
          <w:szCs w:val="24"/>
          <w:lang w:val="ka-GE"/>
        </w:rPr>
        <w:t xml:space="preserve"> </w:t>
      </w:r>
      <w:r w:rsidRPr="00BE4F57">
        <w:rPr>
          <w:rFonts w:ascii="Sylfaen" w:hAnsi="Sylfaen" w:cs="Sylfaen"/>
          <w:sz w:val="24"/>
          <w:szCs w:val="24"/>
          <w:lang w:val="ka-GE"/>
        </w:rPr>
        <w:t>რისკის</w:t>
      </w:r>
      <w:r w:rsidRPr="00BE4F57">
        <w:rPr>
          <w:rFonts w:ascii="Sylfaen" w:hAnsi="Sylfaen"/>
          <w:sz w:val="24"/>
          <w:szCs w:val="24"/>
          <w:lang w:val="ka-GE"/>
        </w:rPr>
        <w:t xml:space="preserve"> </w:t>
      </w:r>
      <w:r w:rsidRPr="00BE4F57">
        <w:rPr>
          <w:rFonts w:ascii="Sylfaen" w:hAnsi="Sylfaen" w:cs="Sylfaen"/>
          <w:sz w:val="24"/>
          <w:szCs w:val="24"/>
          <w:lang w:val="ka-GE"/>
        </w:rPr>
        <w:t>ქვეშ</w:t>
      </w:r>
      <w:r w:rsidRPr="00BE4F57">
        <w:rPr>
          <w:rFonts w:ascii="Sylfaen" w:hAnsi="Sylfaen"/>
          <w:sz w:val="24"/>
          <w:szCs w:val="24"/>
          <w:lang w:val="ka-GE"/>
        </w:rPr>
        <w:t xml:space="preserve"> </w:t>
      </w:r>
      <w:r w:rsidRPr="00BE4F57">
        <w:rPr>
          <w:rFonts w:ascii="Sylfaen" w:hAnsi="Sylfaen" w:cs="Sylfaen"/>
          <w:sz w:val="24"/>
          <w:szCs w:val="24"/>
          <w:lang w:val="ka-GE"/>
        </w:rPr>
        <w:t>არიან</w:t>
      </w:r>
      <w:r w:rsidRPr="00BE4F57">
        <w:rPr>
          <w:rFonts w:ascii="Sylfaen" w:hAnsi="Sylfaen"/>
          <w:sz w:val="24"/>
          <w:szCs w:val="24"/>
          <w:lang w:val="ka-GE"/>
        </w:rPr>
        <w:t xml:space="preserve"> (</w:t>
      </w:r>
      <w:r w:rsidRPr="00BE4F57">
        <w:rPr>
          <w:rFonts w:ascii="Sylfaen" w:hAnsi="Sylfaen" w:cs="Sylfaen"/>
          <w:sz w:val="24"/>
          <w:szCs w:val="24"/>
          <w:lang w:val="ka-GE"/>
        </w:rPr>
        <w:t>იხილეთ</w:t>
      </w:r>
      <w:r w:rsidRPr="00BE4F57">
        <w:rPr>
          <w:rFonts w:ascii="Sylfaen" w:hAnsi="Sylfaen"/>
          <w:sz w:val="24"/>
          <w:szCs w:val="24"/>
          <w:lang w:val="ka-GE"/>
        </w:rPr>
        <w:t xml:space="preserve"> </w:t>
      </w:r>
      <w:r w:rsidRPr="00BE4F57">
        <w:rPr>
          <w:rFonts w:ascii="Sylfaen" w:hAnsi="Sylfaen" w:cs="Sylfaen"/>
          <w:sz w:val="24"/>
          <w:szCs w:val="24"/>
          <w:lang w:val="ka-GE"/>
        </w:rPr>
        <w:t>ნაწილი</w:t>
      </w:r>
      <w:r w:rsidRPr="00BE4F57">
        <w:rPr>
          <w:rFonts w:ascii="Sylfaen" w:hAnsi="Sylfaen"/>
          <w:sz w:val="24"/>
          <w:szCs w:val="24"/>
          <w:lang w:val="ka-GE"/>
        </w:rPr>
        <w:t xml:space="preserve"> 4.8. </w:t>
      </w:r>
      <w:r w:rsidRPr="00BE4F57">
        <w:rPr>
          <w:rFonts w:ascii="Sylfaen" w:hAnsi="Sylfaen" w:cs="Sylfaen"/>
          <w:sz w:val="24"/>
          <w:szCs w:val="24"/>
          <w:lang w:val="ka-GE"/>
        </w:rPr>
        <w:t>არასასურველი</w:t>
      </w:r>
      <w:r w:rsidRPr="00BE4F57">
        <w:rPr>
          <w:rFonts w:ascii="Sylfaen" w:hAnsi="Sylfaen"/>
          <w:sz w:val="24"/>
          <w:szCs w:val="24"/>
          <w:lang w:val="ka-GE"/>
        </w:rPr>
        <w:t xml:space="preserve"> </w:t>
      </w:r>
      <w:r w:rsidRPr="00BE4F57">
        <w:rPr>
          <w:rFonts w:ascii="Sylfaen" w:hAnsi="Sylfaen" w:cs="Sylfaen"/>
          <w:sz w:val="24"/>
          <w:szCs w:val="24"/>
          <w:lang w:val="ka-GE"/>
        </w:rPr>
        <w:t>ეფექტები</w:t>
      </w:r>
      <w:r w:rsidRPr="00BE4F57">
        <w:rPr>
          <w:rFonts w:ascii="Sylfaen" w:hAnsi="Sylfaen"/>
          <w:sz w:val="24"/>
          <w:szCs w:val="24"/>
          <w:lang w:val="ka-GE"/>
        </w:rPr>
        <w:t>).</w:t>
      </w:r>
    </w:p>
    <w:p w14:paraId="41D5999C" w14:textId="77777777" w:rsidR="008B1423" w:rsidRPr="00BE4F57" w:rsidRDefault="008B1423" w:rsidP="00A14CA6">
      <w:pPr>
        <w:spacing w:after="0" w:line="240" w:lineRule="auto"/>
        <w:jc w:val="both"/>
        <w:rPr>
          <w:rFonts w:ascii="Sylfaen" w:hAnsi="Sylfaen"/>
          <w:sz w:val="24"/>
          <w:szCs w:val="24"/>
          <w:lang w:val="ka-GE"/>
        </w:rPr>
      </w:pPr>
    </w:p>
    <w:p w14:paraId="3A72C2A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ანტიქოლინერგული (ანტიმუსკარინული) ეფექტები</w:t>
      </w:r>
    </w:p>
    <w:p w14:paraId="5FA13C8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კომბის და მის თითოეული კომპონენტის მიმართ შეიძლება გამოყენებულ იქნას შემდეგი სიფრთხილის ზომები.</w:t>
      </w:r>
    </w:p>
    <w:p w14:paraId="479B0C8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in vitro ავლენს მუსკარინული რეცეპტორების აფინურობას. პრემარკეტინგულ კლინიკურ კვლევებში ოლანზაპინისა და ფლუოქსეტინის კომბინაციის გამოყენება ასოცირდებოდა ყაბზობასთან, პირის სიმშრალესთან და ტაქიკარდიასთან, რომლებიც, სავარაუდოდ, ქოლინერგულ ანტაგონიზმთან დაკავშირებული გვერდითი მოვლენებია. ასეთი გვერდითი რეაქციები, როგორც წესი, არ იწვევდა კვლევის შეწყვეტას; რექსეპი კომბი სიფრთხილით უნდა იქნას გამოყენებული პაციენტებში, რომლებსაც აქვთ შარდის შეკავების, კლინიკურად მნიშვნელოვანი პროსტატის ჰიპერტროფიის, ყაბზობის, პარალიზური ილეუსის ან მასთან დაკავშირებული მდგომარეობების ამჟამინდელი დიაგნოზი ან წინა ანამნეზი.</w:t>
      </w:r>
    </w:p>
    <w:p w14:paraId="223CBE49" w14:textId="77777777" w:rsidR="008B1423" w:rsidRPr="00BE4F57" w:rsidRDefault="008B1423" w:rsidP="00A14CA6">
      <w:pPr>
        <w:spacing w:after="0" w:line="240" w:lineRule="auto"/>
        <w:jc w:val="both"/>
        <w:rPr>
          <w:rFonts w:ascii="Sylfaen" w:hAnsi="Sylfaen"/>
          <w:sz w:val="24"/>
          <w:szCs w:val="24"/>
          <w:lang w:val="ka-GE"/>
        </w:rPr>
      </w:pPr>
    </w:p>
    <w:p w14:paraId="0F5CBA2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ჰიპერპროლაქტინემია</w:t>
      </w:r>
    </w:p>
    <w:p w14:paraId="735F515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როგორც სხვა პრეპარატები, რომლებიც ავლენენ ანტაგონიზმს დოფამინის D</w:t>
      </w:r>
      <w:r w:rsidRPr="00BE4F57">
        <w:rPr>
          <w:rFonts w:ascii="Sylfaen" w:hAnsi="Sylfaen"/>
          <w:sz w:val="24"/>
          <w:szCs w:val="24"/>
          <w:vertAlign w:val="subscript"/>
          <w:lang w:val="ka-GE"/>
        </w:rPr>
        <w:t>2</w:t>
      </w:r>
      <w:r w:rsidRPr="00BE4F57">
        <w:rPr>
          <w:rFonts w:ascii="Sylfaen" w:hAnsi="Sylfaen"/>
          <w:sz w:val="24"/>
          <w:szCs w:val="24"/>
          <w:lang w:val="ka-GE"/>
        </w:rPr>
        <w:t xml:space="preserve"> რეცეპტორების მიმართ, რექსეპი კომბი ზრდის პროლაქტინის დონეს და ზრდა გრძელდება მთელი მიღების განმავლობაში. ჰიპერპროლაქტინემიამ შეიძლება დათრგუნოს ჰიპოთალამუსის GnRH, რაც იწვევს ჰიპოფიზის მიერ გონადოტროპინის სეკრეციის შემცირებას. ამან შეიძლება შეაფერხოს გონადებში სტეროიდოგენეზი და შეაფერხოს რეპროდუქციული ფუნქცია როგორც ქალ, ასევე მამაკაც პაციენტებში. პროლაქტინის დონის ასამაღლებელი პრეპარატების მიმღებ პაციენტებში აღწერილია გალაქტორეა, ამენორეა, გინეკომასტია და ერექციული დისფუნქცია. ჰიპოგონადიზმთან ასოცირებულმა ხანგრძლივმა ჰიპერპროლაქტინემიამ შეიძლება გამოიწვიოს ძვლის სიმკვრივის შემცირება როგორც ქალებში, ასევე მამაკაცებში.</w:t>
      </w:r>
    </w:p>
    <w:p w14:paraId="2AC1A17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ქსოვილოვანი კულტურის ექსპერიმენტები მიუთითებს, რომ ადამიანის სარძევე ჯირკვლის კიბოს დაახლოებით ერთი მესამედი in vitro პროლაქტინდამოკიდებულია, რაც პოტენციურად მნიშვნელოვანი ფაქტორია, თუ ამ პრეპარატების დანიშვნა განიხილება პაციენტისთვის, რომელსაც ადრე აღმოაჩნდა სარძევე ჯირკვლის კიბო. როგორც ეს ხშირად ხდება, პროლაქტინის გამოყოფის გამაძლიერებელი ნაერთების შემთხვევაში, თაგვებსა და ვირთაგვებზე ჩატარებულ ოლანზაპინის კანცეროგენურობის კვლევებში სარძევე ჯირკვლის ნეოპლაზიის ზრდა აღინიშნა. გამოქვეყნებულმა ეპიდემიოლოგიურმა კვლევებმა ჰიპერპროლაქტინემიასა და სარძევე ჯირკვლის კიბოს შორის შესაძლო კავშირის შესწავლისას არათანმიმდევრული შედეგები აჩვენა.</w:t>
      </w:r>
    </w:p>
    <w:p w14:paraId="615C7174" w14:textId="77777777" w:rsidR="008B1423" w:rsidRPr="00BE4F57" w:rsidRDefault="008B1423" w:rsidP="00A14CA6">
      <w:pPr>
        <w:spacing w:after="0" w:line="240" w:lineRule="auto"/>
        <w:jc w:val="both"/>
        <w:rPr>
          <w:rFonts w:ascii="Sylfaen" w:hAnsi="Sylfaen"/>
          <w:sz w:val="24"/>
          <w:szCs w:val="24"/>
          <w:lang w:val="ka-GE"/>
        </w:rPr>
      </w:pPr>
    </w:p>
    <w:p w14:paraId="3279487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მოზრდილები</w:t>
      </w:r>
      <w:r w:rsidRPr="00BE4F57">
        <w:rPr>
          <w:rFonts w:ascii="Sylfaen" w:hAnsi="Sylfaen"/>
          <w:sz w:val="24"/>
          <w:szCs w:val="24"/>
          <w:lang w:val="ka-GE"/>
        </w:rPr>
        <w:t xml:space="preserve"> - კონტროლირებად კლინიკურ კვლევებში (12 კვირამდე) ოლანზაპინისა და ფლუოქსეტინის კომბინაციის გამოყენებით, პროლაქტინის ნორმალურიდან მაღალ კონცენტრაციამდე ცვლილებები დაფიქსირდა ოლანზაპინისა და ფლუოქსეტინის კომბინაციით ნამკურნალები მოზრდილების 28%-ში და პლაცებოთი ნამკურნალები პაციენტების 5%-ში. </w:t>
      </w:r>
      <w:r w:rsidRPr="00BE4F57">
        <w:rPr>
          <w:rFonts w:ascii="Sylfaen" w:hAnsi="Sylfaen"/>
          <w:sz w:val="24"/>
          <w:szCs w:val="24"/>
          <w:lang w:val="ka-GE"/>
        </w:rPr>
        <w:lastRenderedPageBreak/>
        <w:t>რექსეპი კომბის კონტროლირებად კლინიკურ კვლევებში (12 კვირამდე), პროლაქტინის ნორმალურიდან მაღალ კონცენტრაციამდე ცვლილებები დაფიქსირდა რექსეპი კომბით ნამკურნალები მოზრდილების 28%-ში, პლაცებოთი ნამკურნალები პაციენტების 5%-თან შედარებით. ოლანზაპინისა და ფლუოქსეტინის კომბინაციის მიღების მთელი პერიოდის განმავლობაში მომატებული მაჩვენებლები შენარჩუნდა. კლინიკური კვლევების გაერთიანებულ ანალიზში, რომელშიც მონაწილეობდა 2929 ზრდასრული ადამიანი, რომლებიც მკურნალობდნენ ოლანზაპინისა და ფლუოქსეტინის კომბინაციით, პოტენციურად მნიშვნელოვანი კლინიკური შემთხვევები მოიცავდა მენსტრუაციასთან დაკავშირებულ მოვლენებს</w:t>
      </w:r>
      <w:r w:rsidRPr="00BE4F57">
        <w:rPr>
          <w:rFonts w:ascii="Sylfaen" w:hAnsi="Sylfaen"/>
          <w:sz w:val="24"/>
          <w:szCs w:val="24"/>
          <w:vertAlign w:val="superscript"/>
          <w:lang w:val="ka-GE"/>
        </w:rPr>
        <w:t>1</w:t>
      </w:r>
      <w:r w:rsidRPr="00BE4F57">
        <w:rPr>
          <w:rFonts w:ascii="Sylfaen" w:hAnsi="Sylfaen"/>
          <w:sz w:val="24"/>
          <w:szCs w:val="24"/>
          <w:lang w:val="ka-GE"/>
        </w:rPr>
        <w:t xml:space="preserve"> (ქალების 1% [20/1946]), სექსუალურ ფუნქციასთან დაკავშირებულ მოვლენებს</w:t>
      </w:r>
      <w:r w:rsidRPr="00BE4F57">
        <w:rPr>
          <w:rFonts w:ascii="Sylfaen" w:hAnsi="Sylfaen"/>
          <w:sz w:val="24"/>
          <w:szCs w:val="24"/>
          <w:vertAlign w:val="superscript"/>
          <w:lang w:val="ka-GE"/>
        </w:rPr>
        <w:t>2</w:t>
      </w:r>
      <w:r w:rsidRPr="00BE4F57">
        <w:rPr>
          <w:rFonts w:ascii="Sylfaen" w:hAnsi="Sylfaen"/>
          <w:sz w:val="24"/>
          <w:szCs w:val="24"/>
          <w:lang w:val="ka-GE"/>
        </w:rPr>
        <w:t xml:space="preserve"> (ქალებისა და მამაკაცების 7% [192/2929]) და სარძევე ჯირკვლებთან დაკავშირებულ მოვლენებს</w:t>
      </w:r>
      <w:r w:rsidRPr="00BE4F57">
        <w:rPr>
          <w:rFonts w:ascii="Sylfaen" w:hAnsi="Sylfaen"/>
          <w:sz w:val="24"/>
          <w:szCs w:val="24"/>
          <w:vertAlign w:val="superscript"/>
          <w:lang w:val="ka-GE"/>
        </w:rPr>
        <w:t>3</w:t>
      </w:r>
      <w:r w:rsidRPr="00BE4F57">
        <w:rPr>
          <w:rFonts w:ascii="Sylfaen" w:hAnsi="Sylfaen"/>
          <w:sz w:val="24"/>
          <w:szCs w:val="24"/>
          <w:lang w:val="ka-GE"/>
        </w:rPr>
        <w:t xml:space="preserve"> (ქალების 0.8% [16/1946], მამაკაცების 0.2% [2/983]). </w:t>
      </w:r>
    </w:p>
    <w:p w14:paraId="71DD77C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ბავშვები და მოზარდები</w:t>
      </w:r>
      <w:r w:rsidRPr="00BE4F57">
        <w:rPr>
          <w:rFonts w:ascii="Sylfaen" w:hAnsi="Sylfaen"/>
          <w:sz w:val="24"/>
          <w:szCs w:val="24"/>
          <w:lang w:val="ka-GE"/>
        </w:rPr>
        <w:t xml:space="preserve"> - 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ოლანზაპინისა და ფლუოქსეტინის კომბინაცია ასოცირებული იყო პროლაქტინის სტატისტიკურად მნიშვნელოვან უფრო მაღალ საშუალო ცვლილებასთან საწყისი წერტილიდან პლაცებოსთან შედარებით (შესაბამისად, 8.7 მკგ/ლ შედარებით 0.7 მკგ/ლ-თან). მიუხედავად იმისა, რომ პროლაქტინის კონცენტრაცია ნორმაზე მაღალ ნიშნულზე იყო ძალიან ხშირად (&gt;10%) როგორც ოლანზაპინისა და ფლუოქსეტინის კომბინაციის, ასევე პლაცებოს ჯგუფებში, ეს მომატება აღინიშნა ოლანზაპინისა და ფლუოქსეტინის კომბინაციით ნამკურნალებ პაციენტთა რაოდენობაში ორჯერ მეტს, პლაცებოთი ნამკურნალებ პაციენტებთან შედარებით. ხუთ პაციენტს განუვითარდა გვერდითი მოვლენა, რომელიც შესაძლოა ყოფილიყო დაკავშირებული პროლაქტინის მომატებასთან; მათ მიეკუთვნება: დისმენორეა, გალაქტორეა და ოვულაციის დარღვევა.</w:t>
      </w:r>
    </w:p>
    <w:p w14:paraId="584843B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პროლაქტინის დონის ცვლილების ხარისხი და სიხშირე ბავშვებსა და მოზარდებში უფრო მაღალი იყო, ვიდრე ოლანზაპინისა და ფლუოქსეტინის კომბინაციით ნამკურნალებ მოზრდილ პაციენტებში, მაგრამ მსგავსი იყო იმ ცვლილების, რომელიც დაფიქსირდა ოლანზაპინით მონოთერაპიის მიმღებ მოზარდებში.</w:t>
      </w:r>
    </w:p>
    <w:p w14:paraId="675A8F3B" w14:textId="77777777" w:rsidR="008B1423" w:rsidRPr="00BE4F57" w:rsidRDefault="008B1423" w:rsidP="00A14CA6">
      <w:pPr>
        <w:spacing w:after="0" w:line="240" w:lineRule="auto"/>
        <w:jc w:val="both"/>
        <w:rPr>
          <w:rFonts w:ascii="Sylfaen" w:hAnsi="Sylfaen"/>
          <w:sz w:val="24"/>
          <w:szCs w:val="24"/>
          <w:lang w:val="ka-GE"/>
        </w:rPr>
      </w:pPr>
    </w:p>
    <w:p w14:paraId="1835BCC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მონოთერაპია ოლანზაპინით</w:t>
      </w:r>
    </w:p>
    <w:p w14:paraId="6097D8C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ოლანზაპინით კონტროლირებად კლინიკურ კვლევებში (12 კვირამდე), პროლაქტინის კონცენტრაციის ნორმალურიდან მაღალ მაჩვენებლამდე ცვლილებები დაფიქსირდა ოლანზაპინით ნამკურნალები მოზრდილების 30%-ში, პლაცებოთი ნამკურნალები მოზრდილების 10.5%-თან შედარებით. კლინიკური კვლევების გაერთიანებულ ანალიზში, რომელშიც მონაწილეობდა ოლანზაპინით ნამკურნალები 8136 მოზრდილი, პოტენციურად ასოცირებული კლინიკური გამოვლინებები მოიცავდა მენსტრუაციასთან დაკავშირებულ მოვლენებს</w:t>
      </w:r>
      <w:r w:rsidRPr="00BE4F57">
        <w:rPr>
          <w:rFonts w:ascii="Sylfaen" w:hAnsi="Sylfaen"/>
          <w:sz w:val="24"/>
          <w:szCs w:val="24"/>
          <w:vertAlign w:val="superscript"/>
          <w:lang w:val="ka-GE"/>
        </w:rPr>
        <w:t>1</w:t>
      </w:r>
      <w:r w:rsidRPr="00BE4F57">
        <w:rPr>
          <w:rFonts w:ascii="Sylfaen" w:hAnsi="Sylfaen"/>
          <w:sz w:val="24"/>
          <w:szCs w:val="24"/>
          <w:lang w:val="ka-GE"/>
        </w:rPr>
        <w:t xml:space="preserve"> (ქალთა 2% [49/3240]), სექსუალურ ფუნქციასთან დაკავშირებულ მოვლენებს</w:t>
      </w:r>
      <w:r w:rsidRPr="00BE4F57">
        <w:rPr>
          <w:rFonts w:ascii="Sylfaen" w:hAnsi="Sylfaen"/>
          <w:sz w:val="24"/>
          <w:szCs w:val="24"/>
          <w:vertAlign w:val="superscript"/>
          <w:lang w:val="ka-GE"/>
        </w:rPr>
        <w:t>2</w:t>
      </w:r>
      <w:r w:rsidRPr="00BE4F57">
        <w:rPr>
          <w:rFonts w:ascii="Sylfaen" w:hAnsi="Sylfaen"/>
          <w:sz w:val="24"/>
          <w:szCs w:val="24"/>
          <w:lang w:val="ka-GE"/>
        </w:rPr>
        <w:t xml:space="preserve"> (ქალთა და მამაკაცების 2% [150/8136]) და სარძევე ჯირკვალტან დაკავშირებულ მოვლენებს</w:t>
      </w:r>
      <w:r w:rsidRPr="00BE4F57">
        <w:rPr>
          <w:rFonts w:ascii="Sylfaen" w:hAnsi="Sylfaen"/>
          <w:sz w:val="24"/>
          <w:szCs w:val="24"/>
          <w:vertAlign w:val="superscript"/>
          <w:lang w:val="ka-GE"/>
        </w:rPr>
        <w:t xml:space="preserve">3 </w:t>
      </w:r>
      <w:r w:rsidRPr="00BE4F57">
        <w:rPr>
          <w:rFonts w:ascii="Sylfaen" w:hAnsi="Sylfaen"/>
          <w:sz w:val="24"/>
          <w:szCs w:val="24"/>
          <w:lang w:val="ka-GE"/>
        </w:rPr>
        <w:t>(ქალთა 0.7% [23/3240], მამაკაცთა 0.2% [9/4896]).</w:t>
      </w:r>
    </w:p>
    <w:p w14:paraId="3C65781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ოლანზაპინით მონოთერაპიის პლაცებო-კონტროლირებად კვლევებში (6 კვირამდე) შიზოფრენიით ან ბიპოლარული I აშლილობით (მანიაკური ან შერეული ეპიზოდები) დაავადებულ მოზარდ პაციენტებში, ნორმალურიდან მომატებულ კონცენტრაციამდე პროლაქტინი დაფიქსირდა ოლანზაპინით ნამკურნალები პაციენტების 47%-ში, პლაცებოთი ნამკურნალები პაციენტების 7%-თან შედარებით. ოლანზაპინით ნამკურნალები 454 მოზარდის მონაწილეობით ჩატარებული კლინიკური კვლევების გაერთიანებულ ანალიზში, პოტენციურად ასოცირებულ კლინიკურ ინდიკატორებს შორის იყო მენსტრუაციასთან დაკავშირებული მოვლენები</w:t>
      </w:r>
      <w:r w:rsidRPr="00BE4F57">
        <w:rPr>
          <w:rFonts w:ascii="Sylfaen" w:hAnsi="Sylfaen"/>
          <w:sz w:val="24"/>
          <w:szCs w:val="24"/>
          <w:vertAlign w:val="superscript"/>
          <w:lang w:val="ka-GE"/>
        </w:rPr>
        <w:t>1</w:t>
      </w:r>
      <w:r w:rsidRPr="00BE4F57">
        <w:rPr>
          <w:rFonts w:ascii="Sylfaen" w:hAnsi="Sylfaen"/>
          <w:sz w:val="24"/>
          <w:szCs w:val="24"/>
          <w:lang w:val="ka-GE"/>
        </w:rPr>
        <w:t xml:space="preserve"> (ქალთა 1% [2/168]), სექსუალურ ფუნქციასთან დაკავშირებული მოვლენები</w:t>
      </w:r>
      <w:r w:rsidRPr="00BE4F57">
        <w:rPr>
          <w:rFonts w:ascii="Sylfaen" w:hAnsi="Sylfaen"/>
          <w:sz w:val="24"/>
          <w:szCs w:val="24"/>
          <w:vertAlign w:val="superscript"/>
          <w:lang w:val="ka-GE"/>
        </w:rPr>
        <w:t>2</w:t>
      </w:r>
      <w:r w:rsidRPr="00BE4F57">
        <w:rPr>
          <w:rFonts w:ascii="Sylfaen" w:hAnsi="Sylfaen"/>
          <w:sz w:val="24"/>
          <w:szCs w:val="24"/>
          <w:lang w:val="ka-GE"/>
        </w:rPr>
        <w:t xml:space="preserve"> (ქალთა </w:t>
      </w:r>
      <w:r w:rsidRPr="00BE4F57">
        <w:rPr>
          <w:rFonts w:ascii="Sylfaen" w:hAnsi="Sylfaen"/>
          <w:sz w:val="24"/>
          <w:szCs w:val="24"/>
          <w:lang w:val="ka-GE"/>
        </w:rPr>
        <w:lastRenderedPageBreak/>
        <w:t>0.7% და მამაკაცთა 0.7% [3/454]) და სარძევე ჯირკვალთან დაკავშირებული მოვლენები</w:t>
      </w:r>
      <w:r w:rsidRPr="00BE4F57">
        <w:rPr>
          <w:rFonts w:ascii="Sylfaen" w:hAnsi="Sylfaen"/>
          <w:sz w:val="24"/>
          <w:szCs w:val="24"/>
          <w:vertAlign w:val="superscript"/>
          <w:lang w:val="ka-GE"/>
        </w:rPr>
        <w:t>3</w:t>
      </w:r>
      <w:r w:rsidRPr="00BE4F57">
        <w:rPr>
          <w:rFonts w:ascii="Sylfaen" w:hAnsi="Sylfaen"/>
          <w:sz w:val="24"/>
          <w:szCs w:val="24"/>
          <w:lang w:val="ka-GE"/>
        </w:rPr>
        <w:t xml:space="preserve"> [ქალთა 2% [3/168], მამაკაცთა 2% [7/286]).</w:t>
      </w:r>
    </w:p>
    <w:p w14:paraId="1BBC934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1</w:t>
      </w:r>
      <w:r w:rsidRPr="00BE4F57">
        <w:rPr>
          <w:rFonts w:ascii="Sylfaen" w:hAnsi="Sylfaen"/>
          <w:sz w:val="24"/>
          <w:szCs w:val="24"/>
          <w:lang w:val="ka-GE"/>
        </w:rPr>
        <w:t xml:space="preserve"> შემდეგი ტერმინების ძიების საფუძველზე: ამენორეა, ჰიპომენორეა, მენსტრუაციის დაგვიანება და ოლიგომენორეა.</w:t>
      </w:r>
    </w:p>
    <w:p w14:paraId="2C6AAF8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2</w:t>
      </w:r>
      <w:r w:rsidRPr="00BE4F57">
        <w:rPr>
          <w:rFonts w:ascii="Sylfaen" w:hAnsi="Sylfaen"/>
          <w:sz w:val="24"/>
          <w:szCs w:val="24"/>
          <w:lang w:val="ka-GE"/>
        </w:rPr>
        <w:t xml:space="preserve"> შემდეგი ტერმინების ძიების საფუძველზე: ანორგაზმია, ეაკულაციის დაგვიანება, ერექციული დისფუნქცია, ლიბიდოს დაქვეითება, ლიბიდოს დაკარგვა, ორგაზმის დარღვევა და სექსუალური დისფუნქცია.</w:t>
      </w:r>
    </w:p>
    <w:p w14:paraId="13DBE83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 xml:space="preserve">3 </w:t>
      </w:r>
      <w:r w:rsidRPr="00BE4F57">
        <w:rPr>
          <w:rFonts w:ascii="Sylfaen" w:hAnsi="Sylfaen"/>
          <w:sz w:val="24"/>
          <w:szCs w:val="24"/>
          <w:lang w:val="ka-GE"/>
        </w:rPr>
        <w:t xml:space="preserve"> შემდეგი ტერმინების ძიების საფუძველზე: სარძევე ჯირკვლებიდან გამონადენი, გადიდება ან შეშუპება, გალაქტორეა, გინეკომასტია და ლაქტაციის დარღვევა.</w:t>
      </w:r>
    </w:p>
    <w:p w14:paraId="76686596" w14:textId="77777777" w:rsidR="008B1423" w:rsidRPr="00BE4F57" w:rsidRDefault="008B1423" w:rsidP="00A14CA6">
      <w:pPr>
        <w:spacing w:after="0" w:line="240" w:lineRule="auto"/>
        <w:jc w:val="both"/>
        <w:rPr>
          <w:rFonts w:ascii="Sylfaen" w:hAnsi="Sylfaen"/>
          <w:sz w:val="24"/>
          <w:szCs w:val="24"/>
          <w:lang w:val="ka-GE"/>
        </w:rPr>
      </w:pPr>
    </w:p>
    <w:p w14:paraId="1E0E230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დოზის ჯგუფებს შორის პროლაქტინის მომატების თვალსაზრისით აღინიშნა განსხვავებები. ერთჯერად 8-კვირიან, რანდომიზებულ, ორმაგ ბრმა, ფიქსირებული დოზის კვლევაში, რომელშიც შედარებული იყო პერორალური ოლანზაპინი 10 (n=199), 20 (n=200) და 40 (n=200) მგ/დღეში შიზოფრენიით დაავადებულ მოზრდილ პაციენტებში, პროლაქტინის მომატების  &gt;24.2 ნგ/მლ (ქალი) ან &gt;18.77 ნგ/მლ (მამაკაცი) სიხშირემ კვლევის ნებისმიერ დროს, აჩვენა მნიშვნელოვანი განსხვავებები 10 და 40 მგ/დღეში (10 მგ/დღეში: 61.1%) შორის, და ასევე 10 და 40 მგ/დღეში და 20 და 40 მგ/დღეში შორის: 31.2%; 20 მგ/დღეში: 42.7%; 40 მგ/დღეში: 42.7%.</w:t>
      </w:r>
    </w:p>
    <w:p w14:paraId="1F61AC6A" w14:textId="77777777" w:rsidR="008B1423" w:rsidRPr="00BE4F57" w:rsidRDefault="008B1423" w:rsidP="00A14CA6">
      <w:pPr>
        <w:spacing w:after="0" w:line="240" w:lineRule="auto"/>
        <w:jc w:val="both"/>
        <w:rPr>
          <w:rFonts w:ascii="Sylfaen" w:hAnsi="Sylfaen"/>
          <w:sz w:val="24"/>
          <w:szCs w:val="24"/>
          <w:lang w:val="ka-GE"/>
        </w:rPr>
      </w:pPr>
    </w:p>
    <w:p w14:paraId="01202A3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ოლანზაპინისა და ფლუოქსეტინის სამკურნალო საშუალებების ერთდროული გამოყენება</w:t>
      </w:r>
    </w:p>
    <w:p w14:paraId="49FF387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სიფრთხილეა საჭირო, როდესაც რექსეპი კომბი ერთდროულად ინიშნება მხოლოდ ოლანზაპინისა და მხოლოდ ფლუოქსეტინის შემცველ სამკურნალო საშუალებებთან (იხილეთ ნაწილი 4.9. ჭარბი დოზირება და მკურნალობა).</w:t>
      </w:r>
    </w:p>
    <w:p w14:paraId="5F25526B" w14:textId="77777777" w:rsidR="008B1423" w:rsidRPr="00BE4F57" w:rsidRDefault="008B1423" w:rsidP="00A14CA6">
      <w:pPr>
        <w:spacing w:after="0" w:line="240" w:lineRule="auto"/>
        <w:jc w:val="both"/>
        <w:rPr>
          <w:rFonts w:ascii="Sylfaen" w:hAnsi="Sylfaen"/>
          <w:sz w:val="24"/>
          <w:szCs w:val="24"/>
          <w:lang w:val="ka-GE"/>
        </w:rPr>
      </w:pPr>
    </w:p>
    <w:p w14:paraId="35D7B27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ფლუოქსეტინის ხანგრძლივი ნახევარგამოყოფის პერიოდი</w:t>
      </w:r>
    </w:p>
    <w:p w14:paraId="2EE6E9D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ფლუოქსეტინისა და მისი ძირითადი აქტიური მეტაბოლიტის ხანგრძლივი ნახევარგამოყოფის პერიოდის გამო, დოზის ცვლილებები სრულად არ აისახება პლაზმაში რამდენიმე კვირის განმავლობაში და გავლენას მოახდენს როგორც საბოლოო დოზის ტიტრაციის სტრატეგიებზე, ასევე მკურნალობის შეწყვეტაზე. ეს არის პოტენციური შედეგი, როდესაც საჭიროა პრეპარატის მიღების შეწყვეტა ან როდესაც ფლუოქსეტინის შეწყვეტის შემდეგ ინიშნება ისეთი პრეპარატები, რომლებიც შეიძლება ურთიერთქმედებდნენ ფლუოქსეტინთან და ნორფლუოქსეტინთან (იხილეთ ნაწილი 5. ფარმაკოლოგიური თვისებები).</w:t>
      </w:r>
    </w:p>
    <w:p w14:paraId="6BA55F5A" w14:textId="77777777" w:rsidR="008B1423" w:rsidRPr="00BE4F57" w:rsidRDefault="008B1423" w:rsidP="00A14CA6">
      <w:pPr>
        <w:spacing w:after="0" w:line="240" w:lineRule="auto"/>
        <w:jc w:val="both"/>
        <w:rPr>
          <w:rFonts w:ascii="Sylfaen" w:hAnsi="Sylfaen"/>
          <w:sz w:val="24"/>
          <w:szCs w:val="24"/>
          <w:lang w:val="ka-GE"/>
        </w:rPr>
      </w:pPr>
    </w:p>
    <w:p w14:paraId="4247EAC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პრეპარატის შეწყვეტასთან დაკავშირებული გვერდითი რეაქციები</w:t>
      </w:r>
    </w:p>
    <w:p w14:paraId="5C0650C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ფლუოქსეტინის, SNRI–ების და SSRI–ების, რომელთა შემადგენლობაში შედის რექსეპი კომბიც, მარკეტინგის პერიოდში არსებობდა სპონტანური ცნობები გვერდითი რეაქციების შესახებ ამ მედიკამენტების მიღების შეწყვეტის შემდეგ, განსაკუთრებით უეცარი შეწყვეტისას, მათ შორის: დისფორიული განწყობა, გაღიზიანება, აგზნებადობა, თავბრუსხვევა, სენსორული აშლილობები (მაგ., პარესთეზიები, როგორიცაა ელექტრული შოკის შეგრძნება), შფოთვა, დაბნეულობა, თავის ტკივილი, ძილიანობა, ემოციური ლაბილობა, უძილობა და ჰიპომანია. ეს რეაქციები, როგორც წესი, სპონტანურად ქრება, მაგრამ იყო ცნობები მძიმე აბსტინენციის სიმპტომების შესახებ. პაციენტები უნდა იმყოფებოდნენ მონიტორინგის ქვეშ ამ სიმპტომების გამო ფლუოქსეტინით მკურნალობის შეწყვეტის დროს. როდესაც ეს შესაძლებელია, რეკომენდებულია დოზის თანდათანობით შემცირება, უეცარი შეწყვეტის ნაცვლად. თუ დოზის შემცირების ან მკურნალობის შეწყვეტის შემდეგ აუტანელი სიმპტომები გამოვლინდა, შეიძლება განიხილებოდეს ადრე დანიშნულ დოზაზე დაბრუნება. შემდეგ ექიმს შეუძლია გააგრძელოს დოზის შემცირება უფრო ნელი ტემპით. მკურნალობის ბოლოს, ფლუოქსეტინის და ნორფლუოქსეტინის პლაზმური კონცენტრაცია თანდათან მცირდება, რამაც შეიძლება მინიმუმამდე დაიყვანოს ამ მედიკამენტის </w:t>
      </w:r>
      <w:r w:rsidRPr="00BE4F57">
        <w:rPr>
          <w:rFonts w:ascii="Sylfaen" w:hAnsi="Sylfaen"/>
          <w:sz w:val="24"/>
          <w:szCs w:val="24"/>
          <w:lang w:val="ka-GE"/>
        </w:rPr>
        <w:lastRenderedPageBreak/>
        <w:t>შეწყვეტის სიმპტომების განვითარების რისკი (იხილეთ ნაწილი 4.2 დოზირება და გამოყენების მეთოდი).</w:t>
      </w:r>
    </w:p>
    <w:p w14:paraId="79558129" w14:textId="77777777" w:rsidR="008B1423" w:rsidRPr="00BE4F57" w:rsidRDefault="008B1423" w:rsidP="00A14CA6">
      <w:pPr>
        <w:spacing w:after="0" w:line="240" w:lineRule="auto"/>
        <w:jc w:val="both"/>
        <w:rPr>
          <w:rFonts w:ascii="Sylfaen" w:hAnsi="Sylfaen"/>
          <w:sz w:val="24"/>
          <w:szCs w:val="24"/>
          <w:lang w:val="ka-GE"/>
        </w:rPr>
      </w:pPr>
    </w:p>
    <w:p w14:paraId="6048FBC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სექსუალური დისფუნქცია</w:t>
      </w:r>
    </w:p>
    <w:p w14:paraId="6AF0D5B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SSRI–ების, მათ შორის ფლუოქსეტინის, რომელიც რექსეპი კომბის კომპონენტია, გამოყენებამ შეიძლება გამოიწვიოს სექსუალური დისფუნქციის სიმპტომები (იხილეთ ნაწილი 4.8. არასასურველი ეფექტები). რექსეპი კომბის გამოყენებამ მამრობითი სქესის პაციენტებში შეიძლება გამოიწვიოს ეაკულაციის დაგვიანება ან არარსებობა, ლიბიდოს დაქვეითება და ერექციული დისფუნქცია. რექსეპი კომბის გამოყენებამ ქალ პაციენტებში შეიძლება გამოიწვიოს ლიბიდოს დაქვეითება და ორგაზმის დაგვიანება ან არარსებობა.</w:t>
      </w:r>
    </w:p>
    <w:p w14:paraId="3442C88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რადგან სექსუალური ფუნქციის შესახებ თვითშეფასება შესაძლოა არ მოხდეს, მნიშვნელოვანია, რომ ექიმებმა რექსეპი კომბით მკურნალობის დაწყებამდე მიიღონ ინფორმაცია სექსუალური ფუნქციის შესახებ, კერძოდ, მკურნალობის დროს სექსუალური ფუნქციის ცვლილებების შესახებ. სექსუალური ფუნქციის ცვლილებების შეფასებისას მნიშვნელოვანია დეტალური ანამნეზის შეგროვება (სიმპტომების დაწყების დროის ჩათვლით), რადგან სექსუალურ სიმპტომებს შეიძლება სხვა მიზეზები ჰქონდეს, მათ შორის ფსიქიატრიული აშლილობა. მკურნალობის შესაძლო სტრატეგიები უნდა განიხილონ, რათა პაციენტებმა შეძლონ მკურნალობის შესახებ ინფორმირებული გადაწყვეტილებების მიღება.</w:t>
      </w:r>
    </w:p>
    <w:p w14:paraId="0114E71A" w14:textId="77777777" w:rsidR="008B1423" w:rsidRPr="00BE4F57" w:rsidRDefault="008B1423" w:rsidP="00A14CA6">
      <w:pPr>
        <w:spacing w:after="0" w:line="240" w:lineRule="auto"/>
        <w:jc w:val="both"/>
        <w:rPr>
          <w:rFonts w:ascii="Sylfaen" w:hAnsi="Sylfaen"/>
          <w:sz w:val="24"/>
          <w:szCs w:val="24"/>
          <w:lang w:val="ka-GE"/>
        </w:rPr>
      </w:pPr>
    </w:p>
    <w:p w14:paraId="19F2790F" w14:textId="77777777" w:rsidR="008B1423" w:rsidRPr="00BE4F57" w:rsidRDefault="008B1423" w:rsidP="00A14CA6">
      <w:pPr>
        <w:spacing w:after="0" w:line="240" w:lineRule="auto"/>
        <w:jc w:val="both"/>
        <w:rPr>
          <w:rFonts w:ascii="Sylfaen" w:hAnsi="Sylfaen"/>
          <w:b/>
          <w:sz w:val="24"/>
          <w:szCs w:val="24"/>
          <w:u w:val="single"/>
          <w:lang w:val="ka-GE"/>
        </w:rPr>
      </w:pPr>
      <w:r w:rsidRPr="00BE4F57">
        <w:rPr>
          <w:rFonts w:ascii="Sylfaen" w:hAnsi="Sylfaen"/>
          <w:b/>
          <w:sz w:val="24"/>
          <w:szCs w:val="24"/>
          <w:u w:val="single"/>
          <w:lang w:val="ka-GE"/>
        </w:rPr>
        <w:t>წამლის მიმართ დამოკიდებულება, ტოლერანტობა და ბოროტად გამოყენების პოტენციალი</w:t>
      </w:r>
    </w:p>
    <w:p w14:paraId="061AF92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კომბინაცია, ისევე როგორც ფლუოქსეტინი და ოლანზაპინი, ადამიანებში ბოროტად გამოყენების, ტოლერანტობის ან ფიზიკური დამოკიდებულების პოტენციალის თვალსაზრისით სისტემატურად არ ყოფილა შესწავლილი. მიუხედავად იმისა, რომ კლინიკურმა კვლევებმა არ გამოავლინა წამლის ძიებაზე მიმართული ქცევის ტენდენცია, ეს დაკვირვებები არ იყო სისტემატური და, ამ შეზღუდული გამოცდილების საფუძველზე, შეუძლებელია იმის პროგნოზირება, თუ რამდენად იქნება ცნს–ზე მოქმედი პრეპარატი არასწორად გამოყენებული, გადამისამართებული და/ან ბოროტად გამოყენებული მისი გამოშვების შემდეგ. შედეგად, ჯანდაცვის სპეციალისტებმა ყურადღებით უნდა შეაფასონ პაციენტები წამლის ბოროტად გამოყენების ანამნეზის მხრივ და ყურადღებით აკონტროლონ ისინი რექსეპი კომბის ბოროტად გამოყენების ან არასწორად გამოყენების ნიშნების აღმოსაჩენად (მაგ., ტოლერანტობის განვითარება, დოზის გაზრდა, წამლის ძიების ქცევა).</w:t>
      </w:r>
    </w:p>
    <w:p w14:paraId="53D56E8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ვირთაგვებსა და რეზუს მაიმუნებზე ჩატარებულ კვლევებში, რომლებიც ბოროტად გამოყენებისა და დამოკიდებულების პოტენციალის შესაფასებლად ჩატარდა, მხოლოდ ოლანზაპინს აღენიშნებოდა მწვავე დეპრესიული ეფექტი ცენტრალურ ნერვულ სისტემაზე, მაგრამ ბოროტად გამოყენების ან ფიზიკური დამოკიდებულების პოტენციალი მცირედ ან საერთოდ არ აღინიშნებოდა პერორალური მიღებისას დოზების, რომლებიც 15-ჯერამდე (ვირთაგვებში) და 8-ჯერამდე (მაიმუნებში) აღემატება მაქსიმალურ რეკომენდებულ დოზას (20 მგ) მგ/მ</w:t>
      </w:r>
      <w:r w:rsidRPr="00BE4F57">
        <w:rPr>
          <w:rFonts w:ascii="Sylfaen" w:hAnsi="Sylfaen"/>
          <w:sz w:val="24"/>
          <w:szCs w:val="24"/>
          <w:vertAlign w:val="superscript"/>
          <w:lang w:val="ka-GE"/>
        </w:rPr>
        <w:t>2</w:t>
      </w:r>
      <w:r w:rsidRPr="00BE4F57">
        <w:rPr>
          <w:rFonts w:ascii="Sylfaen" w:hAnsi="Sylfaen"/>
          <w:sz w:val="24"/>
          <w:szCs w:val="24"/>
          <w:lang w:val="ka-GE"/>
        </w:rPr>
        <w:t>-ის საფუძველზე.</w:t>
      </w:r>
    </w:p>
    <w:p w14:paraId="3DFDFDF5" w14:textId="77777777" w:rsidR="008B1423" w:rsidRPr="00BE4F57" w:rsidRDefault="008B1423" w:rsidP="00A14CA6">
      <w:pPr>
        <w:spacing w:after="0" w:line="240" w:lineRule="auto"/>
        <w:jc w:val="both"/>
        <w:rPr>
          <w:rFonts w:ascii="Sylfaen" w:hAnsi="Sylfaen"/>
          <w:sz w:val="24"/>
          <w:szCs w:val="24"/>
          <w:lang w:val="ka-GE"/>
        </w:rPr>
      </w:pPr>
    </w:p>
    <w:p w14:paraId="5404781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ეს სამკურნალო პროდუქტი შეიცავს საღებავების სახით ქინოლის ყვითელს და ყვითელ „მზის ჩასვლა“ FCF-ს. მათ შეიძლება გამოიწვიონ ალერგიული რეაქციები.</w:t>
      </w:r>
    </w:p>
    <w:p w14:paraId="4A81081D" w14:textId="77777777" w:rsidR="008B1423" w:rsidRPr="00BE4F57" w:rsidRDefault="008B1423" w:rsidP="00A14CA6">
      <w:pPr>
        <w:spacing w:after="0" w:line="240" w:lineRule="auto"/>
        <w:jc w:val="both"/>
        <w:rPr>
          <w:rFonts w:ascii="Sylfaen" w:hAnsi="Sylfaen"/>
          <w:sz w:val="24"/>
          <w:szCs w:val="24"/>
          <w:lang w:val="ka-GE"/>
        </w:rPr>
      </w:pPr>
    </w:p>
    <w:p w14:paraId="53212BF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4.5. ურთიერთქმედება სხვა სამკურნალო პრეპარატებთან და ურთიერთქმედების სხვა ფორმები</w:t>
      </w:r>
    </w:p>
    <w:p w14:paraId="3AA12828" w14:textId="77777777" w:rsidR="008B1423" w:rsidRPr="00BE4F57" w:rsidRDefault="008B1423" w:rsidP="00A14CA6">
      <w:pPr>
        <w:spacing w:after="0" w:line="240" w:lineRule="auto"/>
        <w:jc w:val="both"/>
        <w:rPr>
          <w:rFonts w:ascii="Sylfaen" w:hAnsi="Sylfaen"/>
          <w:sz w:val="24"/>
          <w:szCs w:val="24"/>
          <w:lang w:val="ka-GE"/>
        </w:rPr>
      </w:pPr>
    </w:p>
    <w:p w14:paraId="538E568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კომბინაციის სხვა პრეპარატებთან კომბინაციაში გამოყენების რისკები სისტემატურ კვლევებში ფართოდ არ არის შეფასებული. ფლუოქსეტინისა და ოლანზაპინის წამლისმიერი ურთიერთქმედების ნაწილები მიესადაგება რექსეპი კომბის. ყველა </w:t>
      </w:r>
      <w:r w:rsidRPr="00BE4F57">
        <w:rPr>
          <w:rFonts w:ascii="Sylfaen" w:hAnsi="Sylfaen"/>
          <w:sz w:val="24"/>
          <w:szCs w:val="24"/>
          <w:lang w:val="ka-GE"/>
        </w:rPr>
        <w:lastRenderedPageBreak/>
        <w:t>პრეპარატის მსგავსად, შეასძლებელია ურთიერთქმედების პოტენციალი სხვადასხვა მექანიზმით (მაგ., ფარმაკოდინამიკა, წამლის ფარმაკოკინეტიკური ინჰიბირება ან გაძლიერება და ა.შ.). ინდივიდუალური შემთხვევების შეფასებისას გასათვალისწინებელია ერთდროულად მიღებული პრეპარატების უფრო დაბალი საწყისი დოზების გამოყენება, გაზომილი ტიტრაციის სქემების გამოყენება და კლინიკური მდგომარეობის მონიტორინგი. (იხილეთ ნაწილი 5. ფარმაკოლოგიური თვისებები).</w:t>
      </w:r>
    </w:p>
    <w:p w14:paraId="169B5F21" w14:textId="77777777" w:rsidR="008B1423" w:rsidRPr="00BE4F57" w:rsidRDefault="008B1423" w:rsidP="00A14CA6">
      <w:pPr>
        <w:spacing w:after="0" w:line="240" w:lineRule="auto"/>
        <w:jc w:val="both"/>
        <w:rPr>
          <w:rFonts w:ascii="Sylfaen" w:hAnsi="Sylfaen"/>
          <w:sz w:val="24"/>
          <w:szCs w:val="24"/>
          <w:lang w:val="ka-GE"/>
        </w:rPr>
      </w:pPr>
    </w:p>
    <w:p w14:paraId="619D2AC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მონოამინ ოქსიდაზას ინჰიბიტორები (MAOI)</w:t>
      </w:r>
    </w:p>
    <w:p w14:paraId="657F4AE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 არ უნდა იქნას გამოყენებული MAOI-თან კომბინაციაში ან MAOI-ით თერაპიის შეწყვეტიდან მინიმუმ 14 დღის განმავლობაში. პაციენტებში, რომლებიც ფლუოქსეტინს იღებდნენ MAOI–თან ერთად, და პაციენტებში, რომლებმაც ახლახან შეწყვიტეს ფლუოქსეტინი და შემდეგ დაიწყეს MAOI–ით მკურნალობა, აღწერილია სერიოზული, ზოგჯერ ფატალური რეაქციების შემთხვევები (მათ შორის ჰიპერთერმია, რიგიდობა, მიოკლონუსი, ავტონომიური არასტაბილურობა სასიცოცხლო ნიშნების შესაძლო სწრაფი რყევებით და ფსიქიკური მდგომარეობის ცვლილებები, რაც მოიცავს უკიდურეს აგზნებას, რომელიც პროგრესირებს დელირიუმსა და კომაში). ზოგიერთ შემთხვევაში აღინიშნა ნეიროლეფსიური ავთვისებიანი სინდრომის მსგავსი ნიშნები. ვინაიდან ფლუოქსეტინს და მის ძირითად მეტაბოლიტს აქვთ ძალიან ხანგრძლივი ნახევარგამოყოფის პერიოდი, რექსეპი კომბის შეწყვეტის შემდეგ MAOI–ის მიღების დასაწყებად უნდა დასჭირდეს მინიმუმ 5 კვირა (შესაძლოა უფრო მეტი, განსაკუთრებით თუ ფლუოქსეტინი დანიშნულია ქრონიკულად და/ან უფრო მაღალი დოზებით).</w:t>
      </w:r>
    </w:p>
    <w:p w14:paraId="5F68FFEB" w14:textId="77777777" w:rsidR="008B1423" w:rsidRPr="00BE4F57" w:rsidRDefault="008B1423" w:rsidP="00A14CA6">
      <w:pPr>
        <w:spacing w:after="0" w:line="240" w:lineRule="auto"/>
        <w:jc w:val="both"/>
        <w:rPr>
          <w:rFonts w:ascii="Sylfaen" w:hAnsi="Sylfaen"/>
          <w:sz w:val="24"/>
          <w:szCs w:val="24"/>
          <w:lang w:val="ka-GE"/>
        </w:rPr>
      </w:pPr>
    </w:p>
    <w:p w14:paraId="5A2EB43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ცნს-ზე მოქმედი პრეპარატები</w:t>
      </w:r>
    </w:p>
    <w:p w14:paraId="4CC44D4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სიფრთხილეა დასაცავი, თუ საჭიროა რექსეპი კომბის და ცნს-ზე მოქმედი სხვა პრეპარატების ერთდროული მიღება. ინდივიდუალური შემთხვევების შეფასებისას, გასათვალისწინებელია ერთდროულად მიღებული პრეპარატების უფრო დაბალი საწყისი დოზების გამოყენება, კონსერვატიული ტიტრაციის სქემების გამოყენება და კლინიკური მდგომარეობის მონიტორინგი. (იხილეთ ნაწილი 5. ფარმაკოლოგიური თვისებები).</w:t>
      </w:r>
    </w:p>
    <w:p w14:paraId="21D5E946" w14:textId="77777777" w:rsidR="008B1423" w:rsidRPr="00BE4F57" w:rsidRDefault="008B1423" w:rsidP="00A14CA6">
      <w:pPr>
        <w:spacing w:after="0" w:line="240" w:lineRule="auto"/>
        <w:jc w:val="both"/>
        <w:rPr>
          <w:rFonts w:ascii="Sylfaen" w:hAnsi="Sylfaen"/>
          <w:sz w:val="24"/>
          <w:szCs w:val="24"/>
          <w:lang w:val="ka-GE"/>
        </w:rPr>
      </w:pPr>
    </w:p>
    <w:p w14:paraId="2662F0A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სეროტონერგული პრეპარატები</w:t>
      </w:r>
    </w:p>
    <w:p w14:paraId="3CB728C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SNRI–ების და SSRIs-ების, მათ შორის რექსეპი კომბის, მოქმედების მექანიზმისა და სეროტონინის სინდრომის გათვალისწინებით, სიფრთხილეა საჭირო რექსეპი კომბის სხვა პრეპარატებთან ერთად მიღებისას, რომლებმაც შეიძლება გავლენა მოახდინონ სეროტონერგულ ნეიროტრანსმიტერულ სისტემებზე, როგორიცაა ტრიპტანები, ლინეზოლიდი, ლითიუმი, ტრამადოლი ან კრაზანა. რექსეპი კომბის SNRI–ების, SSRIs-ების,  ან ტრიპტოფანის ერთდროული გამოყენება არ არის რეკომენდებული.</w:t>
      </w:r>
    </w:p>
    <w:p w14:paraId="59A472FF" w14:textId="77777777" w:rsidR="008B1423" w:rsidRPr="00BE4F57" w:rsidRDefault="008B1423" w:rsidP="00A14CA6">
      <w:pPr>
        <w:spacing w:after="0" w:line="240" w:lineRule="auto"/>
        <w:jc w:val="both"/>
        <w:rPr>
          <w:rFonts w:ascii="Sylfaen" w:hAnsi="Sylfaen"/>
          <w:sz w:val="24"/>
          <w:szCs w:val="24"/>
          <w:lang w:val="ka-GE"/>
        </w:rPr>
      </w:pPr>
    </w:p>
    <w:p w14:paraId="14DC818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ტრიპტანები</w:t>
      </w:r>
    </w:p>
    <w:p w14:paraId="6A619FD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SSRI-სა და ტრიპტანის გამოყენებისას სეროტონინის სინდრომის იშვიათი პოსტმარკეტინგული შემთხვევები დაფიქსირდა. თუ კლინიკურად აუცილებელია რექსეპი კომბის ტრიპტანთან ერთად მკურნალობის დროს დანიშვნა, რეკომენდებულია პაციენტზე სათანადო დაკვირვება, განსაკუთრებით მკურნალობის დაწყებისა და დოზის გაზრდის დროს.</w:t>
      </w:r>
    </w:p>
    <w:p w14:paraId="3E3DAA63" w14:textId="77777777" w:rsidR="008B1423" w:rsidRPr="00BE4F57" w:rsidRDefault="008B1423" w:rsidP="00A14CA6">
      <w:pPr>
        <w:spacing w:after="0" w:line="240" w:lineRule="auto"/>
        <w:jc w:val="both"/>
        <w:rPr>
          <w:rFonts w:ascii="Sylfaen" w:hAnsi="Sylfaen"/>
          <w:sz w:val="24"/>
          <w:szCs w:val="24"/>
          <w:lang w:val="ka-GE"/>
        </w:rPr>
      </w:pPr>
    </w:p>
    <w:p w14:paraId="5EBE630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ტრიპტოფანი</w:t>
      </w:r>
    </w:p>
    <w:p w14:paraId="48EA76F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ხუთ პაციენტს, რომლებიც იღებდნენ ფლუოქსეტინს ტრიპტოფანთან ერთად, განუვითარდა გვერდითი რეაქციები, მათ შორის აგზნებადობა, მოუსვენრობა და კუჭ-ნაწლავის ტრაქტის მხრივ დარღვევები. ტრიპტოფანთან ერთად გამოყენება არ არის რეკომენდებული.</w:t>
      </w:r>
    </w:p>
    <w:p w14:paraId="65E38127" w14:textId="77777777" w:rsidR="008B1423" w:rsidRPr="00BE4F57" w:rsidRDefault="008B1423" w:rsidP="00A14CA6">
      <w:pPr>
        <w:spacing w:after="0" w:line="240" w:lineRule="auto"/>
        <w:jc w:val="both"/>
        <w:rPr>
          <w:rFonts w:ascii="Sylfaen" w:hAnsi="Sylfaen"/>
          <w:sz w:val="24"/>
          <w:szCs w:val="24"/>
          <w:lang w:val="ka-GE"/>
        </w:rPr>
      </w:pPr>
    </w:p>
    <w:p w14:paraId="63DEACA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lastRenderedPageBreak/>
        <w:t>ჰემოსტაზზე მოქმედი პრეპარატები (მაგ., აასპ–ები, ასპირინი, ვარფარინი)</w:t>
      </w:r>
    </w:p>
    <w:p w14:paraId="70935E2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თრომბოციტების მიერ სეროტონინის გამოყოფა მნიშვნელოვან როლს ასრულებს ჰემოსტაზში. შემთხვევა-კონტროლისა და კოჰორტის დიზაინის ეპიდემიოლოგიური კვლევები, რომლებმაც აჩვენეს კავშირი სეროტონინის უკუმიტაცების ხელშემშლელი ფსიქოტროპული პრეპარატების გამოყენებასა და კუჭ-ნაწლავის ტრაქტის ზედა ნაწილიდან სისხლდენას შორის, ასევე მიუთითებს, რომ აასპ–ების ან ასპირინის ერთდროული გამოყენება იწვევს სისხლდენის პოტენციალს. როდესაც SNRI-ები ან SSRI-ები მიიღება ვარფარინთან ერთად, აღწერილია სხვადასხვა ანტიკოაგულანტური ეფექტები, მათ შორის სისხლდენის მომატება (იხილეთ ნაწილი 4.4. განსაკუთრებული გაფრთხილებები გამოყენებისას და სიფრთხილის ზომები). ვარფარინი (20 მგ ერთჯერადი დოზა) არ მოქმედებს ოლანზაპინის ფარმაკოკინეტიკაზე. ოლანზაპინის ერთჯერადი დოზები არ მოქმედებს ვარფარინის ფარმაკოკინეტიკულ თვისებებზე. რექსეპი კომბის მიღების დაწყებისას ან შეწყვეტისას ვარფარინით თერაპიის მიმღები პაციენტები უნდა იმყოფებოდნენ სათანადო მონიტორინგის ქვეშ.</w:t>
      </w:r>
    </w:p>
    <w:p w14:paraId="60911C25" w14:textId="77777777" w:rsidR="008B1423" w:rsidRPr="00BE4F57" w:rsidRDefault="008B1423" w:rsidP="00A14CA6">
      <w:pPr>
        <w:spacing w:after="0" w:line="240" w:lineRule="auto"/>
        <w:jc w:val="both"/>
        <w:rPr>
          <w:rFonts w:ascii="Sylfaen" w:hAnsi="Sylfaen"/>
          <w:sz w:val="24"/>
          <w:szCs w:val="24"/>
          <w:lang w:val="ka-GE"/>
        </w:rPr>
      </w:pPr>
    </w:p>
    <w:p w14:paraId="39F1A70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ელექტროკონვულსიური თერაპია (ECT)</w:t>
      </w:r>
    </w:p>
    <w:p w14:paraId="06A0E35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 არსებობს კლინიკური კვლევები, რომლებიც აჩვენებს ECT-სა და ფლუოქსეტინის კომბინირებული გამოყენების სარგებელს. არსებობს იშვიათი ცნობები ფლუოქსეტინით მკურნალობის მიმღებ პაციენტებში ხანგრძლივი კრუნჩხვების შესახებ. (იხილეთ ნაწილი 4.4. განსაკუთრებული გაფრთხილებები გამოყენებისას და სიფრთხილის ზომები).</w:t>
      </w:r>
    </w:p>
    <w:p w14:paraId="653DBAB2" w14:textId="77777777" w:rsidR="008B1423" w:rsidRPr="00BE4F57" w:rsidRDefault="008B1423" w:rsidP="00A14CA6">
      <w:pPr>
        <w:spacing w:after="0" w:line="240" w:lineRule="auto"/>
        <w:jc w:val="both"/>
        <w:rPr>
          <w:rFonts w:ascii="Sylfaen" w:hAnsi="Sylfaen"/>
          <w:sz w:val="24"/>
          <w:szCs w:val="24"/>
          <w:lang w:val="ka-GE"/>
        </w:rPr>
      </w:pPr>
    </w:p>
    <w:p w14:paraId="0C302CD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სხვა პრეპარატების პოტენციური გავლენა რექსეპი კომბის მოქმედებაზე</w:t>
      </w:r>
    </w:p>
    <w:p w14:paraId="2F33DB7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ბენზოდიაზეპინები</w:t>
      </w:r>
      <w:r w:rsidRPr="00BE4F57">
        <w:rPr>
          <w:rFonts w:ascii="Sylfaen" w:hAnsi="Sylfaen"/>
          <w:sz w:val="24"/>
          <w:szCs w:val="24"/>
          <w:lang w:val="ka-GE"/>
        </w:rPr>
        <w:t xml:space="preserve"> – ოლანზაპინის დიაზეპამთან ერთად მიღებამ გაზარდა ოლანზაპინის დროს გამოვლენილი ორთოსტატული ჰიპოტენზია (იხილეთ ნაწილი 4.5. ურთიერთქმედება სხვა სამკურნალო პრეპარატებთან და ურთიერთქმედების სხვა ფორმები).</w:t>
      </w:r>
    </w:p>
    <w:p w14:paraId="73781F8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1A2-ის ინდუქტორები</w:t>
      </w:r>
      <w:r w:rsidRPr="00BE4F57">
        <w:rPr>
          <w:rFonts w:ascii="Sylfaen" w:hAnsi="Sylfaen"/>
          <w:sz w:val="24"/>
          <w:szCs w:val="24"/>
          <w:lang w:val="ka-GE"/>
        </w:rPr>
        <w:t xml:space="preserve"> – კარბამაზეპინით თერაპია (200 მგ დღეში ორჯერ) იწვევს ოლანზაპინის კლირენსის დაახლოებით 50%-ით ზრდას. ეს, სავარაუდოდ, განპირობებულია იმით, რომ კარბამაზეპინი არის CYP1A2 აქტივობის ძლიერი ინდუქტორი. კარბამაზეპინის უფრო მაღალი დღიური დოზები შეიძლება იწვევდეს ოლანზაპინის კლირენსის უფრო დიდ ზრდას.</w:t>
      </w:r>
    </w:p>
    <w:p w14:paraId="625E651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ალკოჰოლი</w:t>
      </w:r>
      <w:r w:rsidRPr="00BE4F57">
        <w:rPr>
          <w:rFonts w:ascii="Sylfaen" w:hAnsi="Sylfaen"/>
          <w:sz w:val="24"/>
          <w:szCs w:val="24"/>
          <w:lang w:val="ka-GE"/>
        </w:rPr>
        <w:t xml:space="preserve"> – ეთანოლი (45 მგ/70 კგ ერთჯერადი დოზა) გავლენას არ ახდენს ოლანზაპინის ფარმაკოკინეტიკაზე. (იხილეთ ნაწილი 4.5. ურთიერთქმედება სხვა სამკურნალო პრეპარატებთან და ურთიერთქმედების სხვა ფორმები).</w:t>
      </w:r>
    </w:p>
    <w:p w14:paraId="5A58341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CYP1A2-ის ინჰიბიტორები</w:t>
      </w:r>
      <w:r w:rsidRPr="00BE4F57">
        <w:rPr>
          <w:rFonts w:ascii="Sylfaen" w:hAnsi="Sylfaen"/>
          <w:sz w:val="24"/>
          <w:szCs w:val="24"/>
          <w:lang w:val="ka-GE"/>
        </w:rPr>
        <w:t xml:space="preserve"> – ფლუვოქსამინი ამცირებს ოლანზაპინის კლირენსს. ეს იწვევს ოლანზაპინის Cmax-ის საშუალო ზრდას ფლუვოქსამინის მიღების შემდეგ 54%-ით ქალ არამწეველებში და 77%-ით მამაკაც მწეველებში. ოლანზაპინის AUC-ის საშუალო ზრდა შესაბამისად 52% და 108% შეადგენდა. რექსეპი კომბის ოლანზაპინის კომპონენტის უფრო დაბალი დოზები უნდა იქნას გათვალისწინებული პაციენტებში, რომლებიც ერთდროულად იღებენ მკურნალობას ფლუვოქსამინით.</w:t>
      </w:r>
    </w:p>
    <w:p w14:paraId="04D313F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სხვა პრეპარატების ურთიერთქმედება ოლანზაპინთან</w:t>
      </w:r>
      <w:r w:rsidRPr="00BE4F57">
        <w:rPr>
          <w:rFonts w:ascii="Sylfaen" w:hAnsi="Sylfaen"/>
          <w:sz w:val="24"/>
          <w:szCs w:val="24"/>
          <w:lang w:val="ka-GE"/>
        </w:rPr>
        <w:t xml:space="preserve"> – ფლუოქსეტინი, CYP2D6–ის ინჰიბიტორი, ოდნავ ამცირებს ოლანზაპინის კლირენსს (იხ. ნაწილი 5. ფარმაკოლოგიური თვისებები). CYP1A2 ან გლუკურონილ ტრანსფერაზას ფერმენტების ინდუქტორებმა, როგორიცაა ომეპრაზოლი და რიფამპინი, შეიძლება გამოიწვიონ ოლანზაპინის კლირენსის გაზრდა. CYP1A2 ინჰიბიტორების, როგორიცაა ფლუვოქსამინი და ზოგიერთი ფტორქინოლონური ანტიბიოტიკი, გავლენა ოლანზაპინისა და ფლუოქსეტინის კომბინაციაზე არ არის შეფასებული. მიუხედავად იმისა, რომ ოლანზაპინი მეტაბოლიზდება მრავალი ფერმენტული სისტემით, ერთი ფერმენტის ინდუქციამ ან ინჰიბირებამ შეიძლება მნიშვნელოვნად შეცვალოს ოლანზაპინის კლირენსი. ამიტომ, შეიძლება განიხილებოდეს დოზის გაზრდა (ინდუქციისთვის) ან დოზის შემცირება (ინჰიბირებისთვის) კონკრეტული პრეპარატებით.</w:t>
      </w:r>
    </w:p>
    <w:p w14:paraId="30B11098" w14:textId="77777777" w:rsidR="008B1423" w:rsidRPr="00BE4F57" w:rsidRDefault="008B1423" w:rsidP="00A14CA6">
      <w:pPr>
        <w:spacing w:after="0" w:line="240" w:lineRule="auto"/>
        <w:jc w:val="both"/>
        <w:rPr>
          <w:rFonts w:ascii="Sylfaen" w:hAnsi="Sylfaen"/>
          <w:sz w:val="24"/>
          <w:szCs w:val="24"/>
          <w:lang w:val="ka-GE"/>
        </w:rPr>
      </w:pPr>
    </w:p>
    <w:p w14:paraId="13D65D5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რექსეპი კომბის სხვა პრეპარატებზე ზემოქმედების პოტენციალი</w:t>
      </w:r>
    </w:p>
    <w:p w14:paraId="21C8202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პიმოზიდი</w:t>
      </w:r>
      <w:r w:rsidRPr="00BE4F57">
        <w:rPr>
          <w:rFonts w:ascii="Sylfaen" w:hAnsi="Sylfaen"/>
          <w:sz w:val="24"/>
          <w:szCs w:val="24"/>
          <w:lang w:val="ka-GE"/>
        </w:rPr>
        <w:t xml:space="preserve"> - რექსეპი კომბისა და პიმოზიდის ერთდროული გამოყენება უკუნაჩვენებია. პიმოზიდი ახანგრძლივებს QT ინტერვალს. რექსეპი კომბიმ შეიძლება გაზარდოს პიმოზიდის დონე CYP2D6 ინჰიბირების გზით. რექსეპი კომბიმ ასევე შეიძლება გაახანგრძლივოს QT ინტერვალი. პიმოზიდის სხვა ანტიდეპრესანტებთან კლინიკური კვლევები მიუთითებს წამლისმიერი ურთიერთქმედების ან QTc ინტერვალის გახანგრძლივების გაძლიერებაზე. მიუხედავად იმისა, რომ პიმოზიდისა და რექსეპი კომბის სპეციფიკური კვლევა არ ჩატარებულა, წამლისმიერი ურთიერთქმედების ან QTc ინტერვალის გახანგრძლივების პოტენციალი მოითხოვს პიმოზიდისა და რექსეპი კომბის ერთდროული გამოყენების შეზღუდვას. (იხილეთ ნაწილი 4.3. უკუჩვენებები, ნაწილი 4.4. განსაკუთრებული გაფრთხილებები გამოყენებისას და უსაფრთხოების ზომები და 4.5. ურთიერთქმედება სხვა სამკურნალო პრეპარატებთან და ურთიერთქმედების სხვა ფორმები).</w:t>
      </w:r>
    </w:p>
    <w:p w14:paraId="15859B69" w14:textId="77777777" w:rsidR="008B1423" w:rsidRPr="00BE4F57" w:rsidRDefault="008B1423" w:rsidP="00A14CA6">
      <w:pPr>
        <w:spacing w:after="0" w:line="240" w:lineRule="auto"/>
        <w:jc w:val="both"/>
        <w:rPr>
          <w:rFonts w:ascii="Sylfaen" w:hAnsi="Sylfaen"/>
          <w:sz w:val="24"/>
          <w:szCs w:val="24"/>
          <w:lang w:val="ka-GE"/>
        </w:rPr>
      </w:pPr>
    </w:p>
    <w:p w14:paraId="41A7C39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კარბამაზეპინი</w:t>
      </w:r>
      <w:r w:rsidRPr="00BE4F57">
        <w:rPr>
          <w:rFonts w:ascii="Sylfaen" w:hAnsi="Sylfaen"/>
          <w:sz w:val="24"/>
          <w:szCs w:val="24"/>
          <w:lang w:val="ka-GE"/>
        </w:rPr>
        <w:t xml:space="preserve"> – პაციენტებში, რომლებიც იღებენ კარბამაზეპინის სტაბილურ დოზებს, ფლუოქსეტინით თანმხლები მკურნალობის დაწყების შემდეგ განუვითარდათ პლაზმაში ანტიკონვულსანტების კონცენტრაციის მომატება და კლინიკური ანტიკონვულსანტური ტოქსიკურობა.</w:t>
      </w:r>
    </w:p>
    <w:p w14:paraId="5C0662E6" w14:textId="77777777" w:rsidR="008B1423" w:rsidRPr="00BE4F57" w:rsidRDefault="008B1423" w:rsidP="00A14CA6">
      <w:pPr>
        <w:spacing w:after="0" w:line="240" w:lineRule="auto"/>
        <w:jc w:val="both"/>
        <w:rPr>
          <w:rFonts w:ascii="Sylfaen" w:hAnsi="Sylfaen"/>
          <w:sz w:val="24"/>
          <w:szCs w:val="24"/>
          <w:lang w:val="ka-GE"/>
        </w:rPr>
      </w:pPr>
    </w:p>
    <w:p w14:paraId="7C0CE77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 xml:space="preserve">ალკოჰოლი </w:t>
      </w:r>
      <w:r w:rsidRPr="00BE4F57">
        <w:rPr>
          <w:rFonts w:ascii="Sylfaen" w:hAnsi="Sylfaen"/>
          <w:sz w:val="24"/>
          <w:szCs w:val="24"/>
          <w:lang w:val="ka-GE"/>
        </w:rPr>
        <w:t>– ეთანოლის და რექსეპი კომბის ერთდროულმა მიღებამ შეიძლება გაამწვავოს სედაცია და ორთოსტატული ჰიპოტენზია (იხ. ნაწილი 4.5. სხვა სამკურნალო პრეპარატებთან ურთიერთქმედება და ურთიერთქმედების სხვა ფორმები).</w:t>
      </w:r>
    </w:p>
    <w:p w14:paraId="1619DA17" w14:textId="77777777" w:rsidR="008B1423" w:rsidRPr="00BE4F57" w:rsidRDefault="008B1423" w:rsidP="00A14CA6">
      <w:pPr>
        <w:spacing w:after="0" w:line="240" w:lineRule="auto"/>
        <w:jc w:val="both"/>
        <w:rPr>
          <w:rFonts w:ascii="Sylfaen" w:hAnsi="Sylfaen"/>
          <w:sz w:val="24"/>
          <w:szCs w:val="24"/>
          <w:lang w:val="ka-GE"/>
        </w:rPr>
      </w:pPr>
    </w:p>
    <w:p w14:paraId="78D06E0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თიორიდაზინი</w:t>
      </w:r>
      <w:r w:rsidRPr="00BE4F57">
        <w:rPr>
          <w:rFonts w:ascii="Sylfaen" w:hAnsi="Sylfaen"/>
          <w:sz w:val="24"/>
          <w:szCs w:val="24"/>
          <w:lang w:val="ka-GE"/>
        </w:rPr>
        <w:t xml:space="preserve"> – თიორიდაზინი არ უნდა იქნას მიღებული რექსეპი კომბისთან ერთად ან რექსეპი კომბის შეწყვეტიდან სულ მცირე 5 კვირის განმავლობაში (იხ. ნაწილი 4.3. უკუჩვენებები, ნაწილი 4.4. განსაკუთრებული გაფრთხილებები გამოყენებისას და უსაფრთხოების ზომები და 4.5. ურთიერთქმედება სხვა სამკურნალო პრეპარატებთან და ურთიერთქმედების სხვა ფორმები).</w:t>
      </w:r>
    </w:p>
    <w:p w14:paraId="6F1931C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19 ჯანმრთელი მამაკაცი სუბიექტის კვლევაში, მათ შორის დებრიზოქინის 6 ნელი და 13 სწრაფი ჰიდროქსილატორის, თიორიდაზინის 25 მგ ერთჯერადი პერორალური დოზის მიღება იწვევდა ნელ ჰიდროქსილატორებში Cmax–ის 2.4-ჯერ და AUC–ის 4.5-ჯერ გაზრდას სწრაფ ჰიდროქსილატორებთან შედარებით. დებრიზოქინის ჰიდროქსილირების სიჩქარე, სავარაუდოდ, დამოკიდებულია CYP2D6 იზოენზიმის აქტივობის დონეზე. შესაბამისად, ეს კვლევა ვარაუდობს, რომ CYP2D6-ის დამთრგუნველი პრეპარატები, როგორიცაა ზოგიერთი SSRI, მათ შორის ფლუოქსეტინი, ზრდიან თიორიდაზინის პლაზმურ დონეს (იხ. ნაწილი 4.3. უკუჩვენებები).</w:t>
      </w:r>
    </w:p>
    <w:p w14:paraId="349733E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თიორიდაზინის მიღება იწვევს QTc ინტერვალის დოზადამოკიდებულ გახანგრძლივებას, რაც ასოცირდება მძიმე პარკუჭოვან არითმიებთან, როგორიცაა ტორსადეს დე პოინტეს ტიპის არითმიები და უეცარი სიკვდილი. ეს რისკი, სავარაუდოდ, გაიზრდება თიორიდაზინის მეტაბოლიზმის ფლუოქსეტინით ინდუცირებული ინჰიბირებისას (იხ. ნაწილი 4.3. უკუჩვენებები).</w:t>
      </w:r>
    </w:p>
    <w:p w14:paraId="27AED69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თიორიდაზინი არ უნდა იქნას გამოყენებული ფლუოქსეტინთან ერთად ან ფლუოქსეტინის შეწყვეტიდან სულ მცირე 5 კვირის განმავლობაში, სერიოზული პარკუჭოვანი არითმიების და უეცარი სიკვდილის რისკის გამო, რაც პოტენციურად დაკავშირებულია თიორიდაზინის პლაზმური დონის მომატებასთან (იხ. ნაწილი 4.3. უკუჩვენებები).</w:t>
      </w:r>
    </w:p>
    <w:p w14:paraId="796B6F77" w14:textId="77777777" w:rsidR="008B1423" w:rsidRPr="00BE4F57" w:rsidRDefault="008B1423" w:rsidP="00A14CA6">
      <w:pPr>
        <w:spacing w:after="0" w:line="240" w:lineRule="auto"/>
        <w:jc w:val="both"/>
        <w:rPr>
          <w:rFonts w:ascii="Sylfaen" w:hAnsi="Sylfaen"/>
          <w:sz w:val="24"/>
          <w:szCs w:val="24"/>
          <w:lang w:val="ka-GE"/>
        </w:rPr>
      </w:pPr>
    </w:p>
    <w:p w14:paraId="29A017C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ტრიციკლური ანტიდეპრესანტები (TCA)</w:t>
      </w:r>
      <w:r w:rsidRPr="00BE4F57">
        <w:rPr>
          <w:rFonts w:ascii="Sylfaen" w:hAnsi="Sylfaen"/>
          <w:sz w:val="24"/>
          <w:szCs w:val="24"/>
          <w:lang w:val="ka-GE"/>
        </w:rPr>
        <w:t xml:space="preserve"> - ოლანზაპინის ერთჯერადი დოზები გავლენას არ ახდენდა იმიპრამინის ან მისი აქტიური მეტაბოლიტის, დეზიპრამინის, ფარმაკოკინეტიკაზე.</w:t>
      </w:r>
    </w:p>
    <w:p w14:paraId="7DBDD8C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ფლუოქსეტინის 2 კვლევაში, ფლუოქსეტინთან ერთად მიღებისას, ადრე სტაბილური იმიპრამინის და დეზიპრამინის პლაზმური დონეები &gt;2-10-ჯერ გაიზარდა. ეს ეფექტი შეიძლება გაგრძელდეს </w:t>
      </w:r>
      <w:r w:rsidRPr="00BE4F57">
        <w:rPr>
          <w:rFonts w:ascii="Sylfaen" w:hAnsi="Sylfaen"/>
          <w:sz w:val="24"/>
          <w:szCs w:val="24"/>
          <w:lang w:val="ka-GE"/>
        </w:rPr>
        <w:lastRenderedPageBreak/>
        <w:t xml:space="preserve">ფლუოქსეტინის შეწყვეტის შემდეგ 3 კვირის ან მეტი ხნის განმავლობაში. ამიტომ, რექსეპი კომბისთან ერთდროული მიღებისას ან თუ რექსეპი კომბის მიღება ცოტა ხნის წინ შეწყდა, შესაძლოა საჭირო გახდეს ტრიციკლური ანტიდეპრესანტების დოზის შემცირება და პლაზმაში ტრიციკლური ანტიდეპრესანტების კონცენტრაციის დროებითი მონიტორინგი (იხილეთ ნაწილი 4.4. განსაკუთრებული გაფრთხილებები გამოყენებისას და უსაფრთხოების ზომები და ნაწილი 5. ფარმაკოლოგიური თვისებები). </w:t>
      </w:r>
    </w:p>
    <w:p w14:paraId="77324B2B" w14:textId="77777777" w:rsidR="008B1423" w:rsidRPr="00BE4F57" w:rsidRDefault="008B1423" w:rsidP="00A14CA6">
      <w:pPr>
        <w:spacing w:after="0" w:line="240" w:lineRule="auto"/>
        <w:jc w:val="both"/>
        <w:rPr>
          <w:rFonts w:ascii="Sylfaen" w:hAnsi="Sylfaen"/>
          <w:sz w:val="24"/>
          <w:szCs w:val="24"/>
          <w:lang w:val="ka-GE"/>
        </w:rPr>
      </w:pPr>
    </w:p>
    <w:p w14:paraId="5F7A9AA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ანტიჰიპერტენზიული საშუალებები</w:t>
      </w:r>
      <w:r w:rsidRPr="00BE4F57">
        <w:rPr>
          <w:rFonts w:ascii="Sylfaen" w:hAnsi="Sylfaen"/>
          <w:sz w:val="24"/>
          <w:szCs w:val="24"/>
          <w:lang w:val="ka-GE"/>
        </w:rPr>
        <w:t xml:space="preserve"> – ოლანზაპინის მიერ ჰიპოტენზიის გამოწვევის პოტენციალის გამო, რექსეპი კომბიმ შეიძლება გააძლიეროს გარკვეული ანტიჰიპერტენზიული საშუალებების ეფექტები. (იხილეთ ნაწილი 4.4. განსაკუთრებული გაფრთხილებები გამოყენებისას და უსაფრთხოების ზომები).</w:t>
      </w:r>
    </w:p>
    <w:p w14:paraId="7D8B86AD" w14:textId="77777777" w:rsidR="008B1423" w:rsidRPr="00BE4F57" w:rsidRDefault="008B1423" w:rsidP="00A14CA6">
      <w:pPr>
        <w:spacing w:after="0" w:line="240" w:lineRule="auto"/>
        <w:jc w:val="both"/>
        <w:rPr>
          <w:rFonts w:ascii="Sylfaen" w:hAnsi="Sylfaen"/>
          <w:sz w:val="24"/>
          <w:szCs w:val="24"/>
          <w:u w:val="single"/>
          <w:lang w:val="ka-GE"/>
        </w:rPr>
      </w:pPr>
    </w:p>
    <w:p w14:paraId="6CBA99C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ლევოდოპას და დოფამინის აგონისტები</w:t>
      </w:r>
      <w:r w:rsidRPr="00BE4F57">
        <w:rPr>
          <w:rFonts w:ascii="Sylfaen" w:hAnsi="Sylfaen"/>
          <w:sz w:val="24"/>
          <w:szCs w:val="24"/>
          <w:lang w:val="ka-GE"/>
        </w:rPr>
        <w:t xml:space="preserve"> - ოლანზაპინმა, რექსეპი კომბის კომპონენტმა, შეიძლება შეამციროს ლევოდოპას და დოფამინის აგონისტების ეფექტი. </w:t>
      </w:r>
    </w:p>
    <w:p w14:paraId="4DAA35BE" w14:textId="77777777" w:rsidR="008B1423" w:rsidRPr="00BE4F57" w:rsidRDefault="008B1423" w:rsidP="00A14CA6">
      <w:pPr>
        <w:spacing w:after="0" w:line="240" w:lineRule="auto"/>
        <w:jc w:val="both"/>
        <w:rPr>
          <w:rFonts w:ascii="Sylfaen" w:hAnsi="Sylfaen"/>
          <w:sz w:val="24"/>
          <w:szCs w:val="24"/>
          <w:u w:val="single"/>
          <w:lang w:val="ka-GE"/>
        </w:rPr>
      </w:pPr>
    </w:p>
    <w:p w14:paraId="15DC9AC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ბენზოდიაზეპინები</w:t>
      </w:r>
      <w:r w:rsidRPr="00BE4F57">
        <w:rPr>
          <w:rFonts w:ascii="Sylfaen" w:hAnsi="Sylfaen"/>
          <w:sz w:val="24"/>
          <w:szCs w:val="24"/>
          <w:lang w:val="ka-GE"/>
        </w:rPr>
        <w:t xml:space="preserve"> – ოლანზაპინის მრავალჯერადი დოზები გავლენას არ ახდენდა დიაზეპამის და მისი აქტიური მეტაბოლიტის N-დესმეთილდიაზეპამის ფარმაკოკინეტიკურ თვისებებზე.</w:t>
      </w:r>
    </w:p>
    <w:p w14:paraId="4B29CB0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ფლუოქსეტინთან ერთად მიღებისას, დიაზეპამის ნახევარგამოყოფის პერიოდი შეიძლება გახანგრძლივდეს ზოგიერთ პაციენტში (იხილეთ ნაწილი 5. ფარმაკოლოგიური თვისებები). ალპრაზოლამის და ფლუოქსეტინის ერთდროული მიღება იწვევს ალპრაზოლამის პლაზმური კონცენტრაციების და ფსიქომოტორული შესაძლებლობების ზრდას ალპრაზოლამის დონის მატების გამო.</w:t>
      </w:r>
    </w:p>
    <w:p w14:paraId="1D5FDC56" w14:textId="77777777" w:rsidR="008B1423" w:rsidRPr="00BE4F57" w:rsidRDefault="008B1423" w:rsidP="00A14CA6">
      <w:pPr>
        <w:spacing w:after="0" w:line="240" w:lineRule="auto"/>
        <w:jc w:val="both"/>
        <w:rPr>
          <w:rFonts w:ascii="Sylfaen" w:hAnsi="Sylfaen"/>
          <w:sz w:val="24"/>
          <w:szCs w:val="24"/>
          <w:u w:val="single"/>
          <w:lang w:val="ka-GE"/>
        </w:rPr>
      </w:pPr>
    </w:p>
    <w:p w14:paraId="0194999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კლოზაპინი</w:t>
      </w:r>
      <w:r w:rsidRPr="00BE4F57">
        <w:rPr>
          <w:rFonts w:ascii="Sylfaen" w:hAnsi="Sylfaen"/>
          <w:sz w:val="24"/>
          <w:szCs w:val="24"/>
          <w:lang w:val="ka-GE"/>
        </w:rPr>
        <w:t xml:space="preserve"> – პაციენტებში, რომლებიც ერთდროულად იღებენ ფლუოქსეტინს, დაფიქსირდა კლოზაპინის დონის მომატება სისხლში.</w:t>
      </w:r>
    </w:p>
    <w:p w14:paraId="3CD45712" w14:textId="77777777" w:rsidR="008B1423" w:rsidRPr="00BE4F57" w:rsidRDefault="008B1423" w:rsidP="00A14CA6">
      <w:pPr>
        <w:spacing w:after="0" w:line="240" w:lineRule="auto"/>
        <w:jc w:val="both"/>
        <w:rPr>
          <w:rFonts w:ascii="Sylfaen" w:hAnsi="Sylfaen"/>
          <w:sz w:val="24"/>
          <w:szCs w:val="24"/>
          <w:lang w:val="ka-GE"/>
        </w:rPr>
      </w:pPr>
    </w:p>
    <w:p w14:paraId="391D2FF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ჰალოპერიდოლი</w:t>
      </w:r>
      <w:r w:rsidRPr="00BE4F57">
        <w:rPr>
          <w:rFonts w:ascii="Sylfaen" w:hAnsi="Sylfaen"/>
          <w:sz w:val="24"/>
          <w:szCs w:val="24"/>
          <w:lang w:val="ka-GE"/>
        </w:rPr>
        <w:t xml:space="preserve"> – პაციენტებში, რომლებიც ერთდროულად იღებენ ფლუოქსეტინს, დაფიქსირდა ჰალოპერიდოლის დონის მომატება სისხლში.</w:t>
      </w:r>
    </w:p>
    <w:p w14:paraId="2FC72281" w14:textId="77777777" w:rsidR="008B1423" w:rsidRPr="00BE4F57" w:rsidRDefault="008B1423" w:rsidP="00A14CA6">
      <w:pPr>
        <w:spacing w:after="0" w:line="240" w:lineRule="auto"/>
        <w:jc w:val="both"/>
        <w:rPr>
          <w:rFonts w:ascii="Sylfaen" w:hAnsi="Sylfaen"/>
          <w:sz w:val="24"/>
          <w:szCs w:val="24"/>
          <w:lang w:val="ka-GE"/>
        </w:rPr>
      </w:pPr>
    </w:p>
    <w:p w14:paraId="058372A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ფენიტოინი</w:t>
      </w:r>
      <w:r w:rsidRPr="00BE4F57">
        <w:rPr>
          <w:rFonts w:ascii="Sylfaen" w:hAnsi="Sylfaen"/>
          <w:sz w:val="24"/>
          <w:szCs w:val="24"/>
          <w:lang w:val="ka-GE"/>
        </w:rPr>
        <w:t xml:space="preserve"> – პაციენტებში, რომლებიც იღებენ ფენიტოინის სტაბილურ დოზებს, აღინიშნა ფენიტოინის პლაზმური დონის მომატება ფენიტოინის კლინიკური ტოქსიკურობის ფონზე, ფლუოქსეტინის თანმხლები გამოყენების დაწყების შემდეგ.</w:t>
      </w:r>
    </w:p>
    <w:p w14:paraId="1ED31916" w14:textId="77777777" w:rsidR="008B1423" w:rsidRPr="00BE4F57" w:rsidRDefault="008B1423" w:rsidP="00A14CA6">
      <w:pPr>
        <w:spacing w:after="0" w:line="240" w:lineRule="auto"/>
        <w:jc w:val="both"/>
        <w:rPr>
          <w:rFonts w:ascii="Sylfaen" w:hAnsi="Sylfaen"/>
          <w:sz w:val="24"/>
          <w:szCs w:val="24"/>
          <w:lang w:val="ka-GE"/>
        </w:rPr>
      </w:pPr>
    </w:p>
    <w:p w14:paraId="23762A5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პრეპარატები, რომლებიც მეტაბოლიზდება CYP2D6-ით</w:t>
      </w:r>
      <w:r w:rsidRPr="00BE4F57">
        <w:rPr>
          <w:rFonts w:ascii="Sylfaen" w:hAnsi="Sylfaen"/>
          <w:sz w:val="24"/>
          <w:szCs w:val="24"/>
          <w:lang w:val="ka-GE"/>
        </w:rPr>
        <w:t xml:space="preserve"> – ადამიანის ღვიძლის მიკროსომების გამოყენებით ჩატარებული </w:t>
      </w:r>
      <w:r w:rsidRPr="00BE4F57">
        <w:rPr>
          <w:rFonts w:ascii="Sylfaen" w:hAnsi="Sylfaen"/>
          <w:i/>
          <w:sz w:val="24"/>
          <w:szCs w:val="24"/>
          <w:lang w:val="ka-GE"/>
        </w:rPr>
        <w:t>in vitro</w:t>
      </w:r>
      <w:r w:rsidRPr="00BE4F57">
        <w:rPr>
          <w:rFonts w:ascii="Sylfaen" w:hAnsi="Sylfaen"/>
          <w:sz w:val="24"/>
          <w:szCs w:val="24"/>
          <w:lang w:val="ka-GE"/>
        </w:rPr>
        <w:t xml:space="preserve"> კვლევები მიუთითებს, რომ ოლანზაპინს აქვს CYP2D6-ის ინჰიბირების მცირე პოტენციალი. ამგვარად, ამ ფერმენტით განპირობებული კლინიკურად მნიშვნელოვანი წამლისმიერი ურთიერთქმედების გამოწვევა ოლანზაპინის მიერ ნაკლებად სავარაუდოა.</w:t>
      </w:r>
    </w:p>
    <w:p w14:paraId="07436B82" w14:textId="77777777" w:rsidR="008B1423" w:rsidRPr="00BE4F57" w:rsidRDefault="008B1423" w:rsidP="00A14CA6">
      <w:pPr>
        <w:spacing w:after="0" w:line="240" w:lineRule="auto"/>
        <w:jc w:val="both"/>
        <w:rPr>
          <w:rFonts w:ascii="Sylfaen" w:hAnsi="Sylfaen"/>
          <w:sz w:val="24"/>
          <w:szCs w:val="24"/>
          <w:lang w:val="ka-GE"/>
        </w:rPr>
      </w:pPr>
    </w:p>
    <w:p w14:paraId="407FFF2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ფლუოქსეტინი თრგუნავს CYP2D6-ის აქტივობას და შესაძლოა გამოიწვიოს ნორმალური CYP2D6 მეტაბოლური აქტივობის მქონე პირებში სუსტი მეტაბოლიზატორების თვისებები. სიფრთხილეა საჭირო ფლუოქსეტინის გამოყენებისას სხვა პრეპარატებთან ერთად, რომლებიც მეტაბოლიზდება CYP2D6-ით, მათ შორის გარკვეულ ანტიდეპრესანტებთან (მაგ., TCA–ები), ანტიფსიქოზურ საშუალებებთან (მაგ., ფენოთიაზინები და ატიპიური პრეპარატების უმეტესობა) და ანტიარითმულ პრეპარატებთან (მაგ., პროპაფენონი, ფლეკაინიდი და სხვა) ერთად. ფლუოქსეტინის ერთდროულად მიღებისას ან ბოლო 5 კვირის განმავლობაში მისი მიღების შემთხვევაში, მკურნალობა ისეთი პრეპარატებით, რომლებიც მეტაბოლიზდება უპირატესად </w:t>
      </w:r>
      <w:r w:rsidRPr="00BE4F57">
        <w:rPr>
          <w:rFonts w:ascii="Sylfaen" w:hAnsi="Sylfaen"/>
          <w:sz w:val="24"/>
          <w:szCs w:val="24"/>
          <w:lang w:val="ka-GE"/>
        </w:rPr>
        <w:lastRenderedPageBreak/>
        <w:t>CYP2D6 სისტემით და აქვთ შედარებით ვიწრო თერაპიული ინდექსი, უნდა დაიწყოს დოზირების დიაპაზონის უფრო დაბალი დონით. თუ ფლუოქსეტინი ემატება პაციენტის მკურნალობას, რომელიც უკვე იღებს CYP2D6-ით მეტაბოლიზებულ პრეპარატს, უნდა განიხილებოდეს საწყისი დოზის შემცირების აუცილებლობა. ვიწრო თერაპიული ინდექსის მქონე პრეპარატებს (მაგ., ფლეკანიდი, პროპაფენონი, ვინბლასტინი და TCA–ები) შეუძლიათ უფრო სერიოზული პრობლემების გამოწვევა.</w:t>
      </w:r>
    </w:p>
    <w:p w14:paraId="096CDD28" w14:textId="77777777" w:rsidR="008B1423" w:rsidRPr="00BE4F57" w:rsidRDefault="008B1423" w:rsidP="00A14CA6">
      <w:pPr>
        <w:spacing w:after="0" w:line="240" w:lineRule="auto"/>
        <w:jc w:val="both"/>
        <w:rPr>
          <w:rFonts w:ascii="Sylfaen" w:hAnsi="Sylfaen"/>
          <w:sz w:val="24"/>
          <w:szCs w:val="24"/>
          <w:lang w:val="ka-GE"/>
        </w:rPr>
      </w:pPr>
    </w:p>
    <w:p w14:paraId="306CF46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პრეპარატები, რომლებიც მეტაბოლიზდება CYP3A-თი</w:t>
      </w:r>
      <w:r w:rsidRPr="00BE4F57">
        <w:rPr>
          <w:rFonts w:ascii="Sylfaen" w:hAnsi="Sylfaen"/>
          <w:sz w:val="24"/>
          <w:szCs w:val="24"/>
          <w:lang w:val="ka-GE"/>
        </w:rPr>
        <w:t xml:space="preserve"> – ადამიანის ღვიძლის მიკროსომების გამოყენებით ჩატარებული </w:t>
      </w:r>
      <w:r w:rsidRPr="00BE4F57">
        <w:rPr>
          <w:rFonts w:ascii="Sylfaen" w:hAnsi="Sylfaen"/>
          <w:i/>
          <w:sz w:val="24"/>
          <w:szCs w:val="24"/>
          <w:lang w:val="ka-GE"/>
        </w:rPr>
        <w:t>in vitro</w:t>
      </w:r>
      <w:r w:rsidRPr="00BE4F57">
        <w:rPr>
          <w:rFonts w:ascii="Sylfaen" w:hAnsi="Sylfaen"/>
          <w:sz w:val="24"/>
          <w:szCs w:val="24"/>
          <w:lang w:val="ka-GE"/>
        </w:rPr>
        <w:t xml:space="preserve"> კვლევები მიუთითებს, რომ ოლანზაპინს CYP3A-ს ინჰიბირების მცირე პოტენციალი აქვს. ამრიგად,  ნაკლებად სავარაუდოა, რომ ოლანზაპინმა ამ ფერმენტებით განპირობებული კლინიკურად მნიშვნელოვანი წამლისმიერი ურთიერთქმედება გამოიწვიოს. </w:t>
      </w:r>
    </w:p>
    <w:p w14:paraId="5EE958C7" w14:textId="77777777" w:rsidR="008B1423" w:rsidRPr="00BE4F57" w:rsidRDefault="008B1423" w:rsidP="00A14CA6">
      <w:pPr>
        <w:spacing w:after="0" w:line="240" w:lineRule="auto"/>
        <w:jc w:val="both"/>
        <w:rPr>
          <w:rFonts w:ascii="Sylfaen" w:hAnsi="Sylfaen"/>
          <w:sz w:val="24"/>
          <w:szCs w:val="24"/>
          <w:lang w:val="ka-GE"/>
        </w:rPr>
      </w:pPr>
    </w:p>
    <w:p w14:paraId="38FFB51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i/>
          <w:sz w:val="24"/>
          <w:szCs w:val="24"/>
          <w:lang w:val="ka-GE"/>
        </w:rPr>
        <w:t>In vivo</w:t>
      </w:r>
      <w:r w:rsidRPr="00BE4F57">
        <w:rPr>
          <w:rFonts w:ascii="Sylfaen" w:hAnsi="Sylfaen"/>
          <w:sz w:val="24"/>
          <w:szCs w:val="24"/>
          <w:lang w:val="ka-GE"/>
        </w:rPr>
        <w:t xml:space="preserve"> ურთიერთქმედების კვლევაში, რომელიც მოიცავდა ფლუოქსეტინის ტერფენადინის ერთჯერად დოზებთან (CYP3A სუბსტრატი) ერთად მიღებას, ფლუოქსეტინის თანმხლები გამოყენებისას პლაზმაში ტერფენადინის კონცენტრაციის ზრდა არ აღნიშნულა. გარდა ამისა, </w:t>
      </w:r>
      <w:r w:rsidRPr="00BE4F57">
        <w:rPr>
          <w:rFonts w:ascii="Sylfaen" w:hAnsi="Sylfaen"/>
          <w:i/>
          <w:sz w:val="24"/>
          <w:szCs w:val="24"/>
          <w:lang w:val="ka-GE"/>
        </w:rPr>
        <w:t>in vitro</w:t>
      </w:r>
      <w:r w:rsidRPr="00BE4F57">
        <w:rPr>
          <w:i/>
          <w:sz w:val="24"/>
          <w:szCs w:val="24"/>
          <w:lang w:val="ka-GE"/>
        </w:rPr>
        <w:t xml:space="preserve"> </w:t>
      </w:r>
      <w:r w:rsidRPr="00BE4F57">
        <w:rPr>
          <w:rFonts w:ascii="Sylfaen" w:hAnsi="Sylfaen"/>
          <w:sz w:val="24"/>
          <w:szCs w:val="24"/>
          <w:lang w:val="ka-GE"/>
        </w:rPr>
        <w:t xml:space="preserve">კვლევებმა აჩვენა, რომ კეტოკონაზოლი, CYP3A აქტივობის ძლიერი ინჰიბიტორი, სულ მცირე 100-ჯერ უფრო ძლიერია, ვიდრე ფლუოქსეტინი ან ნორფლუოქსეტინი, როგორც  ამ ფერმენტის რამდენიმე სუბსტრატის, მათ შორის ასტემიზოლის, ციზაპრიდის და მიდაზოლამის, მეტაბოლიზმის ინჰიბიტორი. ეს მონაცემები მიუთითებს, რომ ფლუოქსეტინის მიერ CYP3A აქტივობის ინჰიბირების ხარისხი, სავარაუდოდ, კლინიკურად მნიშვნელოვანი არ იქნება. </w:t>
      </w:r>
    </w:p>
    <w:p w14:paraId="44D220CC" w14:textId="77777777" w:rsidR="008B1423" w:rsidRPr="00BE4F57" w:rsidRDefault="008B1423" w:rsidP="00A14CA6">
      <w:pPr>
        <w:spacing w:after="0" w:line="240" w:lineRule="auto"/>
        <w:jc w:val="both"/>
        <w:rPr>
          <w:rFonts w:ascii="Sylfaen" w:hAnsi="Sylfaen"/>
          <w:sz w:val="24"/>
          <w:szCs w:val="24"/>
          <w:u w:val="single"/>
          <w:lang w:val="ka-GE"/>
        </w:rPr>
      </w:pPr>
    </w:p>
    <w:p w14:paraId="4C4100D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ოლანზაპინის გავლენა პრეპარატებზე, რომლებიც მეტაბოლიზდება სხვა CYP ფერმენტებით</w:t>
      </w:r>
      <w:r w:rsidRPr="00BE4F57">
        <w:rPr>
          <w:rFonts w:ascii="Sylfaen" w:hAnsi="Sylfaen"/>
          <w:sz w:val="24"/>
          <w:szCs w:val="24"/>
          <w:lang w:val="ka-GE"/>
        </w:rPr>
        <w:t xml:space="preserve"> – ადამიანის ღვიძლის მიკროსომების გამოყენებით ჩატარებული </w:t>
      </w:r>
      <w:r w:rsidRPr="00BE4F57">
        <w:rPr>
          <w:rFonts w:ascii="Sylfaen" w:hAnsi="Sylfaen"/>
          <w:i/>
          <w:sz w:val="24"/>
          <w:szCs w:val="24"/>
          <w:lang w:val="ka-GE"/>
        </w:rPr>
        <w:t>in vitro</w:t>
      </w:r>
      <w:r w:rsidRPr="00BE4F57">
        <w:rPr>
          <w:rFonts w:ascii="Sylfaen" w:hAnsi="Sylfaen"/>
          <w:sz w:val="24"/>
          <w:szCs w:val="24"/>
          <w:lang w:val="ka-GE"/>
        </w:rPr>
        <w:t xml:space="preserve"> კვლევები მიუთითებს, რომ ოლანზაპინს CYP1A2, CYP2C9 და CYP2C19-ის ინჰიბირების მცირე პოტენციალი აქვს. ამრიგად, ნაკლებად სავარაუდოა, რომ ოლანზაპინის კლინიკურად მნიშვნელოვანი წამლისმიერი ურთიერთქმედება ამ ფერმენტებით იყოს განპირობებული.</w:t>
      </w:r>
    </w:p>
    <w:p w14:paraId="74CACE16" w14:textId="77777777" w:rsidR="008B1423" w:rsidRPr="00BE4F57" w:rsidRDefault="008B1423" w:rsidP="00A14CA6">
      <w:pPr>
        <w:spacing w:after="0" w:line="240" w:lineRule="auto"/>
        <w:jc w:val="both"/>
        <w:rPr>
          <w:rFonts w:ascii="Sylfaen" w:hAnsi="Sylfaen"/>
          <w:sz w:val="24"/>
          <w:szCs w:val="24"/>
          <w:lang w:val="ka-GE"/>
        </w:rPr>
      </w:pPr>
    </w:p>
    <w:p w14:paraId="23511DD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ლითიუმი</w:t>
      </w:r>
      <w:r w:rsidRPr="00BE4F57">
        <w:rPr>
          <w:rFonts w:ascii="Sylfaen" w:hAnsi="Sylfaen"/>
          <w:sz w:val="24"/>
          <w:szCs w:val="24"/>
          <w:lang w:val="ka-GE"/>
        </w:rPr>
        <w:t xml:space="preserve"> - ოლანზაპინის მრავალჯერადი დოზები გავლენას არ ახდენდა ლითიუმის ფარმაკოკინეტიკურ თვისებებზე. ლითიუმის ფლუოქსეტინთან ერთად გამოყენებისას, აღწერილია ლითიუმის დონის როგორც მომატების, ასევე შემცირების შემთხვევები. აღწერილია ლითიუმის ტოქსიკურობის და სეროტონერგული ეფექტების შემთხვევები. პაციენტებში, რომლებიც იღებენ რექსეპი კომბის ლითიუმთან ერთად, უნდა მოხდეს ლითიუმის დონის მონიტორინგი (იხილეთ ნაწილი 4.4. განსაკუთრებული გაფრთხილებები გამოყენებისას და უსაფრთხოების ზომები).</w:t>
      </w:r>
    </w:p>
    <w:p w14:paraId="79F2F169" w14:textId="77777777" w:rsidR="008B1423" w:rsidRPr="00BE4F57" w:rsidRDefault="008B1423" w:rsidP="00A14CA6">
      <w:pPr>
        <w:spacing w:after="0" w:line="240" w:lineRule="auto"/>
        <w:jc w:val="both"/>
        <w:rPr>
          <w:rFonts w:ascii="Sylfaen" w:hAnsi="Sylfaen"/>
          <w:sz w:val="24"/>
          <w:szCs w:val="24"/>
          <w:lang w:val="ka-GE"/>
        </w:rPr>
      </w:pPr>
    </w:p>
    <w:p w14:paraId="7824325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პრეპარატები, რომლებიც მჭიდროდ შეკავშირებულია პლაზმის ცილებთან</w:t>
      </w:r>
      <w:r w:rsidRPr="00BE4F57">
        <w:rPr>
          <w:rFonts w:ascii="Sylfaen" w:hAnsi="Sylfaen"/>
          <w:sz w:val="24"/>
          <w:szCs w:val="24"/>
          <w:lang w:val="ka-GE"/>
        </w:rPr>
        <w:t xml:space="preserve"> – ოლაზაპინისა და ფლუოქსეტინის კომბინაციის ადამიანის პლაზმის ცილებთან შეკავშირება </w:t>
      </w:r>
      <w:r w:rsidRPr="00BE4F57">
        <w:rPr>
          <w:rFonts w:ascii="Sylfaen" w:hAnsi="Sylfaen"/>
          <w:i/>
          <w:sz w:val="24"/>
          <w:szCs w:val="24"/>
          <w:lang w:val="ka-GE"/>
        </w:rPr>
        <w:t>in vitro</w:t>
      </w:r>
      <w:r w:rsidRPr="00BE4F57">
        <w:rPr>
          <w:rFonts w:ascii="Sylfaen" w:hAnsi="Sylfaen"/>
          <w:sz w:val="24"/>
          <w:szCs w:val="24"/>
          <w:lang w:val="ka-GE"/>
        </w:rPr>
        <w:t xml:space="preserve"> მსგავსია ცალკეული კომპონენტების შეკავშირებისა. ოლანზაპინისა და ფლუოქსეტინის კომბინაციასა და სხვა ცილებთან მჭიდროდ შეკავშირებულ პრეპარატებს შორის ურთიერთქმედება სრულად არ არის შეფასებული. რადგან ფლუოქსეტინი მჭიდროდ უკავშირდება პლაზმის ცილებს, ფლუოქსეტინის დანიშვნამ პაციენტისთვის, რომელიც ღებულობს ცილეთან მჭიდროდ შეკავშირებად სხვა პრეპარატს (მაგ., კუმადინი, დიგიტოქსინი), შეიძლება გამოიწვიოს პლაზმაში კონცენტრაციების ცვლილება, რამაც პოტენციურად შეიძლება გამოიწვიოს გვერდითი მოვლენები. პირიქით, გვერდითი მოვლენები შეიძლება გამოწვეული იყოს ცილებთან შეკავშირებული ფლუოქსეტინის სხვა მჭიდროდ შეკავშირებული პრეპარატებით ჩანაცვლებით. (იხილეთ ნაწილი 5. ფარმაკოლოგიური თვისებები).</w:t>
      </w:r>
    </w:p>
    <w:p w14:paraId="1FAC34B6" w14:textId="77777777" w:rsidR="008B1423" w:rsidRPr="00BE4F57" w:rsidRDefault="008B1423" w:rsidP="00A14CA6">
      <w:pPr>
        <w:spacing w:after="0" w:line="240" w:lineRule="auto"/>
        <w:jc w:val="both"/>
        <w:rPr>
          <w:rFonts w:ascii="Sylfaen" w:hAnsi="Sylfaen"/>
          <w:sz w:val="24"/>
          <w:szCs w:val="24"/>
          <w:lang w:val="ka-GE"/>
        </w:rPr>
      </w:pPr>
    </w:p>
    <w:p w14:paraId="2C6EDC6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lastRenderedPageBreak/>
        <w:t>ვალპროატი</w:t>
      </w:r>
      <w:r w:rsidRPr="00BE4F57">
        <w:rPr>
          <w:rFonts w:ascii="Sylfaen" w:hAnsi="Sylfaen"/>
          <w:sz w:val="24"/>
          <w:szCs w:val="24"/>
          <w:lang w:val="ka-GE"/>
        </w:rPr>
        <w:t xml:space="preserve"> – ადამიანის ღვიძლის მიკროსომების გამოყენებით ჩატარებული </w:t>
      </w:r>
      <w:r w:rsidRPr="00BE4F57">
        <w:rPr>
          <w:rFonts w:ascii="Sylfaen" w:hAnsi="Sylfaen"/>
          <w:i/>
          <w:sz w:val="24"/>
          <w:szCs w:val="24"/>
          <w:lang w:val="ka-GE"/>
        </w:rPr>
        <w:t>in vitro</w:t>
      </w:r>
      <w:r w:rsidRPr="00BE4F57">
        <w:rPr>
          <w:rFonts w:ascii="Sylfaen" w:hAnsi="Sylfaen"/>
          <w:sz w:val="24"/>
          <w:szCs w:val="24"/>
          <w:lang w:val="ka-GE"/>
        </w:rPr>
        <w:t xml:space="preserve"> კვლევები აჩვენებს, რომ ოლანზაპინს აქვს გლუკუროდინაციის, ვალპროატის მეტაბოლური გზის, ინჰიბირების მცირე პოტენციალი. გარდა ამისა, ვალპროატს მცირე გავლენა აქვს ოლანზაპინის </w:t>
      </w:r>
      <w:r w:rsidRPr="00BE4F57">
        <w:rPr>
          <w:rFonts w:ascii="Sylfaen" w:hAnsi="Sylfaen"/>
          <w:i/>
          <w:sz w:val="24"/>
          <w:szCs w:val="24"/>
          <w:lang w:val="ka-GE"/>
        </w:rPr>
        <w:t>in vitro</w:t>
      </w:r>
      <w:r w:rsidRPr="00BE4F57">
        <w:rPr>
          <w:rFonts w:ascii="Sylfaen" w:hAnsi="Sylfaen"/>
          <w:sz w:val="24"/>
          <w:szCs w:val="24"/>
          <w:lang w:val="ka-GE"/>
        </w:rPr>
        <w:t xml:space="preserve"> მეტაბოლიზმზე. ამრიგად, ოლანზაპინსა და ვალპროატს შორის კლინიკურად მნიშვნელოვანი ფარმაკოკინეტიკური ურთიერთქმედება ნაკლებად სავარაუდოა. </w:t>
      </w:r>
    </w:p>
    <w:p w14:paraId="3409E3F6" w14:textId="77777777" w:rsidR="008B1423" w:rsidRPr="00BE4F57" w:rsidRDefault="008B1423" w:rsidP="00A14CA6">
      <w:pPr>
        <w:spacing w:after="0" w:line="240" w:lineRule="auto"/>
        <w:jc w:val="both"/>
        <w:rPr>
          <w:rFonts w:ascii="Sylfaen" w:hAnsi="Sylfaen"/>
          <w:sz w:val="24"/>
          <w:szCs w:val="24"/>
          <w:lang w:val="ka-GE"/>
        </w:rPr>
      </w:pPr>
    </w:p>
    <w:p w14:paraId="7A7B22F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ბიპერიდენი</w:t>
      </w:r>
      <w:r w:rsidRPr="00BE4F57">
        <w:rPr>
          <w:rFonts w:ascii="Sylfaen" w:hAnsi="Sylfaen"/>
          <w:sz w:val="24"/>
          <w:szCs w:val="24"/>
          <w:lang w:val="ka-GE"/>
        </w:rPr>
        <w:t xml:space="preserve"> – ოლანზაპინის მრავალჯერადმა დოზებმა გავლენა არ მოახდინა ბიპერიდენის ფარმაკოკინეტიკურ თვისებებზე. </w:t>
      </w:r>
    </w:p>
    <w:p w14:paraId="60F94C53" w14:textId="77777777" w:rsidR="008B1423" w:rsidRPr="00BE4F57" w:rsidRDefault="008B1423" w:rsidP="00A14CA6">
      <w:pPr>
        <w:spacing w:after="0" w:line="240" w:lineRule="auto"/>
        <w:jc w:val="both"/>
        <w:rPr>
          <w:rFonts w:ascii="Sylfaen" w:hAnsi="Sylfaen"/>
          <w:sz w:val="24"/>
          <w:szCs w:val="24"/>
          <w:lang w:val="ka-GE"/>
        </w:rPr>
      </w:pPr>
    </w:p>
    <w:p w14:paraId="56F1E9E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თეოფილინი</w:t>
      </w:r>
      <w:r w:rsidRPr="00BE4F57">
        <w:rPr>
          <w:rFonts w:ascii="Sylfaen" w:hAnsi="Sylfaen"/>
          <w:sz w:val="24"/>
          <w:szCs w:val="24"/>
          <w:lang w:val="ka-GE"/>
        </w:rPr>
        <w:t xml:space="preserve"> – ოლანზაპინის მრავალჯერადმა დოზებმა გავლენა არ მოახდინა თეოფილინის ან მისი მეტაბოლიტების ფარმაკოკინეტიკურ თვისებებზე.</w:t>
      </w:r>
    </w:p>
    <w:p w14:paraId="19A68C39" w14:textId="77777777" w:rsidR="008B1423" w:rsidRPr="00BE4F57" w:rsidRDefault="008B1423" w:rsidP="00A14CA6">
      <w:pPr>
        <w:spacing w:after="0" w:line="240" w:lineRule="auto"/>
        <w:jc w:val="both"/>
        <w:rPr>
          <w:rFonts w:ascii="Sylfaen" w:hAnsi="Sylfaen"/>
          <w:sz w:val="24"/>
          <w:szCs w:val="24"/>
          <w:lang w:val="ka-GE"/>
        </w:rPr>
      </w:pPr>
    </w:p>
    <w:p w14:paraId="255E299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QT ინტერვალის გამახანგრძლივებელი პრეპარატები</w:t>
      </w:r>
    </w:p>
    <w:p w14:paraId="286F741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 გამოიყენოთ რექსეპი კომბი თიორიდაზინთან ან პიმოზიდთან ერთად. სიფრთხილეა საჭირო რექსეპი კომბის გამოყენებისას სხვა პრეპარატებთან ერთად, რომლებიც იწვევენ QT ინტერვალის გახანგრძლივებას. ესენია სპეციფიკური ანტიფსიქოზური საშუალებები (მაგ., ზიპრასიდონი, ილოპერიდონი, ქლორპრომაზინი, მეზორიდაზინი, დროპერიდოლი); სპეციფიკური ანტიბიოტიკები (მაგ., ერითრომიცინი, გატიფლოქსაცინი, მოქსიფლოქსაცინი, სპარფლოქსაცინი); 1A კლასის ანტიარითმული პრეპარატები (მაგ., ქინიდინი, პროკაინამიდი); III კლასის ანტიარითმული პრეპარატები (მაგ., ამიოდარონი, სოტალოლი); და სხვა (მაგ., პენტამიდინი, ლევომეტადილ აცეტატი, მეტადონი, ჰალოფანტრინი, მეფლოქინი, დოლასეტრონის მეზილატი, პრობუკოლი ან ტაკროლიმუსი). ფლუოქსეტინი ძირითადად მეტაბოლიზდება CYP2D6-ით. CYP2D6 ინჰიბიტორებთან ერთდროულმა მკურნალობამ შეიძლება გაზარდოს ფლუოქსეტინის კონცენტრაცია. სხვა ცილებთან მაღალი შეკავშირების მქონე პრეპარატების ერთდროულმა გამოყენებამ შეიძლება გაზარდოს ფლუოქსეტინის კონცენტრაცია (იხილეთ ნაწილი 4.3. უკუჩვენებები, ნაწილი 4.4. განსაკუთრებული გაფრთხილებები გამოყენებისას და უსაფრთხოების ზომები, ნაწილი 4.5. ურთიერთქმედება სხვა სამკურნალო პრეპარატებთან და ურთიერთქმედების სხვა ფორმები და ნაწილი 5. ფარმაკოლოგიური თვისებები).</w:t>
      </w:r>
    </w:p>
    <w:p w14:paraId="56C60440" w14:textId="77777777" w:rsidR="008B1423" w:rsidRPr="00BE4F57" w:rsidRDefault="008B1423" w:rsidP="00A14CA6">
      <w:pPr>
        <w:spacing w:after="0" w:line="240" w:lineRule="auto"/>
        <w:jc w:val="both"/>
        <w:rPr>
          <w:rFonts w:ascii="Sylfaen" w:hAnsi="Sylfaen"/>
          <w:sz w:val="24"/>
          <w:szCs w:val="24"/>
          <w:lang w:val="ka-GE"/>
        </w:rPr>
      </w:pPr>
    </w:p>
    <w:p w14:paraId="059E004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ურთიერთქმედება საკვებთან</w:t>
      </w:r>
    </w:p>
    <w:p w14:paraId="197DE61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მიუხედავად იმისა, რომ საკვების აშკარა გავლენა ოლანზაპინის და ფლუოქსეტინის ცალ-ცალკე აბსორბციაზე არ დაფიქსირებულა, საკვების გავლენა ოლანზაპინისა და ფლუოქსეტინის კომბინაციის აბსორბციაზე არ არის შესწავლილი.</w:t>
      </w:r>
    </w:p>
    <w:p w14:paraId="0DF08D3F" w14:textId="77777777" w:rsidR="008B1423" w:rsidRPr="00BE4F57" w:rsidRDefault="008B1423" w:rsidP="00A14CA6">
      <w:pPr>
        <w:spacing w:after="0" w:line="240" w:lineRule="auto"/>
        <w:jc w:val="both"/>
        <w:rPr>
          <w:rFonts w:ascii="Sylfaen" w:hAnsi="Sylfaen"/>
          <w:sz w:val="24"/>
          <w:szCs w:val="24"/>
          <w:lang w:val="ka-GE"/>
        </w:rPr>
      </w:pPr>
    </w:p>
    <w:p w14:paraId="606766A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დამატებითი ინფორმაცია განსაკუთრებული პოპულაციებისთვის</w:t>
      </w:r>
    </w:p>
    <w:p w14:paraId="79D9FA6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ჰიპოტენზიური რეაქციებისადმი მიდრეკილ პაციენტებში, ღვიძლის უკმარისობის მქონე პაციენტებში ან პაციენტებში, რომლებსაც აღენიშნებათ ფაქტორების კომბინაცია, რომლებმაც შეიძლება შეანელონ რექსეპი კომბის მეტაბოლიზმი (მდედრობითი სქესი, ხანდაზმული ასაკი, არამწეველთა სტატუსი), ან პაციენტებში, რომლებიც შეიძლება ფარმაკოდინამიკურად სენსიტიურები იყვნენ ოლანზაპინის მიმართ, რექსეპი კომბის მიღება უნდა დაიწყოს 3 მგ/25 მგ ან 6 მგ/25 მგ დოზით. დოზა ნელა და საჭიროებისამებრ უნდა დაარეგულიროთ იმ პაციენტებში, რომლებსაც გააჩნიათ მეტაბოლიზმის შემანელებელი ფაქტორების კომბინაცია. ოლანზაპინისა და ფლუოქსეტინის კომბინაცია სისტემატურად არ არის შესწავლილი 65 წელზე უფროსი ასაკის ან 10 წლამდე ასაკის პაციენტებში (იხილეთ ნაწილი „დამატებითი ინფორმაცია განსაკუთრებული პოპულაციებისთვის“ და ნაწილი 5. ფარმაკოლოგიური თვისებები).</w:t>
      </w:r>
    </w:p>
    <w:p w14:paraId="3A68CE56" w14:textId="77777777" w:rsidR="008B1423" w:rsidRPr="00BE4F57" w:rsidRDefault="008B1423" w:rsidP="00A14CA6">
      <w:pPr>
        <w:spacing w:after="0" w:line="240" w:lineRule="auto"/>
        <w:jc w:val="both"/>
        <w:rPr>
          <w:rFonts w:ascii="Sylfaen" w:hAnsi="Sylfaen"/>
          <w:sz w:val="24"/>
          <w:szCs w:val="24"/>
          <w:lang w:val="ka-GE"/>
        </w:rPr>
      </w:pPr>
    </w:p>
    <w:p w14:paraId="61C08FA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პედიატრიული პოპულაცია:</w:t>
      </w:r>
    </w:p>
    <w:p w14:paraId="3353244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ეფექტურობისა და უსაფრთხოების კვლევები არ ჩატარებულა.</w:t>
      </w:r>
    </w:p>
    <w:p w14:paraId="17A28265" w14:textId="77777777" w:rsidR="008B1423" w:rsidRPr="00BE4F57" w:rsidRDefault="008B1423" w:rsidP="00A14CA6">
      <w:pPr>
        <w:spacing w:after="0" w:line="240" w:lineRule="auto"/>
        <w:jc w:val="both"/>
        <w:rPr>
          <w:rFonts w:ascii="Sylfaen" w:hAnsi="Sylfaen"/>
          <w:sz w:val="24"/>
          <w:szCs w:val="24"/>
          <w:lang w:val="ka-GE"/>
        </w:rPr>
      </w:pPr>
    </w:p>
    <w:p w14:paraId="507119A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4.6. ორსულობა და ლაქტაცია</w:t>
      </w:r>
    </w:p>
    <w:p w14:paraId="1DF322DF" w14:textId="77777777" w:rsidR="008B1423" w:rsidRPr="00BE4F57" w:rsidRDefault="008B1423" w:rsidP="00A14CA6">
      <w:pPr>
        <w:spacing w:after="0" w:line="240" w:lineRule="auto"/>
        <w:jc w:val="both"/>
        <w:rPr>
          <w:rFonts w:ascii="Sylfaen" w:hAnsi="Sylfaen"/>
          <w:b/>
          <w:sz w:val="24"/>
          <w:szCs w:val="24"/>
          <w:lang w:val="ka-GE"/>
        </w:rPr>
      </w:pPr>
    </w:p>
    <w:p w14:paraId="138D85C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ზოგადი რეკომენდაცია</w:t>
      </w:r>
    </w:p>
    <w:p w14:paraId="3750EE3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ორსულობის კატეგორია C.</w:t>
      </w:r>
    </w:p>
    <w:p w14:paraId="36CEA6AB" w14:textId="77777777" w:rsidR="008B1423" w:rsidRPr="00BE4F57" w:rsidRDefault="008B1423" w:rsidP="00A14CA6">
      <w:pPr>
        <w:spacing w:after="0" w:line="240" w:lineRule="auto"/>
        <w:jc w:val="both"/>
        <w:rPr>
          <w:rFonts w:ascii="Sylfaen" w:hAnsi="Sylfaen"/>
          <w:sz w:val="24"/>
          <w:szCs w:val="24"/>
          <w:lang w:val="ka-GE"/>
        </w:rPr>
      </w:pPr>
    </w:p>
    <w:p w14:paraId="30DCB1E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ქალები, რომლებსაც აქვთ შვილოსნობის პოტენციალი/შობადობის კონტროლი (კონტრაცეფცია)</w:t>
      </w:r>
    </w:p>
    <w:p w14:paraId="1DA2E010" w14:textId="77777777" w:rsidR="008B1423" w:rsidRPr="00BE4F57" w:rsidRDefault="008B1423" w:rsidP="00A14CA6">
      <w:pPr>
        <w:spacing w:after="0" w:line="240" w:lineRule="auto"/>
        <w:jc w:val="both"/>
        <w:rPr>
          <w:rFonts w:ascii="Sylfaen" w:hAnsi="Sylfaen"/>
          <w:sz w:val="24"/>
          <w:szCs w:val="24"/>
          <w:highlight w:val="red"/>
          <w:lang w:val="ka-GE"/>
        </w:rPr>
      </w:pPr>
      <w:r w:rsidRPr="00BE4F57">
        <w:rPr>
          <w:rFonts w:ascii="Sylfaen" w:hAnsi="Sylfaen"/>
          <w:sz w:val="24"/>
          <w:szCs w:val="24"/>
          <w:lang w:val="ka-GE"/>
        </w:rPr>
        <w:t>პაციენტებმა, რომლებიც მკურნალობის დროს დაორსულდებიან ან გეგმავენ დაორსულებას, უნდა აცნობონ ამის შესახებ ექიმს.</w:t>
      </w:r>
    </w:p>
    <w:p w14:paraId="0C7A8F2C" w14:textId="77777777" w:rsidR="008B1423" w:rsidRPr="00BE4F57" w:rsidRDefault="008B1423" w:rsidP="00A14CA6">
      <w:pPr>
        <w:spacing w:after="0" w:line="240" w:lineRule="auto"/>
        <w:jc w:val="both"/>
        <w:rPr>
          <w:rFonts w:ascii="Sylfaen" w:hAnsi="Sylfaen"/>
          <w:b/>
          <w:sz w:val="24"/>
          <w:szCs w:val="24"/>
          <w:lang w:val="ka-GE"/>
        </w:rPr>
      </w:pPr>
    </w:p>
    <w:p w14:paraId="54D337C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ორსულობის პერიოდი</w:t>
      </w:r>
    </w:p>
    <w:p w14:paraId="4610320D" w14:textId="77777777" w:rsidR="008B1423" w:rsidRPr="00BE4F57" w:rsidRDefault="008B1423" w:rsidP="00A14CA6">
      <w:pPr>
        <w:spacing w:after="0" w:line="240" w:lineRule="auto"/>
        <w:jc w:val="both"/>
        <w:rPr>
          <w:rFonts w:ascii="Sylfaen" w:hAnsi="Sylfaen"/>
          <w:sz w:val="24"/>
          <w:szCs w:val="24"/>
          <w:lang w:val="ka-GE"/>
        </w:rPr>
      </w:pPr>
    </w:p>
    <w:p w14:paraId="765CE54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რისკების შეჯამება</w:t>
      </w:r>
    </w:p>
    <w:p w14:paraId="64D3C1DB" w14:textId="77777777" w:rsidR="008B1423" w:rsidRPr="00BE4F57" w:rsidRDefault="008B1423" w:rsidP="00A14CA6">
      <w:pPr>
        <w:spacing w:after="0" w:line="240" w:lineRule="auto"/>
        <w:jc w:val="both"/>
        <w:rPr>
          <w:rFonts w:ascii="Sylfaen" w:hAnsi="Sylfaen"/>
          <w:sz w:val="24"/>
          <w:szCs w:val="24"/>
          <w:lang w:val="ka-GE"/>
        </w:rPr>
      </w:pPr>
    </w:p>
    <w:p w14:paraId="2AC0E74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გამოქვეყნებული დაკვირვებითი კვლევების მონაცემების საფუძველზე, SSRI–ების ზემოქმედება, განსაკუთრებით მშობიარობამდე ერთი თვით ადრე, უკავშირდება მშობიარობის შემდგომი სისხლდენის რისკის 2-ჯერზე ნაკლებად გაზრდასთან (იხილეთ ნაწილი 4.4. განსაკუთრებული გაფრთხილებები გამოყენებისას და უსაფრთხოების ზომები).</w:t>
      </w:r>
    </w:p>
    <w:p w14:paraId="45750D7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ახალშობილები, რომლებიც იმყოფებიან ანტიფსიქოზური პრეპარატების, მათ შორის რექსეპი კომბის ოლანზაპინის კომპონენტის, ზემოქმედების ქვეშ მესამე ტრიმესტრში, მშობიარობის შემდეგ ექსტრაპირამიდული და/ან აბსტინენციის სიმპტომების განვითარების რისკის ქვეშ არიან. ოლანზაპინის ან ფლუოქსეტინის ზემოქმედების ქვეშ მყოფი ორსული ქალების შესახებ გამოქვეყნებული ეპიდემიოლოგიური კვლევებისა და პოსტმარკეტინგული ანგარიშების საერთო მონაცემებმა არ გამოავლინა წამლით გამოწვეული სერიოზული თანდაყოლილი დეფექტების ან სპონტანური აბორტის მომატებული რისკი.</w:t>
      </w:r>
    </w:p>
    <w:p w14:paraId="36919DE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ფლუოქსეტინის ზემოქმედების ქვეშ მყოფ ორსულ ქალებში ჩატარებულ ზოგიერთ კვლევაში აღინიშნა გულ-სისხლძარღვთა მანკების მომატებული შემთხვევები; თუმცა, ამ კვლევების შედეგები არ მიუთითებს მიზეზ–შედეგობრივ კავშირზე. ორსულობის დროს არსებობს არანამკურნალები დეპრესიის და მუდმივი ფილტვისმიერი ჰიპერტენზიის (PPHN) რისკები და ახალშობილთა ცუდი ადაპტაციის რისკები სეროტონინის სელექტიური უკუმიტაცების ინჰიბიტორების (SSRI), მათ შორის ფლუოქსეტინის, ზემოქმედებისას ორსულობის დროს. ახალშობილებს, რომლებიც მესამე ტრიმესტრში ანტიფსიქოზური პრეპარატების, მათ შორის ოლანზაპინისა და ფლუოქსეტინის კომბინაციის ოლანზაპინის კომპონენტის ზემოქმედების ქვეშ იმყოფებიან, დაბადების შემდეგ ექსტრაპირამიდული და/ან აბსტინენციის სიმპტომების განვითარების რისკის ქვეშ იმყოფებიან.</w:t>
      </w:r>
    </w:p>
    <w:p w14:paraId="0B63E92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ცხოველებზე ჩატარებულ კვლევებში, ორგანოგენეზის დროს ოლანზაპინისა და ფლუოქსეტინის კომბინაციის მიღებამ გამოიწვია განვითარებაზე უარყოფითი გავლენა (ნაყოფის სხეულის წონის შემცირება ვირთაგვებსა და ბოცვრებში და ჩონჩხის ოსიფიკაციის დაგვიანება ბოცვრებში) დედასთან ტოქსიკური დოზების გამოყენებისას, რომლებიც კლინიკურად გამოყენებულ დოზებს აღემატებოდა. ორსულობისა და ლაქტაციის პერიოდში ვირთაგვებში გამოყენებისას, კლინიკურად გამოყენებული დოზების მსგავსი დოზების გამოყენებისას დაფიქსირდა ადრეული პოსტნატალური სიკვდილიანობის გაზრდილი მაჩვენებელი.</w:t>
      </w:r>
    </w:p>
    <w:p w14:paraId="12F3900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მითითებული პოპულაციებისთვის სერიოზული თანდაყოლილი დეფექტების და სპონტანური აბორტების სავარაუდო ფონური რისკი უცნობია. ყველა ორსულობას თან ახლავს თანდაყოლილი დეფექტების, სპონტანური აბორტის ან სხვა არასასურველი შედეგების რისკი. აშშ-ს ზოგად პოპულაციაში კლინიკურად აღიარებულ ორსულობებში ძირითადი სერიოზული დეფექტების და </w:t>
      </w:r>
      <w:r w:rsidRPr="00BE4F57">
        <w:rPr>
          <w:rFonts w:ascii="Sylfaen" w:hAnsi="Sylfaen"/>
          <w:sz w:val="24"/>
          <w:szCs w:val="24"/>
          <w:lang w:val="ka-GE"/>
        </w:rPr>
        <w:lastRenderedPageBreak/>
        <w:t>სპონტანური აბორტის სავარაუდო რისკი შესაბამისად შეადგენს 2-დან 4%-მდე და 15-დან 20%-მდე.</w:t>
      </w:r>
    </w:p>
    <w:p w14:paraId="24E810E4" w14:textId="77777777" w:rsidR="008B1423" w:rsidRPr="00BE4F57" w:rsidRDefault="008B1423" w:rsidP="00A14CA6">
      <w:pPr>
        <w:spacing w:after="0" w:line="240" w:lineRule="auto"/>
        <w:jc w:val="both"/>
        <w:rPr>
          <w:rFonts w:ascii="Sylfaen" w:hAnsi="Sylfaen"/>
          <w:sz w:val="24"/>
          <w:szCs w:val="24"/>
          <w:lang w:val="ka-GE"/>
        </w:rPr>
      </w:pPr>
    </w:p>
    <w:p w14:paraId="75DCB9D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კლინიკური მოსაზრებები</w:t>
      </w:r>
    </w:p>
    <w:p w14:paraId="2FD26418" w14:textId="77777777" w:rsidR="008B1423" w:rsidRPr="00BE4F57" w:rsidRDefault="008B1423" w:rsidP="00A14CA6">
      <w:pPr>
        <w:spacing w:after="0" w:line="240" w:lineRule="auto"/>
        <w:jc w:val="both"/>
        <w:rPr>
          <w:rFonts w:ascii="Sylfaen" w:hAnsi="Sylfaen"/>
          <w:sz w:val="24"/>
          <w:szCs w:val="24"/>
          <w:lang w:val="ka-GE"/>
        </w:rPr>
      </w:pPr>
    </w:p>
    <w:p w14:paraId="3556B14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დაავადებასთან დაკავშირებული დედის და/ან ემბრიონის/ნაყოფის რისკი</w:t>
      </w:r>
    </w:p>
    <w:p w14:paraId="59DBD25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ქალები, რომლებიც ორსულობის დროს წყვეტენ ანტიდეპრესანტების მიღებას, უფრო მეტად არიან მიდრეკილნი დიდი დეპრესიის რეციდივისკენ, ვიდრე ქალები, რომლებიც აგრძელებენ ანტიდეპრესანტების გამოყენებას. ეს დასკვნა მიღებულია პროსპექტული, გრძივი კვლევიდან, რომელშიც მონაწილეობდა 201 ორსული ქალი დიდი დეპრესიული აშლილობის ანამნეზით, რომლებიც ევთიმიურნი იყვნენ და ორსულობის ადრეულ ეტაპზე ანტიდეპრესანტებს იღებდნენ. ორსულობისა და მშობიარობის შემდგომ პერიოდში ანტიდეპრესანტების მიღების შეწყვეტისას ან შეცვლისას გაითვალისწინეთ არანამკურნალები დეპრესიის განვითარების რისკი.</w:t>
      </w:r>
    </w:p>
    <w:p w14:paraId="61218D33" w14:textId="77777777" w:rsidR="008B1423" w:rsidRPr="00BE4F57" w:rsidRDefault="008B1423" w:rsidP="00A14CA6">
      <w:pPr>
        <w:spacing w:after="0" w:line="240" w:lineRule="auto"/>
        <w:jc w:val="both"/>
        <w:rPr>
          <w:rFonts w:ascii="Sylfaen" w:hAnsi="Sylfaen"/>
          <w:sz w:val="24"/>
          <w:szCs w:val="24"/>
          <w:lang w:val="ka-GE"/>
        </w:rPr>
      </w:pPr>
    </w:p>
    <w:p w14:paraId="5F32DAC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გვერდითი რეაქციები დედებში</w:t>
      </w:r>
    </w:p>
    <w:p w14:paraId="3D0105A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რექსეპი კომბის გამოყენებამ მშობიარობამდე ერთი თვით ადრე შეიძლება გაზარდოს მშობიარობის შემდგომი სისხლდენის რისკი (იხილეთ ნაწილი 4.4. განსაკუთრებული გაფრთხილებები გამოყენებისას და სიფრთხილის ზომები).</w:t>
      </w:r>
    </w:p>
    <w:p w14:paraId="6B4291F6" w14:textId="77777777" w:rsidR="008B1423" w:rsidRPr="00BE4F57" w:rsidRDefault="008B1423" w:rsidP="00A14CA6">
      <w:pPr>
        <w:spacing w:after="0" w:line="240" w:lineRule="auto"/>
        <w:jc w:val="both"/>
        <w:rPr>
          <w:rFonts w:ascii="Sylfaen" w:hAnsi="Sylfaen"/>
          <w:sz w:val="24"/>
          <w:szCs w:val="24"/>
          <w:lang w:val="ka-GE"/>
        </w:rPr>
      </w:pPr>
    </w:p>
    <w:p w14:paraId="73E6705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ნაყოფის/ახალშობილის გვერდითი რეაქციები</w:t>
      </w:r>
    </w:p>
    <w:p w14:paraId="6A70C20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ორსულობის მესამე ტრიმესტრში ანტიფსიქოზური პრეპარატების, მათ შორის ოლანზაპინის, ზემოქმედების ქვეშ მყოფ ახალშობილებში აღინიშნა ექსტრაპირამიდული და/ან მოხსნის სიმპტომები, მათ შორის აგზნება, ჰიპერტონია, ჰიპოტონია, ტრემორი, ძილიანობა, სომნოლენტობა, სუნთქვის უკმარისობა და კვების დარღვევები. ამ სიმპტომების სიმძიმე განსხვავებული იყო.</w:t>
      </w:r>
    </w:p>
    <w:p w14:paraId="02D13DB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ახალშობილებში უნდა გაკონტროლდეს ექსტრაპირამიდული და/ან მოხსნის სიმპტომების განვითარება და შესაბამისად მოხდეს სიმპტომების მართვა. ზოგიერთი ახალშობილი გამოჯანმრთელდა რამდენიმე საათში ან დღეში სპეციფიკური მკურნალობის გარეშე, ზოგიერთს კი ხანგრძლივი ჰოსპიტალიზაცია დასჭირდა.</w:t>
      </w:r>
    </w:p>
    <w:p w14:paraId="3039A33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მესამე ტრიმესტრის ბოლოს ფლუოქსეტინის და სხვა SSRI-ების ან SNRI-ების ზემოქმედების ქვეშ მყოფ ახალშობილებს განუვითარდათ გართულებები, რომლებიც საჭიროებდა ხანგრძლივ ჰოსპიტალიზაციას, რესპირატორულ მხარდაჭერას და ზონდით კვებას. ასეთი გართულებები შეიძლება განვითარდეს დაბადებისთანავე. აღწერილი კლინიკური გამოვლინებები მოიცავს სუნთქვის უკმარისობას, ციანოზს, აპნოეს, კრუნჩხვებს, ტემპერატურის დისბალანსს, კვების გაძნელებას, ღებინებას, ჰიპოგლიკემიას, ჰიპოტონიას, ჰიპერტონიას, ჰიპერრეფლექსიას, ტრემორს, გაღიზიანებას და მუდმივ ტირილს. ეს მონაცემები შეესაბამება ან SSRI-ების და SNRI-ების პირდაპირ ტოქსიკურ ეფექტს, ან შესაძლოა წამლის მოხსნის სინდრომს. უნდა აღინიშნოს, რომ ზოგიერთ შემთხვევაში კლინიკური სურათი შეესაბამება სეროტონინის სინდრომს (იხილეთ ნაწილი 4.4. განსაკუთრებული გაფრთხილებები გამოყენებისას და სიფრთხილის ზომები).</w:t>
      </w:r>
    </w:p>
    <w:p w14:paraId="2E3874D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ახალშობილში პერსისტული ფილტვისმიერი ჰიპერტენზიის (PPHN) განვითარების რისკი შეიძლება გაიზარდოს, განსაკუთრებით ორსულობის გვიან პერიოდში SSRI-ების ზემოქმედების ქვეშ მყოფ ჩვილებში. PPHN გვხვდება ზოგადი პოპულაციის 1,000 ცოცხალ დაბადებიდან 1-2-ში და ასოცირდება ახალშობილთა მნიშვნელოვან ავადობასთან და სიკვდილიანობასთან. </w:t>
      </w:r>
    </w:p>
    <w:p w14:paraId="46E73B7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ზოგიერთი ბოლოდროინდელი ეპიდემიოლოგიური კვლევა ორსულობის დროს SSRI-ების (მათ შორის ფლუოქსეტინის) გამოყენებასა და PPHN განვითარებას შორის დადებით სტატისტიკურ კავშირზე მიუთითებს. სხვა კვლევები სტატისტიკურად მნიშვნელოვან კავშირს არ ავლენს.</w:t>
      </w:r>
    </w:p>
    <w:p w14:paraId="2FE20D04" w14:textId="77777777" w:rsidR="008B1423" w:rsidRPr="00BE4F57" w:rsidRDefault="008B1423" w:rsidP="00A14CA6">
      <w:pPr>
        <w:spacing w:after="0" w:line="240" w:lineRule="auto"/>
        <w:jc w:val="both"/>
        <w:rPr>
          <w:rFonts w:ascii="Sylfaen" w:hAnsi="Sylfaen"/>
          <w:sz w:val="24"/>
          <w:szCs w:val="24"/>
          <w:lang w:val="ka-GE"/>
        </w:rPr>
      </w:pPr>
    </w:p>
    <w:p w14:paraId="0E1A2DCB"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lastRenderedPageBreak/>
        <w:t>მონაცემები ადამიანის შესახებ</w:t>
      </w:r>
    </w:p>
    <w:p w14:paraId="1D5B885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და ფლუოქსეტინი კვეთენ პლაცენტას. ოლანზაპინის მიერ პლაცენტის კვეთის შესახებ მოხსენებულია გამოქვეყნებულ კვლევებში; თუმცა, ორსულობის დროს პრეპარატის ზემოქმედების შემდეგ პლაცენტის გადაკვეთის მაჩვენებელი დაბადებისას ძალიან ცვალებადია და მერყეობს 7%-დან 167%-მდე. ამ აღმოჩენის კლინიკური მნიშვნელობა უცნობია.</w:t>
      </w:r>
    </w:p>
    <w:p w14:paraId="5B89F89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ორსულობის დროს ატიპიური ანტიფსიქოზური საშუალებების გამოყენების შესახებ დაკვირვებითი კვლევების, დაბადების ჩანაწერებისა და შემთხვევების ანგარიშების შესახებ გამოქვეყნებული მონაცემები არ მიუთითებს თანდაყოლილი სერიოზული დეფექტების გაზრდილ რისკზე. ორსულობის დროს ანტიფსიქოზური მედიკამენტების ზემოქმედების ქვეშ მყოფი 9258 ქალის რეტროსპექტული კოჰორტული კვლევა Medicaid-ის მონაცემთა ბაზაში არ აჩვენებს თანდაყოლილი სერიოზული დეფექტების საერთო რისკს.</w:t>
      </w:r>
    </w:p>
    <w:p w14:paraId="5711F51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რამდენიმე პუბლიკაციაში აღნიშნულია გულ-სისხლძარღვთა მანკების გაზრდილი შემთხვევები ბავშვებში, რომლებზეც მოახდინა გავლენა საშვილოსნოსშიდა ფლუოქსეტინის ექსპოზიციამ. თუმცა, ამ კვლევების შედეგები არ ავლენს მიზეზ-შედეგობრივ კავშირს. ამ დაკვირვებითი კვლევების მეთოდოლოგიური შეზღუდვები მოიცავს შესაძლო ექსპოზიციისა და შედეგის არასწორ კლასიფიკაციას, ადეკვატური კონტროლის არარსებობას, ჩამრევი ფაქტორების კორექტირებას და დამადასტურებელ კვლევებს. თუმცა, ამ კვლევებს არ შეუძლიათ საბოლოოდ აჩვენონ ან გამორიცხონ ორსულობის დროს პრეპარატთან დაკავშირებული ნებისმიერი რისკი. </w:t>
      </w:r>
    </w:p>
    <w:p w14:paraId="66F5784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SSRI–ების ზემოქმედებამ, განსაკუთრებით ორსულობის გვიან სტადიაზე, შეიძლება გაზარდოს პერსისტული ფილტვისმიერი ჰიპერტენზიის (PPHN) რისკი. PPHN გვხვდება ზოგად პოპულაციაში 1000 ცოცხლად დაბადებულზე 1-2 შემთხვევით და ასოცირდება ახალშობილთა მნიშვნელოვან ავადობასა და სიკვდილიანობასთან.</w:t>
      </w:r>
    </w:p>
    <w:p w14:paraId="72154490" w14:textId="77777777" w:rsidR="008B1423" w:rsidRPr="00BE4F57" w:rsidRDefault="008B1423" w:rsidP="00A14CA6">
      <w:pPr>
        <w:spacing w:after="0" w:line="240" w:lineRule="auto"/>
        <w:jc w:val="both"/>
        <w:rPr>
          <w:rFonts w:ascii="Sylfaen" w:hAnsi="Sylfaen"/>
          <w:sz w:val="24"/>
          <w:szCs w:val="24"/>
          <w:lang w:val="ka-GE"/>
        </w:rPr>
      </w:pPr>
    </w:p>
    <w:p w14:paraId="34F44EA9"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 xml:space="preserve">მონაცემები ცხოველების შესახებ </w:t>
      </w:r>
    </w:p>
    <w:p w14:paraId="1B7A7719" w14:textId="77777777" w:rsidR="008B1423" w:rsidRPr="00BE4F57" w:rsidRDefault="008B1423" w:rsidP="00A14CA6">
      <w:pPr>
        <w:spacing w:after="0" w:line="240" w:lineRule="auto"/>
        <w:jc w:val="both"/>
        <w:rPr>
          <w:rFonts w:ascii="Sylfaen" w:hAnsi="Sylfaen"/>
          <w:sz w:val="24"/>
          <w:szCs w:val="24"/>
          <w:u w:val="single"/>
          <w:lang w:val="ka-GE"/>
        </w:rPr>
      </w:pPr>
    </w:p>
    <w:p w14:paraId="4437BB6B"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რექსეპი კომბი - ვირთაგვებსა და ბოცვრებში ჩატარდა ემბრიო-ფეტალური განვითარების კვლევები ოლანზაპინისა და ფლუოქსეტინის კომბინაციის დაბალი და მაღალი დოზების გამოყენებით. ვირთაგვებში გამოიყენებოდა დოზები 2 და 4 მგ/კგ/დღეში  (დაბალი დოზა) [ადამიანისთვის რეკომენდებულ მაქსიმალურ დოზაზე (MRHD) 2 და 1-ჯერ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 xml:space="preserve">-ის მიხედვით, შესაბამისად, ოლანზაპინის (12 მგ) და ფლუოქსეტინის (50 მგ) კომბინაციისთვის] და 4 და 8 მგ/კგ/დღეში (მაღალი დოზა) </w:t>
      </w:r>
      <w:r w:rsidRPr="00BE4F57">
        <w:rPr>
          <w:bCs/>
          <w:sz w:val="24"/>
          <w:szCs w:val="24"/>
          <w:u w:val="single"/>
          <w:lang w:val="ka-GE"/>
        </w:rPr>
        <w:t>[</w:t>
      </w:r>
      <w:r w:rsidRPr="00BE4F57">
        <w:rPr>
          <w:rFonts w:ascii="Sylfaen" w:hAnsi="Sylfaen"/>
          <w:bCs/>
          <w:sz w:val="24"/>
          <w:szCs w:val="24"/>
          <w:u w:val="single"/>
          <w:lang w:val="ka-GE"/>
        </w:rPr>
        <w:t>3 და 2–ჯერ მეტი</w:t>
      </w:r>
      <w:r w:rsidRPr="00BE4F57">
        <w:rPr>
          <w:rFonts w:ascii="Sylfaen" w:hAnsi="Sylfaen"/>
          <w:b/>
          <w:bCs/>
          <w:sz w:val="24"/>
          <w:szCs w:val="24"/>
          <w:u w:val="single"/>
          <w:lang w:val="ka-GE"/>
        </w:rPr>
        <w:t xml:space="preserve"> </w:t>
      </w:r>
      <w:r w:rsidRPr="00BE4F57">
        <w:rPr>
          <w:rFonts w:ascii="Sylfaen" w:hAnsi="Sylfaen"/>
          <w:sz w:val="24"/>
          <w:szCs w:val="24"/>
          <w:u w:val="single"/>
          <w:lang w:val="ka-GE"/>
        </w:rPr>
        <w:t>ადამიანისთვის რეკომენდებულ მაქსიმალურ დოზაზე (MRHD)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შესაბამისად]. ბიცვრებმა მიიღეს 4 და 4 მგ/კგ/დღეში (დაბალი დოზა) [ადამიანისთვის რეკომენდებულ მაქსიმალურ დოზაზე (MRHD) 6 და 2-ჯერ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შესაბამისად] და 8 და 8 მგ/კგ/დღეში (მაღალი დოზა) [ადამიანისთვის რეკომენდებულ მაქსიმალურ დოზაზე (MRHD) 13 და 3-ჯერ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შესაბამისად]. ამ კვლევებში ოლანზაპინი და ფლუოქსეტინი ასევე ინიშნებოდა ცალ-ცალკე მაღალი დოზებით (ვირთაგვებში 4 და 8 მგ/კგ/დღეში, შესაბამისად; ბოცვრებში 8 და 8 მგ/კგ/დღეში, შესაბამისად). ბოცვრებში ტერატოგენურობის ნიშნები არ დაფიქსირებულა, მაგრამ მაღალი დოზის კომბინაციამ გამოიწვია ნაყოფის წონის შემცირება და ჩონჩხის ოსიფიკაციის დაგვიანება დედაზე ტოქსიკური ზემოქმედებით. ანალოგიურად, ვირთაგვებში ტერატოგენურობის ნიშნები არ დაფიქსირებულა და მაღალი დოზის კომბინაციის დროს აღინიშნა ნაყოფის წონის შემცირება.</w:t>
      </w:r>
    </w:p>
    <w:p w14:paraId="291DE0B3"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ვირთაგვებზე ჩატარებულ პრე– და პოსტნატალურ კვლევაში, ოლანზაპინი და ფლუოქსეტინი იყო მიღებული პერორალურად კომბინაციაში დოზით 2 (ოლანზაპინი) და 4 (ფლუოქსეტინი) მგ–მდე/კგ/დღეში (MRHD-ზე 2 და 1-ჯერ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 xml:space="preserve">-ის მიხედვით, შესაბამისად) ორსულობის განმავლობაში და მთელი ლაქტაციის პერიოდში. </w:t>
      </w:r>
    </w:p>
    <w:p w14:paraId="7A41EAEC"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 xml:space="preserve">ლეკვებში ყველაზე მაღალი დოზის მიღებისას აღინიშნა ადრეული პოსტნატალური სიკვდილიანობის ზრდა (პოსტნატალური მე-4 დღემდე გადარჩენადობის მაჩვენებელი ლეკვზე </w:t>
      </w:r>
      <w:r w:rsidRPr="00BE4F57">
        <w:rPr>
          <w:rFonts w:ascii="Sylfaen" w:hAnsi="Sylfaen"/>
          <w:sz w:val="24"/>
          <w:szCs w:val="24"/>
          <w:u w:val="single"/>
          <w:lang w:val="ka-GE"/>
        </w:rPr>
        <w:lastRenderedPageBreak/>
        <w:t>69% იყო) და სხეულის წონის შემცირება (დედლებში დაახლოებით 8%): უეფექტო დოზა იყო 0.5 (ოლანზაპინი) პლუს 1 (ფლუოქსეტინი) მგ/კგ/დღეში (ნაკლები ვიდრე MRHD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სხეულის ზედაპირის ფართობის მიხედვით). გადარჩენილ ლეკვებში არცერთი დოზის მიღებისას არ დაფიქსირებულა უარყოფითი ზეგავლენა ფიზიკურ ან ნევროლოგიურ განვითარებაზე და რეპროდუქციულ ფუნქციაზე.</w:t>
      </w:r>
    </w:p>
    <w:p w14:paraId="4DDE4CE8" w14:textId="77777777" w:rsidR="008B1423" w:rsidRPr="00BE4F57" w:rsidRDefault="008B1423" w:rsidP="00A14CA6">
      <w:pPr>
        <w:spacing w:after="0" w:line="240" w:lineRule="auto"/>
        <w:jc w:val="both"/>
        <w:rPr>
          <w:rFonts w:ascii="Sylfaen" w:hAnsi="Sylfaen"/>
          <w:sz w:val="24"/>
          <w:szCs w:val="24"/>
          <w:lang w:val="ka-GE"/>
        </w:rPr>
      </w:pPr>
    </w:p>
    <w:p w14:paraId="64392CC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რეპროდუქციული კვლევების დროს 18 მგ–მდე/კგ/დღეში ვირთაგვებში და 30 მგ–მდე/კგ/დღეში ბოცვრებში პერორალური მიღებისას (დღიური პერორალური MRHD 12 მგ-ზე 15 და 49-ჯერ მეტი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შესაბამისად) ტერატოგენურობის ნიშნები არ დაფიქსირებულა. ვირთაგვებზე ჩატარებულ ტერატოლოგიურ კვლევაში 18 მგ/კგ/დღეში დოზის მიღებისას (დღიური პერორალური MRHD-ზე 15-ჯერ მეტი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დაფიქსირდა ადრეული რეზორბცია და არასიცოცხლისუნარიანი ნაყოფების რაოდენობის ზრდა. 10 მგ/კგ/დღეში დოზის მიღებისას (დღიური პერორალური MRHD-ზე 8-ჯერ მეტი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ორსულობა გახანგრძლივდა.</w:t>
      </w:r>
    </w:p>
    <w:p w14:paraId="0077DFF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ბოცვრებზე ჩატარებულ პერორალურ ტერატოლოგიურ კვლევაში დედისთვის ტოქსიკურმა დოზამ 30 მგ/კგ/დღეში (MRHD-ზე 49-ჯერ მეტი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გამოიწვია ნაყოფის ტოქსიკურობა, რაც გამოიხატა რეზორბციის გაზრდით და ნაყოფის წონის შემცირებით.</w:t>
      </w:r>
    </w:p>
    <w:p w14:paraId="11D771AE" w14:textId="77777777" w:rsidR="008B1423" w:rsidRPr="00BE4F57" w:rsidRDefault="008B1423" w:rsidP="00A14CA6">
      <w:pPr>
        <w:spacing w:after="0" w:line="240" w:lineRule="auto"/>
        <w:jc w:val="both"/>
        <w:rPr>
          <w:rFonts w:ascii="Sylfaen" w:hAnsi="Sylfaen"/>
          <w:sz w:val="24"/>
          <w:szCs w:val="24"/>
          <w:lang w:val="ka-GE"/>
        </w:rPr>
      </w:pPr>
    </w:p>
    <w:p w14:paraId="1130D21E"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w:t>
      </w:r>
      <w:r w:rsidRPr="00BE4F57">
        <w:rPr>
          <w:rFonts w:ascii="Sylfaen" w:hAnsi="Sylfaen"/>
          <w:sz w:val="24"/>
          <w:szCs w:val="24"/>
          <w:u w:val="single"/>
          <w:lang w:val="ka-GE"/>
        </w:rPr>
        <w:t>ვირთაგვებსა და ბოცვრებში ჩატარებულ პერორალურ ემბრიო-ფეტალურ განვითარებასთან დაკავშირებულ კვლევებში ორგანოგენეზის პერიოდში 12.5 და 15 მგ–მდე/კგ/დღეში დოზებით (MRHD 50 მგ-ზე 2 და 6-ჯერ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შესაბამისად) მიღების შემდეგ, არ აღინიშნა მანკების ან განვითარების ვარიაციების ნიშნები. თუმცა, ვირთაგვების რეპროდუქციულ კვლევებში, ორსულობის დროს დედის მიერ 12 მგ–მდე/კგ/დღეში (MRHD–ზე დაახლოებით 2-ჯერ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ან ორსულობის და ლაქტაციის პერიოდში 7.5 მგ/კგ/დღეში (MRHD–ზე დაახლოებით 1-ჯერ მეტი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 მიღების შემდეგ, მშობიარობიდან პირველი 7 დღის განმავლობაში მკვდრადშობადობის ზრდას მოჰყვა ლეკვების წონის შემცირება და ლეკვების სიკვდილიანობის ზრდა. ორსულობის დროს 12 მგ/კგ/დღეში მიღების შემდეგ, გადარჩენილ ვირთაგვებში განვითარების ნეიროტოქსიკურობის ნიშნები არ აღინიშნა. დოზა, რომელსაც არ ჰქონდა გავლენა ვირთაგვების ლეკვების სიკვდილიანობაზე, შეადგენდა 5 მგ/კგ/დღეში (დაახლოებით MRHD-ის ტოლი მგ/მ</w:t>
      </w:r>
      <w:r w:rsidRPr="00BE4F57">
        <w:rPr>
          <w:rFonts w:ascii="Sylfaen" w:hAnsi="Sylfaen"/>
          <w:sz w:val="24"/>
          <w:szCs w:val="24"/>
          <w:u w:val="single"/>
          <w:vertAlign w:val="superscript"/>
          <w:lang w:val="ka-GE"/>
        </w:rPr>
        <w:t>2</w:t>
      </w:r>
      <w:r w:rsidRPr="00BE4F57">
        <w:rPr>
          <w:rFonts w:ascii="Sylfaen" w:hAnsi="Sylfaen"/>
          <w:sz w:val="24"/>
          <w:szCs w:val="24"/>
          <w:u w:val="single"/>
          <w:lang w:val="ka-GE"/>
        </w:rPr>
        <w:t>-ის მიხედვით).</w:t>
      </w:r>
    </w:p>
    <w:p w14:paraId="18F986D4" w14:textId="77777777" w:rsidR="008B1423" w:rsidRPr="00BE4F57" w:rsidRDefault="008B1423" w:rsidP="00A14CA6">
      <w:pPr>
        <w:spacing w:after="0" w:line="240" w:lineRule="auto"/>
        <w:jc w:val="both"/>
        <w:rPr>
          <w:rFonts w:ascii="Sylfaen" w:hAnsi="Sylfaen"/>
          <w:sz w:val="24"/>
          <w:szCs w:val="24"/>
          <w:lang w:val="ka-GE"/>
        </w:rPr>
      </w:pPr>
    </w:p>
    <w:p w14:paraId="37B63E8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ლაქტაციის პერიოდი</w:t>
      </w:r>
    </w:p>
    <w:p w14:paraId="6588C7FF" w14:textId="77777777" w:rsidR="008B1423" w:rsidRPr="00BE4F57" w:rsidRDefault="008B1423" w:rsidP="00A14CA6">
      <w:pPr>
        <w:spacing w:after="0" w:line="240" w:lineRule="auto"/>
        <w:jc w:val="both"/>
        <w:rPr>
          <w:rFonts w:ascii="Sylfaen" w:hAnsi="Sylfaen"/>
          <w:sz w:val="24"/>
          <w:szCs w:val="24"/>
          <w:lang w:val="ka-GE"/>
        </w:rPr>
      </w:pPr>
    </w:p>
    <w:p w14:paraId="4B6D5DC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გამოქვეყნებულ ლიტერატურაში მოპოვებული მონაცემებით მოხსენებულია ოლანზაპინის, ფლუოქსეტინის და ნორფლუოქსეტინის არსებობა დედის რძეში. არსებობს ცნობები ჭარბი სედაციის, გაღიზიანების, არასაკმარისი კვების და ექსტრაპირამიდული სიმპტომების (ტრემორი და კუნთების პათოლოგიური მოძრაობები) შესახებ ჩვილებში, რომლებიც დედის რძით იღებდნენ ოლანზაპინს, და ასევე ცნობები აგზნების, გაღიზიანების, არასაკმარისი კვების და წონის ცუდი მატების შესახებ ჩვილებში, რომლებიც დედის რძით იღებდნენ ფლუოქსეტინს. არ არსებობს ინფორმაცია ოლანზაპინის, ფლუოქსეტინის და მათი მეტაბოლიტების დედის რძის პროდუქციაზე ზემოქმედების შესახებ.</w:t>
      </w:r>
    </w:p>
    <w:p w14:paraId="3DB444FC" w14:textId="77777777" w:rsidR="008B1423" w:rsidRPr="00BE4F57" w:rsidRDefault="008B1423" w:rsidP="00A14CA6">
      <w:pPr>
        <w:spacing w:after="0" w:line="240" w:lineRule="auto"/>
        <w:jc w:val="both"/>
        <w:rPr>
          <w:rFonts w:ascii="Sylfaen" w:hAnsi="Sylfaen"/>
          <w:sz w:val="24"/>
          <w:szCs w:val="24"/>
          <w:lang w:val="ka-GE"/>
        </w:rPr>
      </w:pPr>
    </w:p>
    <w:p w14:paraId="47C7444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განვითარებისთვის და ჯანმრთელობისთვის ძუძუთი კვების სასარგებლო თვისებები უნდა იქნას შედარებული დედისთვის რექსეპი კომბის კლინიკურ საჭიროებასთან და რექსეპი კომბის შესაძლო გვერდით მოვლენებთან ან დედის მდგომარეობის ზეგავლენასთან ძუძუთი კვებაზე მყოფ ბავშვზე. </w:t>
      </w:r>
    </w:p>
    <w:p w14:paraId="42930B4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 xml:space="preserve">რექსეპი კომბის ზემოქმედების ქვეშ მყოფი ჩვილები უნდა იმყოფებოდნენ მონიტორინგის ქვეშ აგზნებადობის, მოუსვენრობის, არასაკმარისი კვების, არასაკმარისი წონაში მატების, ჭარბი სედაციის და ექსტრაპირამიდული სიმპტომების (ტრემორი და კუნთების პათოლოგიური მოძრაობები) გამოსავლენად. </w:t>
      </w:r>
    </w:p>
    <w:p w14:paraId="1E2427B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კვლევაში, რომელშიც ცხრამეტი მეძუძური დედა მონაწილეობდა და რომლებიც დღიურად იღებდნენ 10-60 მგ ფლუოქსეტინს, ფლუოქსეტინი აღმოჩენილი იყო ძუძუთი კვებაზე მყოფი ჩვილების სისხლის შრატის 30%-ში (დიაპაზონი: 1-დან 84 ნგ/მლ-მდე), მაშინ როდესაც ნორფლუოქსეტინი აღმოჩენილი იყო 85%-ში (დიზაპაზონი: &lt;1–დან 265 ნგ/მლ-მდე).</w:t>
      </w:r>
    </w:p>
    <w:p w14:paraId="6C15570C" w14:textId="77777777" w:rsidR="008B1423" w:rsidRPr="00BE4F57" w:rsidRDefault="008B1423" w:rsidP="00A14CA6">
      <w:pPr>
        <w:spacing w:after="0" w:line="240" w:lineRule="auto"/>
        <w:jc w:val="both"/>
        <w:rPr>
          <w:rFonts w:ascii="Sylfaen" w:hAnsi="Sylfaen"/>
          <w:sz w:val="24"/>
          <w:szCs w:val="24"/>
          <w:lang w:val="ka-GE"/>
        </w:rPr>
      </w:pPr>
    </w:p>
    <w:p w14:paraId="09B95BF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რეპროდუქციული უნარი/ფერტილობა</w:t>
      </w:r>
    </w:p>
    <w:p w14:paraId="2709450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 ფარმაკოლოგიური მოქმედების (დოფამინ D2 რეცეპტორების ბლოკადა) გათვალისწინებით, რექსეპი კომბით მკურნალობამ შეიძლება გამოიწვიოს შრატის პროლაქტინის დონის მომატება, რამაც შეიძლება გამოიწვიოს ნაყოფიერების შექცევადი შემცირება რეპროდუქციული პოტენციალის მქონე ქალებში (იხილეთ ნაწილი 4.4. განსაკუთრებული გაფრთხილებები გამოყენებისას და უსაფრთხოების ზომები).</w:t>
      </w:r>
    </w:p>
    <w:p w14:paraId="29AA0FE3" w14:textId="77777777" w:rsidR="008B1423" w:rsidRPr="00BE4F57" w:rsidRDefault="008B1423" w:rsidP="00A14CA6">
      <w:pPr>
        <w:spacing w:after="0" w:line="240" w:lineRule="auto"/>
        <w:jc w:val="both"/>
        <w:rPr>
          <w:rFonts w:ascii="Sylfaen" w:hAnsi="Sylfaen"/>
          <w:sz w:val="24"/>
          <w:szCs w:val="24"/>
          <w:lang w:val="ka-GE"/>
        </w:rPr>
      </w:pPr>
    </w:p>
    <w:p w14:paraId="7C3031F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4.7 ზემოქმედება ავტომობილის მართვასა და მექანიზმებთან მუშაობის უნარზე</w:t>
      </w:r>
    </w:p>
    <w:p w14:paraId="5FFA651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კომბინაციით მკურნალობის შედეგად გამოვლენილი გვერდითი რეაქციები, რომლებიც ასოცირდება სედაციასთან, ფართოდ არის აღწერილი. სედაციასთან დაკავშირებული გვერდითი რეაქციები (სედაცია, ძილიანობა, ჰიპერსომნია და ლეთარგია) იწვევდა პაციენტების 2%-ის (15/771) კონტროლირებად კლინიკურ კვლევებში მონაწილეობის შეწყვეტას. ყველა სხვა მედიკამენტის მსგავსად, რომელიც ზემოქმედებს ცენტრალურ ნერვულ სისტემაზე, რექსეპი კომბისაც შეუძლია დააქვეითოს გადაწყვეტილების მიღების, აზროვნების და მოტორული უნარები. პაციენტებმა არ უნდა მართონ სახიპათო მექანიზმები, მათ შორის სატრანსპორტო საშუალებები, სანამ აბსოლუტურად არ დარწმუნდებიან, რომ რექსეპი კომბით მკურნალობამ მათზე უარყოფითი გავლენა არ მოახდინა.</w:t>
      </w:r>
    </w:p>
    <w:p w14:paraId="240412D2" w14:textId="77777777" w:rsidR="008B1423" w:rsidRPr="00BE4F57" w:rsidRDefault="008B1423" w:rsidP="00A14CA6">
      <w:pPr>
        <w:spacing w:after="0" w:line="240" w:lineRule="auto"/>
        <w:jc w:val="both"/>
        <w:rPr>
          <w:rFonts w:ascii="Sylfaen" w:hAnsi="Sylfaen"/>
          <w:sz w:val="24"/>
          <w:szCs w:val="24"/>
          <w:lang w:val="ka-GE"/>
        </w:rPr>
      </w:pPr>
    </w:p>
    <w:p w14:paraId="4B52CD5E"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4.8. არასასურველი ეფექტები</w:t>
      </w:r>
    </w:p>
    <w:p w14:paraId="429D692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კლინიკური კვლევების გამოცდილება</w:t>
      </w:r>
    </w:p>
    <w:p w14:paraId="2BD7435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იმის გამო, რომ კლინიკური კვლევები ტარდება მრავალფეროვანი პირობების ქვეშ, ერთი მედიკამენტის კლინიკურ კვლევებში დაფიქსირებული გვერდითი რეაქციების მაჩვენებლების პირდაპირ შედარება შეუძლებელია სხვა მედიკამენტის კლინიკურ კვლევებში მაჩვენებლებთან და შესაძლოა არ ასახავდეს ან არ იწინასწარმეტყველებდეს პრაქტიკაში დაფიქსირებულ მაჩვენებლებს.</w:t>
      </w:r>
    </w:p>
    <w:p w14:paraId="7C3E984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ცხრილებში მოცემული მონაცემები წარმოადგენს იმ პირთა პროპორციას, რომლებმაც ერთხელ მაინც განიცადეს ჩამოთვლილი ტიპის მკურნალობასთან დაკავშირებული გვერდითი მოვლენა. რეაქცია მკურნალობასთან დაკავშირებულად ჩაითვალა, თუ ის პირველად გამოვლინდა ან გაუარესდა მკურნალობის დროს საწყისი შეფასების შემდეგ.</w:t>
      </w:r>
    </w:p>
    <w:p w14:paraId="086590F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მოზრდილები</w:t>
      </w:r>
      <w:r w:rsidRPr="00BE4F57">
        <w:rPr>
          <w:rFonts w:ascii="Sylfaen" w:hAnsi="Sylfaen"/>
          <w:sz w:val="24"/>
          <w:szCs w:val="24"/>
          <w:lang w:val="ka-GE"/>
        </w:rPr>
        <w:t xml:space="preserve"> - შემდეგი ინფორმაცია მიღებული იქნა კლინიკური კვლევის მონაცემთა ბაზიდან, რომელშიც მონაწილეობდა 2547 პაციენტი, რომლებსაც აღენიშნებოდათ მკურნალობაზე რეზისტენტული დეპრესია, ბიპოლარული I ტიპის აშლილობასთან დაკავშირებული დეპრესიული ეპიზოდები,  დიდი დეპრესიული აშლილობა ფსიქოზით ან სექსუალური დისფუნქციით ოლანზაპინისა და ფლუოქსეტინის კომბინაციის გამოყენებისას, დაახლოებით 1085 პაციენტ–წელიწადის გამოყენებით. ოლანზაპინისა და ფლუოქსეტინის კომბინაციით მკურნალობის პირობები და ხანგრძლივობა მნიშვნელოვნად განსხვავდებოდა და მოიცავდა (გადამფარავ კატეგორიებში) კვლევების ღია და ორმაგ ბრმა ფაზებს, სტაციონარულ და </w:t>
      </w:r>
      <w:r w:rsidRPr="00BE4F57">
        <w:rPr>
          <w:rFonts w:ascii="Sylfaen" w:hAnsi="Sylfaen"/>
          <w:sz w:val="24"/>
          <w:szCs w:val="24"/>
          <w:lang w:val="ka-GE"/>
        </w:rPr>
        <w:lastRenderedPageBreak/>
        <w:t>ამბულატორიულ პაციენტებს, ფიქსირებული დოზის და დოზის ტიტრაციის კვლევებს და მოკლევადიან ან გრძელვადიან ზემოქმედებას.</w:t>
      </w:r>
    </w:p>
    <w:p w14:paraId="3B767F23" w14:textId="77777777" w:rsidR="008B1423" w:rsidRPr="00BE4F57" w:rsidRDefault="008B1423" w:rsidP="00A14CA6">
      <w:pPr>
        <w:spacing w:after="0" w:line="240" w:lineRule="auto"/>
        <w:jc w:val="both"/>
        <w:rPr>
          <w:rFonts w:ascii="Sylfaen" w:hAnsi="Sylfaen"/>
          <w:sz w:val="24"/>
          <w:szCs w:val="24"/>
          <w:lang w:val="ka-GE"/>
        </w:rPr>
      </w:pPr>
    </w:p>
    <w:p w14:paraId="4BF838C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მკურნალობის შეწყვეტასთან დაკავშირებული გვერდითი რეაქციები ბიპოლარული I აშლილობისა და მკურნალობისადმი რეზისტენტული დეპრესიის მოკლევადიან, კონტროლირებად კვლევებში</w:t>
      </w:r>
      <w:r w:rsidRPr="00BE4F57">
        <w:rPr>
          <w:rFonts w:ascii="Sylfaen" w:hAnsi="Sylfaen"/>
          <w:sz w:val="24"/>
          <w:szCs w:val="24"/>
          <w:lang w:val="ka-GE"/>
        </w:rPr>
        <w:t xml:space="preserve"> - საერთო ჯამში, ოლანზაპინის და ფლუოქსეტინის კომბინაციის ჯგუფში 771 პაციენტიდან 11.3%-მა შეაჩერა მკურნალობა გვერდითი რეაქციების გამო პლაცებო ჯგუფში 477 პაციენტიდან 4.4%-თან შედარებით. MedDRA ლექსიკონის კოდირების გამოყენებით (ოლანზაპინისა და ფლუოქსეტინის კომბინაციის შემთხვევები მინიმუმ 1% და პლაცებოსთვის უფრო მაღალი) მკურნალობის შეწყვეტის გამომწვევი გვერდითი რეაქციები იყო წონის მატება (2%) და სედაცია (1%), ხოლო პლაცებოს მიმღები პაციენტების შემთხვევაში წონის მატების და სედაციის სიხშირე შეადგენდა 0%–ს.</w:t>
      </w:r>
    </w:p>
    <w:p w14:paraId="0CA72D0C" w14:textId="77777777" w:rsidR="008B1423" w:rsidRPr="00BE4F57" w:rsidRDefault="008B1423" w:rsidP="00A14CA6">
      <w:pPr>
        <w:spacing w:after="0" w:line="240" w:lineRule="auto"/>
        <w:jc w:val="both"/>
        <w:rPr>
          <w:rFonts w:ascii="Sylfaen" w:hAnsi="Sylfaen"/>
          <w:sz w:val="24"/>
          <w:szCs w:val="24"/>
          <w:lang w:val="ka-GE"/>
        </w:rPr>
      </w:pPr>
    </w:p>
    <w:p w14:paraId="0477D76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გვერდითი რეაქციები ხშირად დაფიქსირებულ კონტროლირებად კვლევებში, რომლებიც  მოიცავდა ბიპოლარულ I აშლილობასთან დაკავშირებულ დეპრესიულ ეპიზოდებს და მკურნალობისადმი რეზისტენტულ დეპრესიას</w:t>
      </w:r>
      <w:r w:rsidRPr="00BE4F57">
        <w:rPr>
          <w:rFonts w:ascii="Sylfaen" w:hAnsi="Sylfaen"/>
          <w:sz w:val="24"/>
          <w:szCs w:val="24"/>
          <w:lang w:val="ka-GE"/>
        </w:rPr>
        <w:t xml:space="preserve"> – მოკლევადიან კვლევებში ოლანზაპინისა და ფლუოქსეტინის კომბინაციის გამოყენებასთან დაკავშირებული ყველაზე ხშირად გამოვლენილი გვერდითი რეაქციები MedDRA ლექსიკონის კოდირების გამოყენებით (სიხშირე ≥ 5% და პლაცებოსთან შედარებით მინიმუმ ორჯერ მეტი ოლანზაპინისა და ფლუოქსეტინის კომბინაციის კონტროლირებად მონაცემთა ბაზაში): დაქვეითებული ყურადღება, პირის სიმშრალე, დაღლილობა, ჰიპერსომნია, მომატებული მადა, პერიფერიული შეშუპება, სედაცია, ძილიანობა, ტრემორი, მხედველობის დაბინდვა და წონის მომატება. ოლანზაპინისა და ფლუოქსეტინის ერთად გამოყენებისას კლინიკურ კვლევებში მოხსნებული გვერდითი ეფექტები ზოგადად შეესაბამება ოლანზაპინით ან ფლუოქსეტინით მონოთერაპიის სახით მკურნალობის დროს გამოვლენილ გვერდით ეფექტებს. მკურნალობისადმი რეზისტენტული დეპრესიის მქონე მოზრდილებში ჩატარებულ 47-კვირიან შემანარჩუნებელ კვლევაში, ოლანზაპინისა და ფლუოქსეტინის კომბინაციასთან დაკავშირებული გვერდითი რეაქციები ზოგადად მსგავსი იყო მოკლევადიან კვლევებში დაფიქსირებული გვერდითი რეაქციებისა. კვლევის განმავლობაში ოლანზაპინისა და ფლუოქსეტინის კომბინაციით მკურნალობისას პაციენტებში აღინიშნა წონის მატება, ჰიპერლიპიდემია და ჰიპერგლიკემია.</w:t>
      </w:r>
    </w:p>
    <w:p w14:paraId="048FBDE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 xml:space="preserve">გვერდითი რეაქციები, რომლებიც გამოვლინდა 2%-იანი ან მეტი სიხშირით მოკლევადიან კვლევებში, რომლებიც მოიცავდა ბიპოლარულ I აშლილობასთან დაკავშირებულ დეპრესიულ ეპიზოდებს და მკურნალობისადმი რეზისტენტულ დეპრესიას </w:t>
      </w:r>
      <w:r w:rsidRPr="00BE4F57">
        <w:rPr>
          <w:rFonts w:ascii="Sylfaen" w:hAnsi="Sylfaen"/>
          <w:sz w:val="24"/>
          <w:szCs w:val="24"/>
          <w:lang w:val="ka-GE"/>
        </w:rPr>
        <w:t>- ცხრილი 16 ასახავს მკურნალობასთან დაკავშირებულ გვერდით რეაქციებს, რომლებიც დაკავშირებულია ოლანზაპინისა და ფლუოქსეტინის კომბინაციის გამოყენებასთან (სიხშირე მინიმუმ 2% ოლანზაპინისა და ფლუოქსეტინის კომბინაციისთვის და ორჯერადი ან მეტი სიხშირე პლაცებოსთან მიმართებაში). ოლანზაპინისა და ფლუოქსეტინის კომბინაციაში კონტროლირებადი სვეტი მოიცავს პაციენტებს სხვადასხვა დიაგნოზით, ხოლო პლაცებოს სვეტი მოიცავს მხოლოდ პაციენტებს ბიპოლარული დეპრესიით და დიდი დეპრესიით ფსიქოზური ნიშნებით.</w:t>
      </w:r>
    </w:p>
    <w:p w14:paraId="1973EEFA" w14:textId="77777777" w:rsidR="008B1423" w:rsidRPr="00BE4F57" w:rsidRDefault="008B1423" w:rsidP="00A14CA6">
      <w:pPr>
        <w:spacing w:after="0" w:line="240" w:lineRule="auto"/>
        <w:jc w:val="both"/>
        <w:rPr>
          <w:rFonts w:ascii="Sylfaen" w:hAnsi="Sylfaen"/>
          <w:sz w:val="24"/>
          <w:szCs w:val="24"/>
          <w:lang w:val="ka-GE"/>
        </w:rPr>
      </w:pPr>
    </w:p>
    <w:p w14:paraId="0FA3B3EE" w14:textId="77777777" w:rsidR="008B1423" w:rsidRPr="00BE4F57" w:rsidRDefault="008B1423" w:rsidP="00A14CA6">
      <w:pPr>
        <w:spacing w:after="0" w:line="240" w:lineRule="auto"/>
        <w:jc w:val="both"/>
        <w:rPr>
          <w:rFonts w:ascii="Sylfaen" w:hAnsi="Sylfaen"/>
          <w:b/>
          <w:sz w:val="24"/>
          <w:szCs w:val="24"/>
        </w:rPr>
      </w:pPr>
      <w:r w:rsidRPr="00BE4F57">
        <w:rPr>
          <w:rFonts w:ascii="Sylfaen" w:hAnsi="Sylfaen"/>
          <w:b/>
          <w:sz w:val="24"/>
          <w:szCs w:val="24"/>
        </w:rPr>
        <w:t>ცხრილი 16: გვერდითი რეაქციების სიხშირე მოზრდილებში ჩატარებულ მოკლევადიან კონტროლირებად კლინიკურ კვლევებში</w:t>
      </w:r>
    </w:p>
    <w:tbl>
      <w:tblPr>
        <w:tblW w:w="9257" w:type="dxa"/>
        <w:tblInd w:w="93" w:type="dxa"/>
        <w:tblLayout w:type="fixed"/>
        <w:tblLook w:val="01E0" w:firstRow="1" w:lastRow="1" w:firstColumn="1" w:lastColumn="1" w:noHBand="0" w:noVBand="0"/>
      </w:tblPr>
      <w:tblGrid>
        <w:gridCol w:w="3407"/>
        <w:gridCol w:w="2070"/>
        <w:gridCol w:w="2070"/>
        <w:gridCol w:w="1710"/>
      </w:tblGrid>
      <w:tr w:rsidR="008B1423" w:rsidRPr="00BE4F57" w14:paraId="30B1E367" w14:textId="77777777" w:rsidTr="004F3144">
        <w:trPr>
          <w:trHeight w:hRule="exact" w:val="1037"/>
        </w:trPr>
        <w:tc>
          <w:tcPr>
            <w:tcW w:w="3407" w:type="dxa"/>
            <w:vMerge w:val="restart"/>
            <w:tcBorders>
              <w:top w:val="single" w:sz="8" w:space="0" w:color="000000"/>
              <w:left w:val="single" w:sz="8" w:space="0" w:color="000000"/>
              <w:bottom w:val="single" w:sz="8" w:space="0" w:color="000000"/>
              <w:right w:val="single" w:sz="8" w:space="0" w:color="000000"/>
            </w:tcBorders>
          </w:tcPr>
          <w:p w14:paraId="163A7367" w14:textId="77777777" w:rsidR="008B1423" w:rsidRPr="00BE4F57" w:rsidRDefault="008B1423" w:rsidP="00A14CA6">
            <w:pPr>
              <w:pStyle w:val="BodyText"/>
              <w:spacing w:after="0" w:line="240" w:lineRule="auto"/>
              <w:rPr>
                <w:rFonts w:ascii="Sylfaen" w:hAnsi="Sylfaen"/>
                <w:sz w:val="24"/>
                <w:szCs w:val="24"/>
              </w:rPr>
            </w:pPr>
          </w:p>
          <w:p w14:paraId="5B69E3E6" w14:textId="77777777" w:rsidR="008B1423" w:rsidRPr="00BE4F57" w:rsidRDefault="008B1423" w:rsidP="00A14CA6">
            <w:pPr>
              <w:pStyle w:val="BodyText"/>
              <w:spacing w:after="0" w:line="240" w:lineRule="auto"/>
              <w:rPr>
                <w:rFonts w:ascii="Sylfaen" w:hAnsi="Sylfaen"/>
                <w:sz w:val="24"/>
                <w:szCs w:val="24"/>
              </w:rPr>
            </w:pPr>
          </w:p>
          <w:p w14:paraId="0858D237" w14:textId="77777777" w:rsidR="008B1423" w:rsidRPr="00BE4F57" w:rsidRDefault="008B1423" w:rsidP="00A14CA6">
            <w:pPr>
              <w:pStyle w:val="BodyText"/>
              <w:spacing w:after="0" w:line="240" w:lineRule="auto"/>
              <w:rPr>
                <w:rFonts w:ascii="Sylfaen" w:hAnsi="Sylfaen"/>
                <w:b/>
                <w:sz w:val="24"/>
                <w:szCs w:val="24"/>
                <w:lang w:val="ka-GE"/>
              </w:rPr>
            </w:pPr>
            <w:r w:rsidRPr="00BE4F57">
              <w:rPr>
                <w:rFonts w:ascii="Sylfaen" w:hAnsi="Sylfaen"/>
                <w:b/>
                <w:bCs/>
                <w:sz w:val="24"/>
                <w:szCs w:val="24"/>
                <w:lang w:val="ka-GE"/>
              </w:rPr>
              <w:t>ორგანოთა სისტემის კლასი</w:t>
            </w:r>
          </w:p>
        </w:tc>
        <w:tc>
          <w:tcPr>
            <w:tcW w:w="2070" w:type="dxa"/>
            <w:vMerge w:val="restart"/>
            <w:tcBorders>
              <w:top w:val="single" w:sz="8" w:space="0" w:color="000000"/>
              <w:left w:val="single" w:sz="8" w:space="0" w:color="000000"/>
              <w:bottom w:val="single" w:sz="8" w:space="0" w:color="000000"/>
              <w:right w:val="single" w:sz="8" w:space="0" w:color="000000"/>
            </w:tcBorders>
          </w:tcPr>
          <w:p w14:paraId="52852B6C" w14:textId="77777777" w:rsidR="008B1423" w:rsidRPr="00BE4F57" w:rsidRDefault="008B1423" w:rsidP="00A14CA6">
            <w:pPr>
              <w:pStyle w:val="BodyText"/>
              <w:spacing w:after="0" w:line="240" w:lineRule="auto"/>
              <w:rPr>
                <w:rFonts w:ascii="Sylfaen" w:hAnsi="Sylfaen"/>
                <w:sz w:val="24"/>
                <w:szCs w:val="24"/>
              </w:rPr>
            </w:pPr>
          </w:p>
          <w:p w14:paraId="59DFA4DA" w14:textId="77777777" w:rsidR="008B1423" w:rsidRPr="00BE4F57" w:rsidRDefault="008B1423" w:rsidP="00A14CA6">
            <w:pPr>
              <w:pStyle w:val="BodyText"/>
              <w:spacing w:after="0" w:line="240" w:lineRule="auto"/>
              <w:rPr>
                <w:rFonts w:ascii="Sylfaen" w:hAnsi="Sylfaen"/>
                <w:sz w:val="24"/>
                <w:szCs w:val="24"/>
              </w:rPr>
            </w:pPr>
          </w:p>
          <w:p w14:paraId="73C41822" w14:textId="77777777" w:rsidR="008B1423" w:rsidRPr="00BE4F57" w:rsidRDefault="008B1423" w:rsidP="00A14CA6">
            <w:pPr>
              <w:pStyle w:val="BodyText"/>
              <w:spacing w:after="0" w:line="240" w:lineRule="auto"/>
              <w:rPr>
                <w:rFonts w:ascii="Sylfaen" w:hAnsi="Sylfaen"/>
                <w:b/>
                <w:sz w:val="24"/>
                <w:szCs w:val="24"/>
                <w:lang w:val="ka-GE"/>
              </w:rPr>
            </w:pPr>
            <w:r w:rsidRPr="00BE4F57">
              <w:rPr>
                <w:rFonts w:ascii="Sylfaen" w:hAnsi="Sylfaen"/>
                <w:b/>
                <w:bCs/>
                <w:sz w:val="24"/>
                <w:szCs w:val="24"/>
                <w:lang w:val="ka-GE"/>
              </w:rPr>
              <w:t xml:space="preserve">გვერდითი </w:t>
            </w:r>
            <w:r w:rsidRPr="00BE4F57">
              <w:rPr>
                <w:rFonts w:ascii="Sylfaen" w:hAnsi="Sylfaen"/>
                <w:b/>
                <w:bCs/>
                <w:sz w:val="24"/>
                <w:szCs w:val="24"/>
                <w:lang w:val="ka-GE"/>
              </w:rPr>
              <w:lastRenderedPageBreak/>
              <w:t>რეაქციები</w:t>
            </w:r>
          </w:p>
        </w:tc>
        <w:tc>
          <w:tcPr>
            <w:tcW w:w="3780" w:type="dxa"/>
            <w:gridSpan w:val="2"/>
            <w:tcBorders>
              <w:top w:val="single" w:sz="8" w:space="0" w:color="000000"/>
              <w:left w:val="single" w:sz="8" w:space="0" w:color="000000"/>
              <w:bottom w:val="single" w:sz="8" w:space="0" w:color="000000"/>
              <w:right w:val="single" w:sz="8" w:space="0" w:color="000000"/>
            </w:tcBorders>
          </w:tcPr>
          <w:p w14:paraId="44DEC17E"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cs="Sylfaen"/>
                <w:b/>
                <w:bCs/>
                <w:sz w:val="24"/>
                <w:szCs w:val="24"/>
              </w:rPr>
              <w:lastRenderedPageBreak/>
              <w:t>ინციდენტების</w:t>
            </w:r>
            <w:r w:rsidRPr="00BE4F57">
              <w:rPr>
                <w:rFonts w:ascii="Sylfaen" w:hAnsi="Sylfaen"/>
                <w:b/>
                <w:bCs/>
                <w:sz w:val="24"/>
                <w:szCs w:val="24"/>
              </w:rPr>
              <w:t xml:space="preserve"> </w:t>
            </w:r>
            <w:r w:rsidRPr="00BE4F57">
              <w:rPr>
                <w:rFonts w:ascii="Sylfaen" w:hAnsi="Sylfaen" w:cs="Sylfaen"/>
                <w:b/>
                <w:bCs/>
                <w:sz w:val="24"/>
                <w:szCs w:val="24"/>
                <w:lang w:val="ka-GE"/>
              </w:rPr>
              <w:t>მომხსენებელი</w:t>
            </w:r>
            <w:r w:rsidRPr="00BE4F57">
              <w:rPr>
                <w:rFonts w:ascii="Sylfaen" w:hAnsi="Sylfaen"/>
                <w:b/>
                <w:bCs/>
                <w:sz w:val="24"/>
                <w:szCs w:val="24"/>
              </w:rPr>
              <w:t xml:space="preserve"> </w:t>
            </w:r>
            <w:r w:rsidRPr="00BE4F57">
              <w:rPr>
                <w:rFonts w:ascii="Sylfaen" w:hAnsi="Sylfaen" w:cs="Sylfaen"/>
                <w:b/>
                <w:bCs/>
                <w:sz w:val="24"/>
                <w:szCs w:val="24"/>
              </w:rPr>
              <w:t>პაციენტების</w:t>
            </w:r>
            <w:r w:rsidRPr="00BE4F57">
              <w:rPr>
                <w:rFonts w:ascii="Sylfaen" w:hAnsi="Sylfaen"/>
                <w:b/>
                <w:bCs/>
                <w:sz w:val="24"/>
                <w:szCs w:val="24"/>
              </w:rPr>
              <w:t xml:space="preserve"> </w:t>
            </w:r>
            <w:r w:rsidRPr="00BE4F57">
              <w:rPr>
                <w:rFonts w:ascii="Sylfaen" w:hAnsi="Sylfaen" w:cs="Sylfaen"/>
                <w:b/>
                <w:bCs/>
                <w:sz w:val="24"/>
                <w:szCs w:val="24"/>
              </w:rPr>
              <w:t>პროცენტული</w:t>
            </w:r>
            <w:r w:rsidRPr="00BE4F57">
              <w:rPr>
                <w:rFonts w:ascii="Sylfaen" w:hAnsi="Sylfaen"/>
                <w:b/>
                <w:bCs/>
                <w:sz w:val="24"/>
                <w:szCs w:val="24"/>
              </w:rPr>
              <w:t xml:space="preserve"> </w:t>
            </w:r>
            <w:r w:rsidRPr="00BE4F57">
              <w:rPr>
                <w:rFonts w:ascii="Sylfaen" w:hAnsi="Sylfaen" w:cs="Sylfaen"/>
                <w:b/>
                <w:bCs/>
                <w:sz w:val="24"/>
                <w:szCs w:val="24"/>
              </w:rPr>
              <w:t>მაჩვენებელი</w:t>
            </w:r>
          </w:p>
        </w:tc>
      </w:tr>
      <w:tr w:rsidR="008B1423" w:rsidRPr="00BE4F57" w14:paraId="5E506CF4" w14:textId="77777777" w:rsidTr="004F3144">
        <w:trPr>
          <w:trHeight w:hRule="exact" w:val="1982"/>
        </w:trPr>
        <w:tc>
          <w:tcPr>
            <w:tcW w:w="3407" w:type="dxa"/>
            <w:vMerge/>
            <w:tcBorders>
              <w:top w:val="single" w:sz="8" w:space="0" w:color="000000"/>
              <w:left w:val="single" w:sz="8" w:space="0" w:color="000000"/>
              <w:bottom w:val="single" w:sz="8" w:space="0" w:color="000000"/>
              <w:right w:val="single" w:sz="8" w:space="0" w:color="000000"/>
            </w:tcBorders>
            <w:vAlign w:val="center"/>
          </w:tcPr>
          <w:p w14:paraId="336DBE16" w14:textId="77777777" w:rsidR="008B1423" w:rsidRPr="00BE4F57" w:rsidRDefault="008B1423" w:rsidP="00A14CA6">
            <w:pPr>
              <w:pStyle w:val="BodyText"/>
              <w:spacing w:after="0" w:line="240" w:lineRule="auto"/>
              <w:rPr>
                <w:rFonts w:ascii="Sylfaen" w:hAnsi="Sylfaen"/>
                <w:b/>
                <w:sz w:val="24"/>
                <w:szCs w:val="24"/>
              </w:rPr>
            </w:pPr>
          </w:p>
        </w:tc>
        <w:tc>
          <w:tcPr>
            <w:tcW w:w="2070" w:type="dxa"/>
            <w:vMerge/>
            <w:tcBorders>
              <w:top w:val="single" w:sz="8" w:space="0" w:color="000000"/>
              <w:left w:val="single" w:sz="8" w:space="0" w:color="000000"/>
              <w:bottom w:val="single" w:sz="8" w:space="0" w:color="000000"/>
              <w:right w:val="single" w:sz="8" w:space="0" w:color="000000"/>
            </w:tcBorders>
            <w:vAlign w:val="center"/>
          </w:tcPr>
          <w:p w14:paraId="14221967" w14:textId="77777777" w:rsidR="008B1423" w:rsidRPr="00BE4F57" w:rsidRDefault="008B1423" w:rsidP="00A14CA6">
            <w:pPr>
              <w:pStyle w:val="BodyText"/>
              <w:spacing w:after="0" w:line="240" w:lineRule="auto"/>
              <w:rPr>
                <w:rFonts w:ascii="Sylfaen" w:hAnsi="Sylfaen"/>
                <w:b/>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7B353BDD"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cs="Sylfaen"/>
                <w:b/>
                <w:bCs/>
                <w:sz w:val="24"/>
                <w:szCs w:val="24"/>
              </w:rPr>
              <w:t>ოლანზაპინისა</w:t>
            </w:r>
            <w:r w:rsidRPr="00BE4F57">
              <w:rPr>
                <w:rFonts w:ascii="Sylfaen" w:hAnsi="Sylfaen"/>
                <w:b/>
                <w:bCs/>
                <w:sz w:val="24"/>
                <w:szCs w:val="24"/>
              </w:rPr>
              <w:t xml:space="preserve"> </w:t>
            </w:r>
            <w:r w:rsidRPr="00BE4F57">
              <w:rPr>
                <w:rFonts w:ascii="Sylfaen" w:hAnsi="Sylfaen" w:cs="Sylfaen"/>
                <w:b/>
                <w:bCs/>
                <w:sz w:val="24"/>
                <w:szCs w:val="24"/>
              </w:rPr>
              <w:t>და</w:t>
            </w:r>
            <w:r w:rsidRPr="00BE4F57">
              <w:rPr>
                <w:rFonts w:ascii="Sylfaen" w:hAnsi="Sylfaen"/>
                <w:b/>
                <w:bCs/>
                <w:sz w:val="24"/>
                <w:szCs w:val="24"/>
              </w:rPr>
              <w:t xml:space="preserve"> </w:t>
            </w:r>
            <w:r w:rsidRPr="00BE4F57">
              <w:rPr>
                <w:rFonts w:ascii="Sylfaen" w:hAnsi="Sylfaen" w:cs="Sylfaen"/>
                <w:b/>
                <w:bCs/>
                <w:sz w:val="24"/>
                <w:szCs w:val="24"/>
              </w:rPr>
              <w:t>ფლუოქსეტინის</w:t>
            </w:r>
            <w:r w:rsidRPr="00BE4F57">
              <w:rPr>
                <w:rFonts w:ascii="Sylfaen" w:hAnsi="Sylfaen"/>
                <w:b/>
                <w:bCs/>
                <w:sz w:val="24"/>
                <w:szCs w:val="24"/>
              </w:rPr>
              <w:t xml:space="preserve"> </w:t>
            </w:r>
            <w:r w:rsidRPr="00BE4F57">
              <w:rPr>
                <w:rFonts w:ascii="Sylfaen" w:hAnsi="Sylfaen" w:cs="Sylfaen"/>
                <w:b/>
                <w:bCs/>
                <w:sz w:val="24"/>
                <w:szCs w:val="24"/>
              </w:rPr>
              <w:t>კონტროლირებადი</w:t>
            </w:r>
            <w:r w:rsidRPr="00BE4F57">
              <w:rPr>
                <w:rFonts w:ascii="Sylfaen" w:hAnsi="Sylfaen"/>
                <w:b/>
                <w:bCs/>
                <w:sz w:val="24"/>
                <w:szCs w:val="24"/>
              </w:rPr>
              <w:t xml:space="preserve"> </w:t>
            </w:r>
            <w:r w:rsidRPr="00BE4F57">
              <w:rPr>
                <w:rFonts w:ascii="Sylfaen" w:hAnsi="Sylfaen" w:cs="Sylfaen"/>
                <w:b/>
                <w:bCs/>
                <w:sz w:val="24"/>
                <w:szCs w:val="24"/>
              </w:rPr>
              <w:t>კომბინაცია</w:t>
            </w:r>
            <w:r w:rsidRPr="00BE4F57">
              <w:rPr>
                <w:rFonts w:ascii="Sylfaen" w:hAnsi="Sylfaen"/>
                <w:b/>
                <w:bCs/>
                <w:sz w:val="24"/>
                <w:szCs w:val="24"/>
              </w:rPr>
              <w:t xml:space="preserve"> (N=771)</w:t>
            </w:r>
          </w:p>
        </w:tc>
        <w:tc>
          <w:tcPr>
            <w:tcW w:w="1710" w:type="dxa"/>
            <w:tcBorders>
              <w:top w:val="single" w:sz="8" w:space="0" w:color="000000"/>
              <w:left w:val="single" w:sz="8" w:space="0" w:color="000000"/>
              <w:bottom w:val="single" w:sz="8" w:space="0" w:color="000000"/>
              <w:right w:val="single" w:sz="8" w:space="0" w:color="000000"/>
            </w:tcBorders>
          </w:tcPr>
          <w:p w14:paraId="44467702"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b/>
                <w:bCs/>
                <w:sz w:val="24"/>
                <w:szCs w:val="24"/>
                <w:lang w:val="ka-GE"/>
              </w:rPr>
              <w:t>პლაცებო</w:t>
            </w:r>
            <w:r w:rsidRPr="00BE4F57">
              <w:rPr>
                <w:rFonts w:ascii="Sylfaen" w:hAnsi="Sylfaen"/>
                <w:b/>
                <w:bCs/>
                <w:sz w:val="24"/>
                <w:szCs w:val="24"/>
              </w:rPr>
              <w:t xml:space="preserve"> (N=477)</w:t>
            </w:r>
          </w:p>
        </w:tc>
      </w:tr>
      <w:tr w:rsidR="008B1423" w:rsidRPr="00BE4F57" w14:paraId="53B27E05" w14:textId="77777777" w:rsidTr="004F3144">
        <w:trPr>
          <w:trHeight w:hRule="exact" w:val="722"/>
        </w:trPr>
        <w:tc>
          <w:tcPr>
            <w:tcW w:w="3407" w:type="dxa"/>
            <w:tcBorders>
              <w:top w:val="single" w:sz="8" w:space="0" w:color="000000"/>
              <w:left w:val="single" w:sz="8" w:space="0" w:color="000000"/>
              <w:bottom w:val="single" w:sz="8" w:space="0" w:color="000000"/>
              <w:right w:val="single" w:sz="8" w:space="0" w:color="000000"/>
            </w:tcBorders>
          </w:tcPr>
          <w:p w14:paraId="4E70B5B1"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თვალის მხრივ დარღვევები</w:t>
            </w:r>
          </w:p>
        </w:tc>
        <w:tc>
          <w:tcPr>
            <w:tcW w:w="2070" w:type="dxa"/>
            <w:tcBorders>
              <w:top w:val="single" w:sz="8" w:space="0" w:color="000000"/>
              <w:left w:val="single" w:sz="8" w:space="0" w:color="000000"/>
              <w:bottom w:val="single" w:sz="8" w:space="0" w:color="000000"/>
              <w:right w:val="single" w:sz="8" w:space="0" w:color="000000"/>
            </w:tcBorders>
          </w:tcPr>
          <w:p w14:paraId="54F7141A"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 xml:space="preserve">დაბინდული მხედველობა </w:t>
            </w:r>
          </w:p>
        </w:tc>
        <w:tc>
          <w:tcPr>
            <w:tcW w:w="2070" w:type="dxa"/>
            <w:tcBorders>
              <w:top w:val="single" w:sz="8" w:space="0" w:color="000000"/>
              <w:left w:val="single" w:sz="8" w:space="0" w:color="000000"/>
              <w:bottom w:val="single" w:sz="8" w:space="0" w:color="000000"/>
              <w:right w:val="single" w:sz="8" w:space="0" w:color="000000"/>
            </w:tcBorders>
          </w:tcPr>
          <w:p w14:paraId="25CB0A41"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5</w:t>
            </w:r>
          </w:p>
        </w:tc>
        <w:tc>
          <w:tcPr>
            <w:tcW w:w="1710" w:type="dxa"/>
            <w:tcBorders>
              <w:top w:val="single" w:sz="8" w:space="0" w:color="000000"/>
              <w:left w:val="single" w:sz="8" w:space="0" w:color="000000"/>
              <w:bottom w:val="single" w:sz="8" w:space="0" w:color="000000"/>
              <w:right w:val="single" w:sz="8" w:space="0" w:color="000000"/>
            </w:tcBorders>
          </w:tcPr>
          <w:p w14:paraId="79552D2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r>
      <w:tr w:rsidR="008B1423" w:rsidRPr="00BE4F57" w14:paraId="42CC05EF" w14:textId="77777777" w:rsidTr="004F3144">
        <w:trPr>
          <w:trHeight w:hRule="exact" w:val="362"/>
        </w:trPr>
        <w:tc>
          <w:tcPr>
            <w:tcW w:w="3407" w:type="dxa"/>
            <w:vMerge w:val="restart"/>
            <w:tcBorders>
              <w:top w:val="single" w:sz="8" w:space="0" w:color="000000"/>
              <w:left w:val="single" w:sz="8" w:space="0" w:color="000000"/>
              <w:bottom w:val="single" w:sz="8" w:space="0" w:color="000000"/>
              <w:right w:val="single" w:sz="8" w:space="0" w:color="000000"/>
            </w:tcBorders>
          </w:tcPr>
          <w:p w14:paraId="0199770A"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კუჭ-ნაწლავის ტრაქტის მხრივ დარღვევები</w:t>
            </w:r>
          </w:p>
        </w:tc>
        <w:tc>
          <w:tcPr>
            <w:tcW w:w="2070" w:type="dxa"/>
            <w:tcBorders>
              <w:top w:val="single" w:sz="8" w:space="0" w:color="000000"/>
              <w:left w:val="single" w:sz="8" w:space="0" w:color="000000"/>
              <w:bottom w:val="single" w:sz="8" w:space="0" w:color="000000"/>
              <w:right w:val="single" w:sz="8" w:space="0" w:color="000000"/>
            </w:tcBorders>
          </w:tcPr>
          <w:p w14:paraId="7778595A"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პირის სიმშრალე</w:t>
            </w:r>
          </w:p>
        </w:tc>
        <w:tc>
          <w:tcPr>
            <w:tcW w:w="2070" w:type="dxa"/>
            <w:tcBorders>
              <w:top w:val="single" w:sz="8" w:space="0" w:color="000000"/>
              <w:left w:val="single" w:sz="8" w:space="0" w:color="000000"/>
              <w:bottom w:val="single" w:sz="8" w:space="0" w:color="000000"/>
              <w:right w:val="single" w:sz="8" w:space="0" w:color="000000"/>
            </w:tcBorders>
          </w:tcPr>
          <w:p w14:paraId="5F08BDA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15</w:t>
            </w:r>
          </w:p>
        </w:tc>
        <w:tc>
          <w:tcPr>
            <w:tcW w:w="1710" w:type="dxa"/>
            <w:tcBorders>
              <w:top w:val="single" w:sz="8" w:space="0" w:color="000000"/>
              <w:left w:val="single" w:sz="8" w:space="0" w:color="000000"/>
              <w:bottom w:val="single" w:sz="8" w:space="0" w:color="000000"/>
              <w:right w:val="single" w:sz="8" w:space="0" w:color="000000"/>
            </w:tcBorders>
          </w:tcPr>
          <w:p w14:paraId="6D6124C2"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6</w:t>
            </w:r>
          </w:p>
        </w:tc>
      </w:tr>
      <w:tr w:rsidR="008B1423" w:rsidRPr="00BE4F57" w14:paraId="0FB904B8" w14:textId="77777777" w:rsidTr="004F3144">
        <w:trPr>
          <w:trHeight w:hRule="exact" w:val="353"/>
        </w:trPr>
        <w:tc>
          <w:tcPr>
            <w:tcW w:w="3407" w:type="dxa"/>
            <w:vMerge/>
            <w:tcBorders>
              <w:top w:val="single" w:sz="8" w:space="0" w:color="000000"/>
              <w:left w:val="single" w:sz="8" w:space="0" w:color="000000"/>
              <w:bottom w:val="single" w:sz="8" w:space="0" w:color="000000"/>
              <w:right w:val="single" w:sz="8" w:space="0" w:color="000000"/>
            </w:tcBorders>
            <w:vAlign w:val="center"/>
          </w:tcPr>
          <w:p w14:paraId="280C8B8D"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04525F04"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გაზები კუჭში</w:t>
            </w:r>
          </w:p>
        </w:tc>
        <w:tc>
          <w:tcPr>
            <w:tcW w:w="2070" w:type="dxa"/>
            <w:tcBorders>
              <w:top w:val="single" w:sz="8" w:space="0" w:color="000000"/>
              <w:left w:val="single" w:sz="8" w:space="0" w:color="000000"/>
              <w:bottom w:val="single" w:sz="8" w:space="0" w:color="000000"/>
              <w:right w:val="single" w:sz="8" w:space="0" w:color="000000"/>
            </w:tcBorders>
          </w:tcPr>
          <w:p w14:paraId="6713D82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10" w:type="dxa"/>
            <w:tcBorders>
              <w:top w:val="single" w:sz="8" w:space="0" w:color="000000"/>
              <w:left w:val="single" w:sz="8" w:space="0" w:color="000000"/>
              <w:bottom w:val="single" w:sz="8" w:space="0" w:color="000000"/>
              <w:right w:val="single" w:sz="8" w:space="0" w:color="000000"/>
            </w:tcBorders>
          </w:tcPr>
          <w:p w14:paraId="7F58E0E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4817D2D7" w14:textId="77777777" w:rsidTr="004F3144">
        <w:trPr>
          <w:trHeight w:hRule="exact" w:val="632"/>
        </w:trPr>
        <w:tc>
          <w:tcPr>
            <w:tcW w:w="3407" w:type="dxa"/>
            <w:vMerge/>
            <w:tcBorders>
              <w:top w:val="single" w:sz="8" w:space="0" w:color="000000"/>
              <w:left w:val="single" w:sz="8" w:space="0" w:color="000000"/>
              <w:bottom w:val="single" w:sz="8" w:space="0" w:color="000000"/>
              <w:right w:val="single" w:sz="8" w:space="0" w:color="000000"/>
            </w:tcBorders>
            <w:vAlign w:val="center"/>
          </w:tcPr>
          <w:p w14:paraId="47F6B1A1"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5E093C76"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მუცლის შებერილობა</w:t>
            </w:r>
          </w:p>
        </w:tc>
        <w:tc>
          <w:tcPr>
            <w:tcW w:w="2070" w:type="dxa"/>
            <w:tcBorders>
              <w:top w:val="single" w:sz="8" w:space="0" w:color="000000"/>
              <w:left w:val="single" w:sz="8" w:space="0" w:color="000000"/>
              <w:bottom w:val="single" w:sz="8" w:space="0" w:color="000000"/>
              <w:right w:val="single" w:sz="8" w:space="0" w:color="000000"/>
            </w:tcBorders>
          </w:tcPr>
          <w:p w14:paraId="236165F1"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6A9097A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0</w:t>
            </w:r>
          </w:p>
        </w:tc>
      </w:tr>
      <w:tr w:rsidR="008B1423" w:rsidRPr="00BE4F57" w14:paraId="11A55792" w14:textId="77777777" w:rsidTr="00AA2766">
        <w:trPr>
          <w:trHeight w:hRule="exact" w:val="488"/>
        </w:trPr>
        <w:tc>
          <w:tcPr>
            <w:tcW w:w="3407" w:type="dxa"/>
            <w:vMerge w:val="restart"/>
            <w:tcBorders>
              <w:top w:val="single" w:sz="8" w:space="0" w:color="000000"/>
              <w:left w:val="single" w:sz="8" w:space="0" w:color="000000"/>
              <w:bottom w:val="single" w:sz="8" w:space="0" w:color="000000"/>
              <w:right w:val="single" w:sz="8" w:space="0" w:color="000000"/>
            </w:tcBorders>
          </w:tcPr>
          <w:p w14:paraId="550059C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 xml:space="preserve">ზოგადი </w:t>
            </w:r>
            <w:r w:rsidRPr="00BE4F57">
              <w:rPr>
                <w:rFonts w:ascii="Sylfaen" w:hAnsi="Sylfaen"/>
                <w:sz w:val="24"/>
                <w:szCs w:val="24"/>
                <w:lang w:val="ka-GE"/>
              </w:rPr>
              <w:t xml:space="preserve">დარღვევები </w:t>
            </w:r>
            <w:r w:rsidRPr="00BE4F57">
              <w:rPr>
                <w:rFonts w:ascii="Sylfaen" w:hAnsi="Sylfaen"/>
                <w:sz w:val="24"/>
                <w:szCs w:val="24"/>
              </w:rPr>
              <w:t>და დარღვევები შეყვანის ადგილას</w:t>
            </w:r>
          </w:p>
        </w:tc>
        <w:tc>
          <w:tcPr>
            <w:tcW w:w="2070" w:type="dxa"/>
            <w:tcBorders>
              <w:top w:val="single" w:sz="8" w:space="0" w:color="000000"/>
              <w:left w:val="single" w:sz="8" w:space="0" w:color="000000"/>
              <w:bottom w:val="single" w:sz="8" w:space="0" w:color="000000"/>
              <w:right w:val="single" w:sz="8" w:space="0" w:color="000000"/>
            </w:tcBorders>
          </w:tcPr>
          <w:p w14:paraId="0980C857"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დაღლილობა</w:t>
            </w:r>
          </w:p>
        </w:tc>
        <w:tc>
          <w:tcPr>
            <w:tcW w:w="2070" w:type="dxa"/>
            <w:tcBorders>
              <w:top w:val="single" w:sz="8" w:space="0" w:color="000000"/>
              <w:left w:val="single" w:sz="8" w:space="0" w:color="000000"/>
              <w:bottom w:val="single" w:sz="8" w:space="0" w:color="000000"/>
              <w:right w:val="single" w:sz="8" w:space="0" w:color="000000"/>
            </w:tcBorders>
          </w:tcPr>
          <w:p w14:paraId="2C92690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12</w:t>
            </w:r>
          </w:p>
        </w:tc>
        <w:tc>
          <w:tcPr>
            <w:tcW w:w="1710" w:type="dxa"/>
            <w:tcBorders>
              <w:top w:val="single" w:sz="8" w:space="0" w:color="000000"/>
              <w:left w:val="single" w:sz="8" w:space="0" w:color="000000"/>
              <w:bottom w:val="single" w:sz="8" w:space="0" w:color="000000"/>
              <w:right w:val="single" w:sz="8" w:space="0" w:color="000000"/>
            </w:tcBorders>
          </w:tcPr>
          <w:p w14:paraId="07D50173"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r>
      <w:tr w:rsidR="008B1423" w:rsidRPr="00BE4F57" w14:paraId="20E59FED" w14:textId="77777777" w:rsidTr="00AA2766">
        <w:trPr>
          <w:trHeight w:hRule="exact" w:val="409"/>
        </w:trPr>
        <w:tc>
          <w:tcPr>
            <w:tcW w:w="3407" w:type="dxa"/>
            <w:vMerge/>
            <w:tcBorders>
              <w:top w:val="single" w:sz="8" w:space="0" w:color="000000"/>
              <w:left w:val="single" w:sz="8" w:space="0" w:color="000000"/>
              <w:bottom w:val="single" w:sz="8" w:space="0" w:color="000000"/>
              <w:right w:val="single" w:sz="8" w:space="0" w:color="000000"/>
            </w:tcBorders>
            <w:vAlign w:val="center"/>
          </w:tcPr>
          <w:p w14:paraId="0F1D37C3"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6EF0DE66"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 xml:space="preserve">შეშუპება </w:t>
            </w:r>
            <w:r w:rsidRPr="00BE4F57">
              <w:rPr>
                <w:rFonts w:ascii="Sylfaen" w:hAnsi="Sylfaen"/>
                <w:sz w:val="24"/>
                <w:szCs w:val="24"/>
                <w:vertAlign w:val="superscript"/>
              </w:rPr>
              <w:t>a</w:t>
            </w:r>
          </w:p>
        </w:tc>
        <w:tc>
          <w:tcPr>
            <w:tcW w:w="2070" w:type="dxa"/>
            <w:tcBorders>
              <w:top w:val="single" w:sz="8" w:space="0" w:color="000000"/>
              <w:left w:val="single" w:sz="8" w:space="0" w:color="000000"/>
              <w:bottom w:val="single" w:sz="8" w:space="0" w:color="000000"/>
              <w:right w:val="single" w:sz="8" w:space="0" w:color="000000"/>
            </w:tcBorders>
          </w:tcPr>
          <w:p w14:paraId="2990CF7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15</w:t>
            </w:r>
          </w:p>
        </w:tc>
        <w:tc>
          <w:tcPr>
            <w:tcW w:w="1710" w:type="dxa"/>
            <w:tcBorders>
              <w:top w:val="single" w:sz="8" w:space="0" w:color="000000"/>
              <w:left w:val="single" w:sz="8" w:space="0" w:color="000000"/>
              <w:bottom w:val="single" w:sz="8" w:space="0" w:color="000000"/>
              <w:right w:val="single" w:sz="8" w:space="0" w:color="000000"/>
            </w:tcBorders>
          </w:tcPr>
          <w:p w14:paraId="3374BF8F"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r>
      <w:tr w:rsidR="008B1423" w:rsidRPr="00BE4F57" w14:paraId="58C78494" w14:textId="77777777" w:rsidTr="00AA2766">
        <w:trPr>
          <w:trHeight w:hRule="exact" w:val="445"/>
        </w:trPr>
        <w:tc>
          <w:tcPr>
            <w:tcW w:w="3407" w:type="dxa"/>
            <w:vMerge/>
            <w:tcBorders>
              <w:top w:val="single" w:sz="8" w:space="0" w:color="000000"/>
              <w:left w:val="single" w:sz="8" w:space="0" w:color="000000"/>
              <w:bottom w:val="single" w:sz="8" w:space="0" w:color="000000"/>
              <w:right w:val="single" w:sz="8" w:space="0" w:color="000000"/>
            </w:tcBorders>
            <w:vAlign w:val="center"/>
          </w:tcPr>
          <w:p w14:paraId="24350BCF"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2212CD55"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ასთენია</w:t>
            </w:r>
          </w:p>
        </w:tc>
        <w:tc>
          <w:tcPr>
            <w:tcW w:w="2070" w:type="dxa"/>
            <w:tcBorders>
              <w:top w:val="single" w:sz="8" w:space="0" w:color="000000"/>
              <w:left w:val="single" w:sz="8" w:space="0" w:color="000000"/>
              <w:bottom w:val="single" w:sz="8" w:space="0" w:color="000000"/>
              <w:right w:val="single" w:sz="8" w:space="0" w:color="000000"/>
            </w:tcBorders>
          </w:tcPr>
          <w:p w14:paraId="465BF42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10" w:type="dxa"/>
            <w:tcBorders>
              <w:top w:val="single" w:sz="8" w:space="0" w:color="000000"/>
              <w:left w:val="single" w:sz="8" w:space="0" w:color="000000"/>
              <w:bottom w:val="single" w:sz="8" w:space="0" w:color="000000"/>
              <w:right w:val="single" w:sz="8" w:space="0" w:color="000000"/>
            </w:tcBorders>
          </w:tcPr>
          <w:p w14:paraId="50B2071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641515D6" w14:textId="77777777" w:rsidTr="00AA2766">
        <w:trPr>
          <w:trHeight w:hRule="exact" w:val="423"/>
        </w:trPr>
        <w:tc>
          <w:tcPr>
            <w:tcW w:w="3407" w:type="dxa"/>
            <w:vMerge/>
            <w:tcBorders>
              <w:top w:val="single" w:sz="8" w:space="0" w:color="000000"/>
              <w:left w:val="single" w:sz="8" w:space="0" w:color="000000"/>
              <w:bottom w:val="single" w:sz="8" w:space="0" w:color="000000"/>
              <w:right w:val="single" w:sz="8" w:space="0" w:color="000000"/>
            </w:tcBorders>
            <w:vAlign w:val="center"/>
          </w:tcPr>
          <w:p w14:paraId="7935FF93"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279A9421"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ტკივილი</w:t>
            </w:r>
          </w:p>
        </w:tc>
        <w:tc>
          <w:tcPr>
            <w:tcW w:w="2070" w:type="dxa"/>
            <w:tcBorders>
              <w:top w:val="single" w:sz="8" w:space="0" w:color="000000"/>
              <w:left w:val="single" w:sz="8" w:space="0" w:color="000000"/>
              <w:bottom w:val="single" w:sz="8" w:space="0" w:color="000000"/>
              <w:right w:val="single" w:sz="8" w:space="0" w:color="000000"/>
            </w:tcBorders>
          </w:tcPr>
          <w:p w14:paraId="703174DA"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345CB83F"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3A24BF5E" w14:textId="77777777" w:rsidTr="00AA2766">
        <w:trPr>
          <w:trHeight w:hRule="exact" w:val="376"/>
        </w:trPr>
        <w:tc>
          <w:tcPr>
            <w:tcW w:w="3407" w:type="dxa"/>
            <w:vMerge/>
            <w:tcBorders>
              <w:top w:val="single" w:sz="8" w:space="0" w:color="000000"/>
              <w:left w:val="single" w:sz="8" w:space="0" w:color="000000"/>
              <w:bottom w:val="single" w:sz="8" w:space="0" w:color="000000"/>
              <w:right w:val="single" w:sz="8" w:space="0" w:color="000000"/>
            </w:tcBorders>
            <w:vAlign w:val="center"/>
          </w:tcPr>
          <w:p w14:paraId="17F3A17D"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7886FDB7"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პირექსია</w:t>
            </w:r>
          </w:p>
        </w:tc>
        <w:tc>
          <w:tcPr>
            <w:tcW w:w="2070" w:type="dxa"/>
            <w:tcBorders>
              <w:top w:val="single" w:sz="8" w:space="0" w:color="000000"/>
              <w:left w:val="single" w:sz="8" w:space="0" w:color="000000"/>
              <w:bottom w:val="single" w:sz="8" w:space="0" w:color="000000"/>
              <w:right w:val="single" w:sz="8" w:space="0" w:color="000000"/>
            </w:tcBorders>
          </w:tcPr>
          <w:p w14:paraId="6DC0565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06BDCB16"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7F9B8D0C" w14:textId="77777777" w:rsidTr="004F3144">
        <w:trPr>
          <w:trHeight w:hRule="exact" w:val="410"/>
        </w:trPr>
        <w:tc>
          <w:tcPr>
            <w:tcW w:w="3407" w:type="dxa"/>
            <w:tcBorders>
              <w:top w:val="single" w:sz="8" w:space="0" w:color="000000"/>
              <w:left w:val="single" w:sz="8" w:space="0" w:color="000000"/>
              <w:bottom w:val="single" w:sz="8" w:space="0" w:color="000000"/>
              <w:right w:val="single" w:sz="8" w:space="0" w:color="000000"/>
            </w:tcBorders>
          </w:tcPr>
          <w:p w14:paraId="2ECE51B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ინფექცია და ინვაზიები</w:t>
            </w:r>
          </w:p>
        </w:tc>
        <w:tc>
          <w:tcPr>
            <w:tcW w:w="2070" w:type="dxa"/>
            <w:tcBorders>
              <w:top w:val="single" w:sz="8" w:space="0" w:color="000000"/>
              <w:left w:val="single" w:sz="8" w:space="0" w:color="000000"/>
              <w:bottom w:val="single" w:sz="8" w:space="0" w:color="000000"/>
              <w:right w:val="single" w:sz="8" w:space="0" w:color="000000"/>
            </w:tcBorders>
          </w:tcPr>
          <w:p w14:paraId="3C21A7C8"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სინუსიტი</w:t>
            </w:r>
          </w:p>
        </w:tc>
        <w:tc>
          <w:tcPr>
            <w:tcW w:w="2070" w:type="dxa"/>
            <w:tcBorders>
              <w:top w:val="single" w:sz="8" w:space="0" w:color="000000"/>
              <w:left w:val="single" w:sz="8" w:space="0" w:color="000000"/>
              <w:bottom w:val="single" w:sz="8" w:space="0" w:color="000000"/>
              <w:right w:val="single" w:sz="8" w:space="0" w:color="000000"/>
            </w:tcBorders>
          </w:tcPr>
          <w:p w14:paraId="722E7660"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7B802F1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1E7CE89C" w14:textId="77777777" w:rsidTr="004F3144">
        <w:trPr>
          <w:trHeight w:hRule="exact" w:val="451"/>
        </w:trPr>
        <w:tc>
          <w:tcPr>
            <w:tcW w:w="3407" w:type="dxa"/>
            <w:tcBorders>
              <w:top w:val="single" w:sz="8" w:space="0" w:color="000000"/>
              <w:left w:val="single" w:sz="8" w:space="0" w:color="000000"/>
              <w:bottom w:val="single" w:sz="8" w:space="0" w:color="000000"/>
              <w:right w:val="single" w:sz="8" w:space="0" w:color="000000"/>
            </w:tcBorders>
          </w:tcPr>
          <w:p w14:paraId="0D7F03C4"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კვლევები</w:t>
            </w:r>
          </w:p>
        </w:tc>
        <w:tc>
          <w:tcPr>
            <w:tcW w:w="2070" w:type="dxa"/>
            <w:tcBorders>
              <w:top w:val="single" w:sz="8" w:space="0" w:color="000000"/>
              <w:left w:val="single" w:sz="8" w:space="0" w:color="000000"/>
              <w:bottom w:val="single" w:sz="8" w:space="0" w:color="000000"/>
              <w:right w:val="single" w:sz="8" w:space="0" w:color="000000"/>
            </w:tcBorders>
          </w:tcPr>
          <w:p w14:paraId="5CC03A29"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წონაში მომატება</w:t>
            </w:r>
          </w:p>
        </w:tc>
        <w:tc>
          <w:tcPr>
            <w:tcW w:w="2070" w:type="dxa"/>
            <w:tcBorders>
              <w:top w:val="single" w:sz="8" w:space="0" w:color="000000"/>
              <w:left w:val="single" w:sz="8" w:space="0" w:color="000000"/>
              <w:bottom w:val="single" w:sz="8" w:space="0" w:color="000000"/>
              <w:right w:val="single" w:sz="8" w:space="0" w:color="000000"/>
            </w:tcBorders>
          </w:tcPr>
          <w:p w14:paraId="55842D6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25</w:t>
            </w:r>
          </w:p>
        </w:tc>
        <w:tc>
          <w:tcPr>
            <w:tcW w:w="1710" w:type="dxa"/>
            <w:tcBorders>
              <w:top w:val="single" w:sz="8" w:space="0" w:color="000000"/>
              <w:left w:val="single" w:sz="8" w:space="0" w:color="000000"/>
              <w:bottom w:val="single" w:sz="8" w:space="0" w:color="000000"/>
              <w:right w:val="single" w:sz="8" w:space="0" w:color="000000"/>
            </w:tcBorders>
          </w:tcPr>
          <w:p w14:paraId="4ACFBC70"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r>
      <w:tr w:rsidR="008B1423" w:rsidRPr="00BE4F57" w14:paraId="33692F31" w14:textId="77777777" w:rsidTr="004F3144">
        <w:trPr>
          <w:trHeight w:hRule="exact" w:val="650"/>
        </w:trPr>
        <w:tc>
          <w:tcPr>
            <w:tcW w:w="3407" w:type="dxa"/>
            <w:tcBorders>
              <w:top w:val="single" w:sz="8" w:space="0" w:color="000000"/>
              <w:left w:val="single" w:sz="8" w:space="0" w:color="000000"/>
              <w:bottom w:val="single" w:sz="8" w:space="0" w:color="000000"/>
              <w:right w:val="single" w:sz="8" w:space="0" w:color="000000"/>
            </w:tcBorders>
          </w:tcPr>
          <w:p w14:paraId="38F46CEF"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მეტაბოლიზმის და კვების დარღვევები</w:t>
            </w:r>
          </w:p>
          <w:p w14:paraId="1403D283" w14:textId="77777777" w:rsidR="008B1423" w:rsidRPr="00BE4F57" w:rsidRDefault="008B1423" w:rsidP="00A14CA6">
            <w:pPr>
              <w:pStyle w:val="BodyText"/>
              <w:spacing w:after="0" w:line="240" w:lineRule="auto"/>
              <w:rPr>
                <w:rFonts w:ascii="Sylfaen" w:hAnsi="Sylfaen"/>
                <w:sz w:val="24"/>
                <w:szCs w:val="24"/>
                <w:lang w:val="ka-GE"/>
              </w:rPr>
            </w:pPr>
          </w:p>
          <w:p w14:paraId="71AF9C37" w14:textId="77777777" w:rsidR="008B1423" w:rsidRPr="00BE4F57" w:rsidRDefault="008B1423" w:rsidP="00A14CA6">
            <w:pPr>
              <w:pStyle w:val="BodyText"/>
              <w:spacing w:after="0" w:line="240" w:lineRule="auto"/>
              <w:rPr>
                <w:rFonts w:ascii="Sylfaen" w:hAnsi="Sylfaen"/>
                <w:sz w:val="24"/>
                <w:szCs w:val="24"/>
                <w:lang w:val="ka-GE"/>
              </w:rPr>
            </w:pPr>
          </w:p>
          <w:p w14:paraId="7908E5C2" w14:textId="77777777" w:rsidR="008B1423" w:rsidRPr="00BE4F57" w:rsidRDefault="008B1423" w:rsidP="00A14CA6">
            <w:pPr>
              <w:pStyle w:val="BodyText"/>
              <w:spacing w:after="0" w:line="240" w:lineRule="auto"/>
              <w:rPr>
                <w:rFonts w:ascii="Sylfaen" w:hAnsi="Sylfaen"/>
                <w:sz w:val="24"/>
                <w:szCs w:val="24"/>
                <w:lang w:val="ka-GE"/>
              </w:rPr>
            </w:pPr>
          </w:p>
        </w:tc>
        <w:tc>
          <w:tcPr>
            <w:tcW w:w="2070" w:type="dxa"/>
            <w:tcBorders>
              <w:top w:val="single" w:sz="8" w:space="0" w:color="000000"/>
              <w:left w:val="single" w:sz="8" w:space="0" w:color="000000"/>
              <w:bottom w:val="single" w:sz="8" w:space="0" w:color="000000"/>
              <w:right w:val="single" w:sz="8" w:space="0" w:color="000000"/>
            </w:tcBorders>
          </w:tcPr>
          <w:p w14:paraId="65634660"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მადის მომატება</w:t>
            </w:r>
          </w:p>
        </w:tc>
        <w:tc>
          <w:tcPr>
            <w:tcW w:w="2070" w:type="dxa"/>
            <w:tcBorders>
              <w:top w:val="single" w:sz="8" w:space="0" w:color="000000"/>
              <w:left w:val="single" w:sz="8" w:space="0" w:color="000000"/>
              <w:bottom w:val="single" w:sz="8" w:space="0" w:color="000000"/>
              <w:right w:val="single" w:sz="8" w:space="0" w:color="000000"/>
            </w:tcBorders>
          </w:tcPr>
          <w:p w14:paraId="2C8FB74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20</w:t>
            </w:r>
          </w:p>
        </w:tc>
        <w:tc>
          <w:tcPr>
            <w:tcW w:w="1710" w:type="dxa"/>
            <w:tcBorders>
              <w:top w:val="single" w:sz="8" w:space="0" w:color="000000"/>
              <w:left w:val="single" w:sz="8" w:space="0" w:color="000000"/>
              <w:bottom w:val="single" w:sz="8" w:space="0" w:color="000000"/>
              <w:right w:val="single" w:sz="8" w:space="0" w:color="000000"/>
            </w:tcBorders>
          </w:tcPr>
          <w:p w14:paraId="2077EA6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4</w:t>
            </w:r>
          </w:p>
        </w:tc>
      </w:tr>
      <w:tr w:rsidR="008B1423" w:rsidRPr="00BE4F57" w14:paraId="44313981" w14:textId="77777777" w:rsidTr="00AA2766">
        <w:trPr>
          <w:trHeight w:hRule="exact" w:val="356"/>
        </w:trPr>
        <w:tc>
          <w:tcPr>
            <w:tcW w:w="3407" w:type="dxa"/>
            <w:vMerge w:val="restart"/>
            <w:tcBorders>
              <w:top w:val="single" w:sz="8" w:space="0" w:color="000000"/>
              <w:left w:val="single" w:sz="8" w:space="0" w:color="000000"/>
              <w:bottom w:val="single" w:sz="8" w:space="0" w:color="000000"/>
              <w:right w:val="single" w:sz="8" w:space="0" w:color="000000"/>
            </w:tcBorders>
          </w:tcPr>
          <w:p w14:paraId="65442B3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lang w:val="ka-GE"/>
              </w:rPr>
              <w:t>ჩონჩხ-</w:t>
            </w:r>
            <w:r w:rsidRPr="00BE4F57">
              <w:rPr>
                <w:rFonts w:ascii="Sylfaen" w:hAnsi="Sylfaen"/>
                <w:sz w:val="24"/>
                <w:szCs w:val="24"/>
              </w:rPr>
              <w:t>კუნთოვანი დარღვევები, შემაერთებელი ქსოვილისა და ძვლების დაავადებები</w:t>
            </w:r>
          </w:p>
        </w:tc>
        <w:tc>
          <w:tcPr>
            <w:tcW w:w="2070" w:type="dxa"/>
            <w:tcBorders>
              <w:top w:val="single" w:sz="8" w:space="0" w:color="000000"/>
              <w:left w:val="single" w:sz="8" w:space="0" w:color="000000"/>
              <w:bottom w:val="single" w:sz="8" w:space="0" w:color="000000"/>
              <w:right w:val="single" w:sz="8" w:space="0" w:color="000000"/>
            </w:tcBorders>
          </w:tcPr>
          <w:p w14:paraId="033BA518"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ართრალგია</w:t>
            </w:r>
          </w:p>
        </w:tc>
        <w:tc>
          <w:tcPr>
            <w:tcW w:w="2070" w:type="dxa"/>
            <w:tcBorders>
              <w:top w:val="single" w:sz="8" w:space="0" w:color="000000"/>
              <w:left w:val="single" w:sz="8" w:space="0" w:color="000000"/>
              <w:bottom w:val="single" w:sz="8" w:space="0" w:color="000000"/>
              <w:right w:val="single" w:sz="8" w:space="0" w:color="000000"/>
            </w:tcBorders>
          </w:tcPr>
          <w:p w14:paraId="22394CB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4</w:t>
            </w:r>
          </w:p>
        </w:tc>
        <w:tc>
          <w:tcPr>
            <w:tcW w:w="1710" w:type="dxa"/>
            <w:tcBorders>
              <w:top w:val="single" w:sz="8" w:space="0" w:color="000000"/>
              <w:left w:val="single" w:sz="8" w:space="0" w:color="000000"/>
              <w:bottom w:val="single" w:sz="8" w:space="0" w:color="000000"/>
              <w:right w:val="single" w:sz="8" w:space="0" w:color="000000"/>
            </w:tcBorders>
          </w:tcPr>
          <w:p w14:paraId="0B407E12"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71D3AFDD" w14:textId="77777777" w:rsidTr="004F3144">
        <w:trPr>
          <w:trHeight w:hRule="exact" w:val="668"/>
        </w:trPr>
        <w:tc>
          <w:tcPr>
            <w:tcW w:w="3407" w:type="dxa"/>
            <w:vMerge/>
            <w:tcBorders>
              <w:top w:val="single" w:sz="8" w:space="0" w:color="000000"/>
              <w:left w:val="single" w:sz="8" w:space="0" w:color="000000"/>
              <w:bottom w:val="single" w:sz="8" w:space="0" w:color="000000"/>
              <w:right w:val="single" w:sz="8" w:space="0" w:color="000000"/>
            </w:tcBorders>
            <w:vAlign w:val="center"/>
          </w:tcPr>
          <w:p w14:paraId="2F77CFD9"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226D8456"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კიდურის ტკივილი</w:t>
            </w:r>
          </w:p>
        </w:tc>
        <w:tc>
          <w:tcPr>
            <w:tcW w:w="2070" w:type="dxa"/>
            <w:tcBorders>
              <w:top w:val="single" w:sz="8" w:space="0" w:color="000000"/>
              <w:left w:val="single" w:sz="8" w:space="0" w:color="000000"/>
              <w:bottom w:val="single" w:sz="8" w:space="0" w:color="000000"/>
              <w:right w:val="single" w:sz="8" w:space="0" w:color="000000"/>
            </w:tcBorders>
          </w:tcPr>
          <w:p w14:paraId="5E7A9C2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10" w:type="dxa"/>
            <w:tcBorders>
              <w:top w:val="single" w:sz="8" w:space="0" w:color="000000"/>
              <w:left w:val="single" w:sz="8" w:space="0" w:color="000000"/>
              <w:bottom w:val="single" w:sz="8" w:space="0" w:color="000000"/>
              <w:right w:val="single" w:sz="8" w:space="0" w:color="000000"/>
            </w:tcBorders>
          </w:tcPr>
          <w:p w14:paraId="20C64863"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135D09CA" w14:textId="77777777" w:rsidTr="004F3144">
        <w:trPr>
          <w:trHeight w:hRule="exact" w:val="983"/>
        </w:trPr>
        <w:tc>
          <w:tcPr>
            <w:tcW w:w="3407" w:type="dxa"/>
            <w:vMerge/>
            <w:tcBorders>
              <w:top w:val="single" w:sz="8" w:space="0" w:color="000000"/>
              <w:left w:val="single" w:sz="8" w:space="0" w:color="000000"/>
              <w:bottom w:val="single" w:sz="8" w:space="0" w:color="000000"/>
              <w:right w:val="single" w:sz="8" w:space="0" w:color="000000"/>
            </w:tcBorders>
            <w:vAlign w:val="center"/>
          </w:tcPr>
          <w:p w14:paraId="610EB070"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0B939BF9"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lang w:val="ka-GE"/>
              </w:rPr>
              <w:t>ჩონჩხ-</w:t>
            </w:r>
            <w:r w:rsidRPr="00BE4F57">
              <w:rPr>
                <w:rFonts w:ascii="Sylfaen" w:hAnsi="Sylfaen"/>
                <w:sz w:val="24"/>
                <w:szCs w:val="24"/>
              </w:rPr>
              <w:t>კუნთოვანი სისტემის შებოჭილობა</w:t>
            </w:r>
            <w:r w:rsidRPr="00BE4F57">
              <w:rPr>
                <w:rFonts w:ascii="Sylfaen" w:hAnsi="Sylfaen"/>
                <w:sz w:val="24"/>
                <w:szCs w:val="24"/>
                <w:vertAlign w:val="superscript"/>
              </w:rPr>
              <w:t>b</w:t>
            </w:r>
          </w:p>
        </w:tc>
        <w:tc>
          <w:tcPr>
            <w:tcW w:w="2070" w:type="dxa"/>
            <w:tcBorders>
              <w:top w:val="single" w:sz="8" w:space="0" w:color="000000"/>
              <w:left w:val="single" w:sz="8" w:space="0" w:color="000000"/>
              <w:bottom w:val="single" w:sz="8" w:space="0" w:color="000000"/>
              <w:right w:val="single" w:sz="8" w:space="0" w:color="000000"/>
            </w:tcBorders>
          </w:tcPr>
          <w:p w14:paraId="38D3466C"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1C41621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0126CDCE" w14:textId="77777777" w:rsidTr="00AA2766">
        <w:trPr>
          <w:trHeight w:hRule="exact" w:val="340"/>
        </w:trPr>
        <w:tc>
          <w:tcPr>
            <w:tcW w:w="3407" w:type="dxa"/>
            <w:vMerge w:val="restart"/>
            <w:tcBorders>
              <w:top w:val="single" w:sz="8" w:space="0" w:color="000000"/>
              <w:left w:val="single" w:sz="8" w:space="0" w:color="000000"/>
              <w:bottom w:val="single" w:sz="8" w:space="0" w:color="000000"/>
              <w:right w:val="single" w:sz="8" w:space="0" w:color="000000"/>
            </w:tcBorders>
          </w:tcPr>
          <w:p w14:paraId="734D4067"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ნერვული სისტემის დაავადებები</w:t>
            </w:r>
          </w:p>
        </w:tc>
        <w:tc>
          <w:tcPr>
            <w:tcW w:w="2070" w:type="dxa"/>
            <w:tcBorders>
              <w:top w:val="single" w:sz="8" w:space="0" w:color="000000"/>
              <w:left w:val="single" w:sz="8" w:space="0" w:color="000000"/>
              <w:bottom w:val="single" w:sz="8" w:space="0" w:color="000000"/>
              <w:right w:val="single" w:sz="8" w:space="0" w:color="000000"/>
            </w:tcBorders>
          </w:tcPr>
          <w:p w14:paraId="75ACAE32"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ძილიანობა</w:t>
            </w:r>
          </w:p>
        </w:tc>
        <w:tc>
          <w:tcPr>
            <w:tcW w:w="2070" w:type="dxa"/>
            <w:tcBorders>
              <w:top w:val="single" w:sz="8" w:space="0" w:color="000000"/>
              <w:left w:val="single" w:sz="8" w:space="0" w:color="000000"/>
              <w:bottom w:val="single" w:sz="8" w:space="0" w:color="000000"/>
              <w:right w:val="single" w:sz="8" w:space="0" w:color="000000"/>
            </w:tcBorders>
          </w:tcPr>
          <w:p w14:paraId="7CA39AE3"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27</w:t>
            </w:r>
          </w:p>
        </w:tc>
        <w:tc>
          <w:tcPr>
            <w:tcW w:w="1710" w:type="dxa"/>
            <w:tcBorders>
              <w:top w:val="single" w:sz="8" w:space="0" w:color="000000"/>
              <w:left w:val="single" w:sz="8" w:space="0" w:color="000000"/>
              <w:bottom w:val="single" w:sz="8" w:space="0" w:color="000000"/>
              <w:right w:val="single" w:sz="8" w:space="0" w:color="000000"/>
            </w:tcBorders>
          </w:tcPr>
          <w:p w14:paraId="2B79F7D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11</w:t>
            </w:r>
          </w:p>
        </w:tc>
      </w:tr>
      <w:tr w:rsidR="008B1423" w:rsidRPr="00BE4F57" w14:paraId="4FC87D77" w14:textId="77777777" w:rsidTr="00AA2766">
        <w:trPr>
          <w:trHeight w:hRule="exact" w:val="417"/>
        </w:trPr>
        <w:tc>
          <w:tcPr>
            <w:tcW w:w="3407" w:type="dxa"/>
            <w:vMerge/>
            <w:tcBorders>
              <w:top w:val="single" w:sz="8" w:space="0" w:color="000000"/>
              <w:left w:val="single" w:sz="8" w:space="0" w:color="000000"/>
              <w:bottom w:val="single" w:sz="8" w:space="0" w:color="000000"/>
              <w:right w:val="single" w:sz="8" w:space="0" w:color="000000"/>
            </w:tcBorders>
            <w:vAlign w:val="center"/>
          </w:tcPr>
          <w:p w14:paraId="48B1F642"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6E411213"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ტრემორი</w:t>
            </w:r>
          </w:p>
        </w:tc>
        <w:tc>
          <w:tcPr>
            <w:tcW w:w="2070" w:type="dxa"/>
            <w:tcBorders>
              <w:top w:val="single" w:sz="8" w:space="0" w:color="000000"/>
              <w:left w:val="single" w:sz="8" w:space="0" w:color="000000"/>
              <w:bottom w:val="single" w:sz="8" w:space="0" w:color="000000"/>
              <w:right w:val="single" w:sz="8" w:space="0" w:color="000000"/>
            </w:tcBorders>
          </w:tcPr>
          <w:p w14:paraId="515F4EE0"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9</w:t>
            </w:r>
          </w:p>
        </w:tc>
        <w:tc>
          <w:tcPr>
            <w:tcW w:w="1710" w:type="dxa"/>
            <w:tcBorders>
              <w:top w:val="single" w:sz="8" w:space="0" w:color="000000"/>
              <w:left w:val="single" w:sz="8" w:space="0" w:color="000000"/>
              <w:bottom w:val="single" w:sz="8" w:space="0" w:color="000000"/>
              <w:right w:val="single" w:sz="8" w:space="0" w:color="000000"/>
            </w:tcBorders>
          </w:tcPr>
          <w:p w14:paraId="5061B77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r>
      <w:tr w:rsidR="008B1423" w:rsidRPr="00BE4F57" w14:paraId="2767E269" w14:textId="77777777" w:rsidTr="004F3144">
        <w:trPr>
          <w:trHeight w:hRule="exact" w:val="695"/>
        </w:trPr>
        <w:tc>
          <w:tcPr>
            <w:tcW w:w="3407" w:type="dxa"/>
            <w:vMerge/>
            <w:tcBorders>
              <w:top w:val="single" w:sz="8" w:space="0" w:color="000000"/>
              <w:left w:val="single" w:sz="8" w:space="0" w:color="000000"/>
              <w:bottom w:val="single" w:sz="8" w:space="0" w:color="000000"/>
              <w:right w:val="single" w:sz="8" w:space="0" w:color="000000"/>
            </w:tcBorders>
            <w:vAlign w:val="center"/>
          </w:tcPr>
          <w:p w14:paraId="59821645"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6E9D3F50"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ყურადღების დარღვევა</w:t>
            </w:r>
          </w:p>
        </w:tc>
        <w:tc>
          <w:tcPr>
            <w:tcW w:w="2070" w:type="dxa"/>
            <w:tcBorders>
              <w:top w:val="single" w:sz="8" w:space="0" w:color="000000"/>
              <w:left w:val="single" w:sz="8" w:space="0" w:color="000000"/>
              <w:bottom w:val="single" w:sz="8" w:space="0" w:color="000000"/>
              <w:right w:val="single" w:sz="8" w:space="0" w:color="000000"/>
            </w:tcBorders>
          </w:tcPr>
          <w:p w14:paraId="2192CFA2"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5</w:t>
            </w:r>
          </w:p>
        </w:tc>
        <w:tc>
          <w:tcPr>
            <w:tcW w:w="1710" w:type="dxa"/>
            <w:tcBorders>
              <w:top w:val="single" w:sz="8" w:space="0" w:color="000000"/>
              <w:left w:val="single" w:sz="8" w:space="0" w:color="000000"/>
              <w:bottom w:val="single" w:sz="8" w:space="0" w:color="000000"/>
              <w:right w:val="single" w:sz="8" w:space="0" w:color="000000"/>
            </w:tcBorders>
          </w:tcPr>
          <w:p w14:paraId="18343F2A"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450DFEE3" w14:textId="77777777" w:rsidTr="00AA2766">
        <w:trPr>
          <w:trHeight w:hRule="exact" w:val="433"/>
        </w:trPr>
        <w:tc>
          <w:tcPr>
            <w:tcW w:w="3407" w:type="dxa"/>
            <w:vMerge w:val="restart"/>
            <w:tcBorders>
              <w:top w:val="single" w:sz="8" w:space="0" w:color="000000"/>
              <w:left w:val="single" w:sz="8" w:space="0" w:color="000000"/>
              <w:bottom w:val="single" w:sz="8" w:space="0" w:color="000000"/>
              <w:right w:val="single" w:sz="8" w:space="0" w:color="000000"/>
            </w:tcBorders>
          </w:tcPr>
          <w:p w14:paraId="576599CE" w14:textId="77777777" w:rsidR="008B1423" w:rsidRPr="00BE4F57" w:rsidRDefault="008B1423" w:rsidP="00A14CA6">
            <w:pPr>
              <w:pStyle w:val="BodyText"/>
              <w:spacing w:after="0" w:line="240" w:lineRule="auto"/>
              <w:rPr>
                <w:rFonts w:ascii="Sylfaen" w:hAnsi="Sylfaen"/>
                <w:sz w:val="24"/>
                <w:szCs w:val="24"/>
              </w:rPr>
            </w:pPr>
          </w:p>
          <w:p w14:paraId="6FCA4E7F" w14:textId="77777777" w:rsidR="008B1423" w:rsidRPr="00BE4F57" w:rsidRDefault="008B1423" w:rsidP="00A14CA6">
            <w:pPr>
              <w:pStyle w:val="BodyText"/>
              <w:spacing w:after="0" w:line="240" w:lineRule="auto"/>
              <w:rPr>
                <w:rFonts w:ascii="Sylfaen" w:hAnsi="Sylfaen"/>
                <w:sz w:val="24"/>
                <w:szCs w:val="24"/>
                <w:lang w:val="ka-GE"/>
              </w:rPr>
            </w:pPr>
            <w:r w:rsidRPr="00BE4F57">
              <w:rPr>
                <w:rFonts w:ascii="Sylfaen" w:hAnsi="Sylfaen"/>
                <w:sz w:val="24"/>
                <w:szCs w:val="24"/>
                <w:lang w:val="ka-GE"/>
              </w:rPr>
              <w:t>ფსიქიატრიული დარღვევები</w:t>
            </w:r>
          </w:p>
        </w:tc>
        <w:tc>
          <w:tcPr>
            <w:tcW w:w="2070" w:type="dxa"/>
            <w:tcBorders>
              <w:top w:val="single" w:sz="8" w:space="0" w:color="000000"/>
              <w:left w:val="single" w:sz="8" w:space="0" w:color="000000"/>
              <w:bottom w:val="single" w:sz="8" w:space="0" w:color="000000"/>
              <w:right w:val="single" w:sz="8" w:space="0" w:color="000000"/>
            </w:tcBorders>
          </w:tcPr>
          <w:p w14:paraId="3F325619"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მოუსვენრობა</w:t>
            </w:r>
          </w:p>
        </w:tc>
        <w:tc>
          <w:tcPr>
            <w:tcW w:w="2070" w:type="dxa"/>
            <w:tcBorders>
              <w:top w:val="single" w:sz="8" w:space="0" w:color="000000"/>
              <w:left w:val="single" w:sz="8" w:space="0" w:color="000000"/>
              <w:bottom w:val="single" w:sz="8" w:space="0" w:color="000000"/>
              <w:right w:val="single" w:sz="8" w:space="0" w:color="000000"/>
            </w:tcBorders>
          </w:tcPr>
          <w:p w14:paraId="091DCF9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4</w:t>
            </w:r>
          </w:p>
        </w:tc>
        <w:tc>
          <w:tcPr>
            <w:tcW w:w="1710" w:type="dxa"/>
            <w:tcBorders>
              <w:top w:val="single" w:sz="8" w:space="0" w:color="000000"/>
              <w:left w:val="single" w:sz="8" w:space="0" w:color="000000"/>
              <w:bottom w:val="single" w:sz="8" w:space="0" w:color="000000"/>
              <w:right w:val="single" w:sz="8" w:space="0" w:color="000000"/>
            </w:tcBorders>
          </w:tcPr>
          <w:p w14:paraId="57B13A14"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54B5704D" w14:textId="77777777" w:rsidTr="004F3144">
        <w:trPr>
          <w:trHeight w:hRule="exact" w:val="569"/>
        </w:trPr>
        <w:tc>
          <w:tcPr>
            <w:tcW w:w="3407" w:type="dxa"/>
            <w:vMerge/>
            <w:tcBorders>
              <w:top w:val="single" w:sz="8" w:space="0" w:color="000000"/>
              <w:left w:val="single" w:sz="8" w:space="0" w:color="000000"/>
              <w:bottom w:val="single" w:sz="8" w:space="0" w:color="000000"/>
              <w:right w:val="single" w:sz="8" w:space="0" w:color="000000"/>
            </w:tcBorders>
            <w:vAlign w:val="center"/>
          </w:tcPr>
          <w:p w14:paraId="44F81A57"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7D174734"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პათოლოგიური აზრები</w:t>
            </w:r>
          </w:p>
        </w:tc>
        <w:tc>
          <w:tcPr>
            <w:tcW w:w="2070" w:type="dxa"/>
            <w:tcBorders>
              <w:top w:val="single" w:sz="8" w:space="0" w:color="000000"/>
              <w:left w:val="single" w:sz="8" w:space="0" w:color="000000"/>
              <w:bottom w:val="single" w:sz="8" w:space="0" w:color="000000"/>
              <w:right w:val="single" w:sz="8" w:space="0" w:color="000000"/>
            </w:tcBorders>
          </w:tcPr>
          <w:p w14:paraId="0113A0A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6907362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2D9FDAFD" w14:textId="77777777" w:rsidTr="004F3144">
        <w:trPr>
          <w:trHeight w:hRule="exact" w:val="290"/>
        </w:trPr>
        <w:tc>
          <w:tcPr>
            <w:tcW w:w="3407" w:type="dxa"/>
            <w:vMerge/>
            <w:tcBorders>
              <w:top w:val="single" w:sz="8" w:space="0" w:color="000000"/>
              <w:left w:val="single" w:sz="8" w:space="0" w:color="000000"/>
              <w:bottom w:val="single" w:sz="8" w:space="0" w:color="000000"/>
              <w:right w:val="single" w:sz="8" w:space="0" w:color="000000"/>
            </w:tcBorders>
            <w:vAlign w:val="center"/>
          </w:tcPr>
          <w:p w14:paraId="4FA2221F" w14:textId="77777777" w:rsidR="008B1423" w:rsidRPr="00BE4F57" w:rsidRDefault="008B1423" w:rsidP="00A14CA6">
            <w:pPr>
              <w:pStyle w:val="BodyText"/>
              <w:spacing w:after="0" w:line="240" w:lineRule="auto"/>
              <w:rPr>
                <w:rFonts w:ascii="Sylfaen" w:hAnsi="Sylfaen"/>
                <w:sz w:val="24"/>
                <w:szCs w:val="24"/>
              </w:rPr>
            </w:pPr>
          </w:p>
        </w:tc>
        <w:tc>
          <w:tcPr>
            <w:tcW w:w="2070" w:type="dxa"/>
            <w:tcBorders>
              <w:top w:val="single" w:sz="8" w:space="0" w:color="000000"/>
              <w:left w:val="single" w:sz="8" w:space="0" w:color="000000"/>
              <w:bottom w:val="single" w:sz="8" w:space="0" w:color="000000"/>
              <w:right w:val="single" w:sz="8" w:space="0" w:color="000000"/>
            </w:tcBorders>
          </w:tcPr>
          <w:p w14:paraId="1A03EB89"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გაღიზიანება</w:t>
            </w:r>
          </w:p>
        </w:tc>
        <w:tc>
          <w:tcPr>
            <w:tcW w:w="2070" w:type="dxa"/>
            <w:tcBorders>
              <w:top w:val="single" w:sz="8" w:space="0" w:color="000000"/>
              <w:left w:val="single" w:sz="8" w:space="0" w:color="000000"/>
              <w:bottom w:val="single" w:sz="8" w:space="0" w:color="000000"/>
              <w:right w:val="single" w:sz="8" w:space="0" w:color="000000"/>
            </w:tcBorders>
          </w:tcPr>
          <w:p w14:paraId="236FAC4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0E31F56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12F3270C" w14:textId="77777777" w:rsidTr="00AA2766">
        <w:trPr>
          <w:trHeight w:hRule="exact" w:val="961"/>
        </w:trPr>
        <w:tc>
          <w:tcPr>
            <w:tcW w:w="3407" w:type="dxa"/>
            <w:tcBorders>
              <w:top w:val="single" w:sz="8" w:space="0" w:color="000000"/>
              <w:left w:val="single" w:sz="8" w:space="0" w:color="000000"/>
              <w:bottom w:val="single" w:sz="8" w:space="0" w:color="000000"/>
              <w:right w:val="single" w:sz="8" w:space="0" w:color="000000"/>
            </w:tcBorders>
          </w:tcPr>
          <w:p w14:paraId="68A0F7B2"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რეპროდუქციული სისტემის და სარძევე ჯირკვლის დარღვევები</w:t>
            </w:r>
          </w:p>
        </w:tc>
        <w:tc>
          <w:tcPr>
            <w:tcW w:w="2070" w:type="dxa"/>
            <w:tcBorders>
              <w:top w:val="single" w:sz="8" w:space="0" w:color="000000"/>
              <w:left w:val="single" w:sz="8" w:space="0" w:color="000000"/>
              <w:bottom w:val="single" w:sz="8" w:space="0" w:color="000000"/>
              <w:right w:val="single" w:sz="8" w:space="0" w:color="000000"/>
            </w:tcBorders>
          </w:tcPr>
          <w:p w14:paraId="024B5510" w14:textId="77777777" w:rsidR="008B1423" w:rsidRPr="00BE4F57" w:rsidRDefault="008B1423" w:rsidP="00A14CA6">
            <w:pPr>
              <w:spacing w:after="0" w:line="240" w:lineRule="auto"/>
              <w:rPr>
                <w:rFonts w:ascii="Sylfaen" w:hAnsi="Sylfaen"/>
                <w:sz w:val="24"/>
                <w:szCs w:val="24"/>
              </w:rPr>
            </w:pPr>
            <w:r w:rsidRPr="00BE4F57">
              <w:rPr>
                <w:rFonts w:ascii="Sylfaen" w:hAnsi="Sylfaen"/>
                <w:sz w:val="24"/>
                <w:szCs w:val="24"/>
              </w:rPr>
              <w:t>ერექციული დისფუნქცია.</w:t>
            </w:r>
          </w:p>
        </w:tc>
        <w:tc>
          <w:tcPr>
            <w:tcW w:w="2070" w:type="dxa"/>
            <w:tcBorders>
              <w:top w:val="single" w:sz="8" w:space="0" w:color="000000"/>
              <w:left w:val="single" w:sz="8" w:space="0" w:color="000000"/>
              <w:bottom w:val="single" w:sz="8" w:space="0" w:color="000000"/>
              <w:right w:val="single" w:sz="8" w:space="0" w:color="000000"/>
            </w:tcBorders>
          </w:tcPr>
          <w:p w14:paraId="1F0B01C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10" w:type="dxa"/>
            <w:tcBorders>
              <w:top w:val="single" w:sz="8" w:space="0" w:color="000000"/>
              <w:left w:val="single" w:sz="8" w:space="0" w:color="000000"/>
              <w:bottom w:val="single" w:sz="8" w:space="0" w:color="000000"/>
              <w:right w:val="single" w:sz="8" w:space="0" w:color="000000"/>
            </w:tcBorders>
          </w:tcPr>
          <w:p w14:paraId="04502DA1"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bl>
    <w:p w14:paraId="152DBB9F"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a მოიცავს შეშუპებას, პერიფერიულ შეშუპებას</w:t>
      </w:r>
      <w:r w:rsidRPr="00BE4F57">
        <w:rPr>
          <w:rFonts w:ascii="Sylfaen" w:hAnsi="Sylfaen"/>
          <w:sz w:val="24"/>
          <w:szCs w:val="24"/>
          <w:lang w:val="ka-GE"/>
        </w:rPr>
        <w:t>, შეშუპებულ კანზე დაჭერის შემდეგ ჩაღრმავების დარჩენას</w:t>
      </w:r>
      <w:r w:rsidRPr="00BE4F57">
        <w:rPr>
          <w:rFonts w:ascii="Sylfaen" w:hAnsi="Sylfaen"/>
          <w:sz w:val="24"/>
          <w:szCs w:val="24"/>
        </w:rPr>
        <w:t>, გენერალიზებულ შეშუპებას, ქუთუთოების შეშუპებას, სახის შეშუპებას, გრავიტაციულ შეშუპებას, ლოკალიზებულ შეშუპებას, პერიორბიტალურ შეშუპებას, შე</w:t>
      </w:r>
      <w:r w:rsidRPr="00BE4F57">
        <w:rPr>
          <w:rFonts w:ascii="Sylfaen" w:hAnsi="Sylfaen"/>
          <w:sz w:val="24"/>
          <w:szCs w:val="24"/>
          <w:lang w:val="ka-GE"/>
        </w:rPr>
        <w:t>სიებას</w:t>
      </w:r>
      <w:r w:rsidRPr="00BE4F57">
        <w:rPr>
          <w:rFonts w:ascii="Sylfaen" w:hAnsi="Sylfaen"/>
          <w:sz w:val="24"/>
          <w:szCs w:val="24"/>
        </w:rPr>
        <w:t xml:space="preserve">, სახსრების </w:t>
      </w:r>
      <w:r w:rsidRPr="00BE4F57">
        <w:rPr>
          <w:rFonts w:ascii="Sylfaen" w:hAnsi="Sylfaen"/>
          <w:sz w:val="24"/>
          <w:szCs w:val="24"/>
          <w:lang w:val="ka-GE"/>
        </w:rPr>
        <w:t>შესიებას,</w:t>
      </w:r>
      <w:r w:rsidRPr="00BE4F57">
        <w:rPr>
          <w:rFonts w:ascii="Sylfaen" w:hAnsi="Sylfaen"/>
          <w:sz w:val="24"/>
          <w:szCs w:val="24"/>
        </w:rPr>
        <w:t xml:space="preserve"> სახის </w:t>
      </w:r>
      <w:r w:rsidRPr="00BE4F57">
        <w:rPr>
          <w:rFonts w:ascii="Sylfaen" w:hAnsi="Sylfaen"/>
          <w:sz w:val="24"/>
          <w:szCs w:val="24"/>
          <w:lang w:val="ka-GE"/>
        </w:rPr>
        <w:t>შესიებას</w:t>
      </w:r>
      <w:r w:rsidRPr="00BE4F57">
        <w:rPr>
          <w:rFonts w:ascii="Sylfaen" w:hAnsi="Sylfaen"/>
          <w:sz w:val="24"/>
          <w:szCs w:val="24"/>
        </w:rPr>
        <w:t xml:space="preserve"> და თვალის </w:t>
      </w:r>
      <w:r w:rsidRPr="00BE4F57">
        <w:rPr>
          <w:rFonts w:ascii="Sylfaen" w:hAnsi="Sylfaen"/>
          <w:sz w:val="24"/>
          <w:szCs w:val="24"/>
          <w:lang w:val="ka-GE"/>
        </w:rPr>
        <w:t>შესიებას</w:t>
      </w:r>
      <w:r w:rsidRPr="00BE4F57">
        <w:rPr>
          <w:rFonts w:ascii="Sylfaen" w:hAnsi="Sylfaen"/>
          <w:sz w:val="24"/>
          <w:szCs w:val="24"/>
        </w:rPr>
        <w:t>.</w:t>
      </w:r>
    </w:p>
    <w:p w14:paraId="16838873"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lastRenderedPageBreak/>
        <w:t xml:space="preserve">b მოიცავს ძილიანობას, სედაციას, ჰიპერსომნიას და </w:t>
      </w:r>
      <w:r w:rsidRPr="00BE4F57">
        <w:rPr>
          <w:rFonts w:ascii="Sylfaen" w:hAnsi="Sylfaen" w:cs="Segoe UI"/>
          <w:sz w:val="24"/>
          <w:szCs w:val="24"/>
          <w:shd w:val="clear" w:color="auto" w:fill="FFFFFF"/>
        </w:rPr>
        <w:t>ძილმორეულის მდგომარეობა</w:t>
      </w:r>
      <w:r w:rsidRPr="00BE4F57">
        <w:rPr>
          <w:rFonts w:ascii="Sylfaen" w:hAnsi="Sylfaen"/>
          <w:sz w:val="24"/>
          <w:szCs w:val="24"/>
        </w:rPr>
        <w:t>.</w:t>
      </w:r>
    </w:p>
    <w:p w14:paraId="4F165468" w14:textId="77777777" w:rsidR="008B1423" w:rsidRPr="00BE4F57" w:rsidRDefault="008B1423" w:rsidP="00A14CA6">
      <w:pPr>
        <w:tabs>
          <w:tab w:val="left" w:pos="7133"/>
        </w:tabs>
        <w:spacing w:after="0" w:line="240" w:lineRule="auto"/>
        <w:rPr>
          <w:rFonts w:ascii="Sylfaen" w:hAnsi="Sylfaen"/>
          <w:sz w:val="24"/>
          <w:szCs w:val="24"/>
        </w:rPr>
      </w:pPr>
      <w:r w:rsidRPr="00BE4F57">
        <w:rPr>
          <w:rFonts w:ascii="Sylfaen" w:hAnsi="Sylfaen"/>
          <w:sz w:val="24"/>
          <w:szCs w:val="24"/>
        </w:rPr>
        <w:tab/>
      </w:r>
    </w:p>
    <w:p w14:paraId="26B0EF34" w14:textId="77777777" w:rsidR="008B1423" w:rsidRPr="00BE4F57" w:rsidRDefault="008B1423" w:rsidP="00A14CA6">
      <w:pPr>
        <w:spacing w:after="0" w:line="240" w:lineRule="auto"/>
        <w:jc w:val="both"/>
        <w:rPr>
          <w:rFonts w:ascii="Sylfaen" w:hAnsi="Sylfaen"/>
          <w:sz w:val="24"/>
          <w:szCs w:val="24"/>
          <w:u w:val="single"/>
        </w:rPr>
      </w:pPr>
      <w:r w:rsidRPr="00BE4F57">
        <w:rPr>
          <w:rFonts w:ascii="Sylfaen" w:hAnsi="Sylfaen"/>
          <w:sz w:val="24"/>
          <w:szCs w:val="24"/>
          <w:u w:val="single"/>
        </w:rPr>
        <w:t>ექსტრაპირამიდული სიმპტომები</w:t>
      </w:r>
    </w:p>
    <w:p w14:paraId="6CD55410"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i/>
          <w:sz w:val="24"/>
          <w:szCs w:val="24"/>
        </w:rPr>
        <w:t>დისტონია, ანტიფსიქოზური პრეპარატების კლასის ეფექტი</w:t>
      </w:r>
      <w:r w:rsidRPr="00BE4F57">
        <w:rPr>
          <w:rFonts w:ascii="Sylfaen" w:hAnsi="Sylfaen"/>
          <w:sz w:val="24"/>
          <w:szCs w:val="24"/>
        </w:rPr>
        <w:t xml:space="preserve"> </w:t>
      </w:r>
      <w:r w:rsidRPr="00BE4F57">
        <w:rPr>
          <w:rFonts w:ascii="Sylfaen" w:hAnsi="Sylfaen"/>
          <w:sz w:val="24"/>
          <w:szCs w:val="24"/>
          <w:lang w:val="ka-GE"/>
        </w:rPr>
        <w:t>-</w:t>
      </w:r>
      <w:r w:rsidRPr="00BE4F57">
        <w:rPr>
          <w:rFonts w:ascii="Sylfaen" w:hAnsi="Sylfaen"/>
          <w:sz w:val="24"/>
          <w:szCs w:val="24"/>
        </w:rPr>
        <w:t xml:space="preserve"> დისტონია, რომელიც გულისხმობს კუნთების ჯგუფების ხანგრძლივ პათოლოგიურ შეკუმშვას, შეიძლება განვითარდეს მგრძნობიარე პირებში მკურნალობის პირველი რამდენიმე დღის განმავლობაში. დისტონიური სიმპტომები მოიცავს: კისრის კუნთების სპაზმს, რაც ზოგჯერ იწვევს ყელის შევიწროებას, ყლაპვის გაძნელებას, სუნთქვის გაძნელებას და/ან ენის </w:t>
      </w:r>
      <w:r w:rsidRPr="00BE4F57">
        <w:rPr>
          <w:rFonts w:ascii="Sylfaen" w:hAnsi="Sylfaen"/>
          <w:sz w:val="24"/>
          <w:szCs w:val="24"/>
          <w:lang w:val="ka-GE"/>
        </w:rPr>
        <w:t>პროტრუზიას</w:t>
      </w:r>
      <w:r w:rsidRPr="00BE4F57">
        <w:rPr>
          <w:rFonts w:ascii="Sylfaen" w:hAnsi="Sylfaen"/>
          <w:sz w:val="24"/>
          <w:szCs w:val="24"/>
        </w:rPr>
        <w:t xml:space="preserve">. მიუხედავად იმისა, რომ ეს სიმპტომები შეიძლება გამოვლინდეს დაბალი დოზების დროს, სიხშირე და სიმძიმე უფრო მეტია პირველი თაობის ანტიფსიქოზური პრეპარატების მაღალი პოტენციის და მაღალი დოზების დროს. ზოგადად, მწვავე დისტონიის გაზრდილი რისკი შეიძლება შეინიშნოს მამაკაცებსა და ახალგაზრდა ასაკობრივ ჯგუფებში, რომლებიც იღებენ ანტიფსიქოზურ საშუალებებს; თუმცა, დისტონიის შემთხვევები უფრო იშვიათად </w:t>
      </w:r>
      <w:r w:rsidRPr="00BE4F57">
        <w:rPr>
          <w:rFonts w:ascii="Sylfaen" w:hAnsi="Sylfaen"/>
          <w:sz w:val="24"/>
          <w:szCs w:val="24"/>
          <w:lang w:val="ka-GE"/>
        </w:rPr>
        <w:t>არის მოხსენებული</w:t>
      </w:r>
      <w:r w:rsidRPr="00BE4F57">
        <w:rPr>
          <w:rFonts w:ascii="Sylfaen" w:hAnsi="Sylfaen"/>
          <w:sz w:val="24"/>
          <w:szCs w:val="24"/>
        </w:rPr>
        <w:t xml:space="preserve"> ოლანზაპინისა და ფლუოქსეტინის კომბინაციის დროს (&lt; 1%).</w:t>
      </w:r>
    </w:p>
    <w:p w14:paraId="4F06D02A" w14:textId="77777777" w:rsidR="008B1423" w:rsidRPr="00BE4F57" w:rsidRDefault="008B1423" w:rsidP="00A14CA6">
      <w:pPr>
        <w:spacing w:after="0" w:line="240" w:lineRule="auto"/>
        <w:rPr>
          <w:rFonts w:ascii="Sylfaen" w:hAnsi="Sylfaen"/>
          <w:sz w:val="24"/>
          <w:szCs w:val="24"/>
          <w:u w:val="single"/>
        </w:rPr>
      </w:pPr>
    </w:p>
    <w:p w14:paraId="536CB9E4" w14:textId="77777777" w:rsidR="008B1423" w:rsidRPr="00BE4F57" w:rsidRDefault="008B1423" w:rsidP="00A14CA6">
      <w:pPr>
        <w:spacing w:after="0" w:line="240" w:lineRule="auto"/>
        <w:jc w:val="both"/>
        <w:rPr>
          <w:rFonts w:ascii="Sylfaen" w:hAnsi="Sylfaen"/>
          <w:sz w:val="24"/>
          <w:szCs w:val="24"/>
          <w:u w:val="single"/>
        </w:rPr>
      </w:pPr>
      <w:r w:rsidRPr="00BE4F57">
        <w:rPr>
          <w:rFonts w:ascii="Sylfaen" w:hAnsi="Sylfaen"/>
          <w:sz w:val="24"/>
          <w:szCs w:val="24"/>
          <w:u w:val="single"/>
        </w:rPr>
        <w:t>კლინიკურ კვლევებში დაფიქსირებული დამატებითი მონაცემები</w:t>
      </w:r>
    </w:p>
    <w:p w14:paraId="0D24497B"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i/>
          <w:sz w:val="24"/>
          <w:szCs w:val="24"/>
        </w:rPr>
        <w:t>სექსუალური დისფუნქცია</w:t>
      </w:r>
      <w:r w:rsidRPr="00BE4F57">
        <w:rPr>
          <w:rFonts w:ascii="Sylfaen" w:hAnsi="Sylfaen"/>
          <w:sz w:val="24"/>
          <w:szCs w:val="24"/>
        </w:rPr>
        <w:t xml:space="preserve"> — ბიპოლარული დეპრესიის მქონე პაციენტებში ოლანზაპინისა და ფლუოქსეტინის კომბინაციის </w:t>
      </w:r>
      <w:r w:rsidRPr="00BE4F57">
        <w:rPr>
          <w:rFonts w:ascii="Sylfaen" w:hAnsi="Sylfaen"/>
          <w:sz w:val="24"/>
          <w:szCs w:val="24"/>
          <w:lang w:val="ka-GE"/>
        </w:rPr>
        <w:t xml:space="preserve">გაერთიანებულ </w:t>
      </w:r>
      <w:r w:rsidRPr="00BE4F57">
        <w:rPr>
          <w:rFonts w:ascii="Sylfaen" w:hAnsi="Sylfaen"/>
          <w:sz w:val="24"/>
          <w:szCs w:val="24"/>
        </w:rPr>
        <w:t>კონტროლირებად კვლევებ</w:t>
      </w:r>
      <w:r w:rsidRPr="00BE4F57">
        <w:rPr>
          <w:rFonts w:ascii="Sylfaen" w:hAnsi="Sylfaen"/>
          <w:sz w:val="24"/>
          <w:szCs w:val="24"/>
          <w:lang w:val="ka-GE"/>
        </w:rPr>
        <w:t>ში</w:t>
      </w:r>
      <w:r w:rsidRPr="00BE4F57">
        <w:rPr>
          <w:rFonts w:ascii="Sylfaen" w:hAnsi="Sylfaen"/>
          <w:sz w:val="24"/>
          <w:szCs w:val="24"/>
        </w:rPr>
        <w:t xml:space="preserve">, ოლანზაპინისა და ფლუოქსეტინის კომბინაციის ჯგუფში დაფიქსირდა მკურნალობის შედეგად გამოწვეული ლიბიდოს დაქვეითების, ანორგაზმიის, ერექციული დისფუნქციის და ეაკულაციის </w:t>
      </w:r>
      <w:r w:rsidRPr="00BE4F57">
        <w:rPr>
          <w:rFonts w:ascii="Sylfaen" w:hAnsi="Sylfaen"/>
          <w:sz w:val="24"/>
          <w:szCs w:val="24"/>
          <w:lang w:val="ka-GE"/>
        </w:rPr>
        <w:t>პათოლოგიური</w:t>
      </w:r>
      <w:r w:rsidRPr="00BE4F57">
        <w:rPr>
          <w:rFonts w:ascii="Sylfaen" w:hAnsi="Sylfaen"/>
          <w:sz w:val="24"/>
          <w:szCs w:val="24"/>
        </w:rPr>
        <w:t xml:space="preserve"> გვერდითი რეაქციების უფრო მაღალი მაჩვენებლები პლაცებო</w:t>
      </w:r>
      <w:r w:rsidRPr="00BE4F57">
        <w:rPr>
          <w:rFonts w:ascii="Sylfaen" w:hAnsi="Sylfaen"/>
          <w:sz w:val="24"/>
          <w:szCs w:val="24"/>
          <w:lang w:val="ka-GE"/>
        </w:rPr>
        <w:t>ს</w:t>
      </w:r>
      <w:r w:rsidRPr="00BE4F57">
        <w:rPr>
          <w:rFonts w:ascii="Sylfaen" w:hAnsi="Sylfaen"/>
          <w:sz w:val="24"/>
          <w:szCs w:val="24"/>
        </w:rPr>
        <w:t xml:space="preserve"> ჯგუფთან შედარებით. </w:t>
      </w:r>
    </w:p>
    <w:p w14:paraId="4423AB81"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ოლანზაპინისა და ფლუოქსეტინის კომბინ</w:t>
      </w:r>
      <w:r w:rsidRPr="00BE4F57">
        <w:rPr>
          <w:rFonts w:ascii="Sylfaen" w:hAnsi="Sylfaen"/>
          <w:sz w:val="24"/>
          <w:szCs w:val="24"/>
          <w:lang w:val="ka-GE"/>
        </w:rPr>
        <w:t>აციის</w:t>
      </w:r>
      <w:r w:rsidRPr="00BE4F57">
        <w:rPr>
          <w:rFonts w:ascii="Sylfaen" w:hAnsi="Sylfaen"/>
          <w:sz w:val="24"/>
          <w:szCs w:val="24"/>
        </w:rPr>
        <w:t xml:space="preserve"> ჯგუფში ერთ შემთხვევაში მკურნალობა შეწყდა ლიბიდოს დაქვეითების გამო. კონტროლირებად კვლევებში, მათ შორის ფლუოქსეტინის ჯგუფში, ლიბიდოს დაქვეითების და ეაკულაციის დარღვევების მაჩვენებლები ოლანზაპინისა და ფლუოქსეტინის კომბინ</w:t>
      </w:r>
      <w:r w:rsidRPr="00BE4F57">
        <w:rPr>
          <w:rFonts w:ascii="Sylfaen" w:hAnsi="Sylfaen"/>
          <w:sz w:val="24"/>
          <w:szCs w:val="24"/>
          <w:lang w:val="ka-GE"/>
        </w:rPr>
        <w:t>აციის</w:t>
      </w:r>
      <w:r w:rsidRPr="00BE4F57">
        <w:rPr>
          <w:rFonts w:ascii="Sylfaen" w:hAnsi="Sylfaen"/>
          <w:sz w:val="24"/>
          <w:szCs w:val="24"/>
        </w:rPr>
        <w:t xml:space="preserve"> ჯგუფში უფრო დაბალი იყო, ვიდრე ფლუოქსეტინის ჯგუფში. არც</w:t>
      </w:r>
      <w:r w:rsidRPr="00BE4F57">
        <w:rPr>
          <w:rFonts w:ascii="Sylfaen" w:hAnsi="Sylfaen"/>
          <w:sz w:val="24"/>
          <w:szCs w:val="24"/>
          <w:lang w:val="ka-GE"/>
        </w:rPr>
        <w:t xml:space="preserve"> </w:t>
      </w:r>
      <w:r w:rsidRPr="00BE4F57">
        <w:rPr>
          <w:rFonts w:ascii="Sylfaen" w:hAnsi="Sylfaen"/>
          <w:sz w:val="24"/>
          <w:szCs w:val="24"/>
        </w:rPr>
        <w:t>ერთი განსხვავება არ არის სტატისტიკურად მნიშვნელოვანი.</w:t>
      </w:r>
    </w:p>
    <w:p w14:paraId="27775A11"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 xml:space="preserve">SSRI-ების გამოყენებისას </w:t>
      </w:r>
      <w:r w:rsidRPr="00BE4F57">
        <w:rPr>
          <w:rFonts w:ascii="Sylfaen" w:hAnsi="Sylfaen"/>
          <w:sz w:val="24"/>
          <w:szCs w:val="24"/>
          <w:lang w:val="ka-GE"/>
        </w:rPr>
        <w:t>გამოვლინდა</w:t>
      </w:r>
      <w:r w:rsidRPr="00BE4F57">
        <w:rPr>
          <w:rFonts w:ascii="Sylfaen" w:hAnsi="Sylfaen"/>
          <w:sz w:val="24"/>
          <w:szCs w:val="24"/>
        </w:rPr>
        <w:t xml:space="preserve"> სექსუალური დისფუნქცია, მათ შორის პრიაპიზმი. მიუხედავად იმისა, რომ ძნელია SSRI-ების გამოყენებასთან დაკავშირებული სექსუალური დისფუნქციის ზუსტი რისკი</w:t>
      </w:r>
      <w:r w:rsidRPr="00BE4F57">
        <w:rPr>
          <w:rFonts w:ascii="Sylfaen" w:hAnsi="Sylfaen"/>
          <w:sz w:val="24"/>
          <w:szCs w:val="24"/>
          <w:lang w:val="ka-GE"/>
        </w:rPr>
        <w:t>ს განსაზღვრა</w:t>
      </w:r>
      <w:r w:rsidRPr="00BE4F57">
        <w:rPr>
          <w:rFonts w:ascii="Sylfaen" w:hAnsi="Sylfaen"/>
          <w:sz w:val="24"/>
          <w:szCs w:val="24"/>
        </w:rPr>
        <w:t xml:space="preserve">, ექიმებმა რეგულარულად უნდა </w:t>
      </w:r>
      <w:r w:rsidRPr="00BE4F57">
        <w:rPr>
          <w:rFonts w:ascii="Sylfaen" w:hAnsi="Sylfaen"/>
          <w:sz w:val="24"/>
          <w:szCs w:val="24"/>
          <w:lang w:val="ka-GE"/>
        </w:rPr>
        <w:t xml:space="preserve">განახორციელონ </w:t>
      </w:r>
      <w:r w:rsidRPr="00BE4F57">
        <w:rPr>
          <w:rFonts w:ascii="Sylfaen" w:hAnsi="Sylfaen"/>
          <w:sz w:val="24"/>
          <w:szCs w:val="24"/>
        </w:rPr>
        <w:t>გამოკითხ</w:t>
      </w:r>
      <w:r w:rsidRPr="00BE4F57">
        <w:rPr>
          <w:rFonts w:ascii="Sylfaen" w:hAnsi="Sylfaen"/>
          <w:sz w:val="24"/>
          <w:szCs w:val="24"/>
          <w:lang w:val="ka-GE"/>
        </w:rPr>
        <w:t>ვა</w:t>
      </w:r>
      <w:r w:rsidRPr="00BE4F57">
        <w:rPr>
          <w:rFonts w:ascii="Sylfaen" w:hAnsi="Sylfaen"/>
          <w:sz w:val="24"/>
          <w:szCs w:val="24"/>
        </w:rPr>
        <w:t xml:space="preserve"> ასეთი შესაძლო გვერდითი მოვლენების შესახებ.</w:t>
      </w:r>
    </w:p>
    <w:p w14:paraId="28C70EBA"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არ არსებობს ადეკვატური და კარგად კონტროლირებადი კვლევები, სექსუალურ</w:t>
      </w:r>
      <w:r w:rsidRPr="00BE4F57">
        <w:rPr>
          <w:rFonts w:ascii="Sylfaen" w:hAnsi="Sylfaen"/>
          <w:sz w:val="24"/>
          <w:szCs w:val="24"/>
          <w:lang w:val="ka-GE"/>
        </w:rPr>
        <w:t>ი</w:t>
      </w:r>
      <w:r w:rsidRPr="00BE4F57">
        <w:rPr>
          <w:rFonts w:ascii="Sylfaen" w:hAnsi="Sylfaen"/>
          <w:sz w:val="24"/>
          <w:szCs w:val="24"/>
        </w:rPr>
        <w:t xml:space="preserve"> დისფუნქცი</w:t>
      </w:r>
      <w:r w:rsidRPr="00BE4F57">
        <w:rPr>
          <w:rFonts w:ascii="Sylfaen" w:hAnsi="Sylfaen"/>
          <w:sz w:val="24"/>
          <w:szCs w:val="24"/>
          <w:lang w:val="ka-GE"/>
        </w:rPr>
        <w:t>ი</w:t>
      </w:r>
      <w:r w:rsidRPr="00BE4F57">
        <w:rPr>
          <w:rFonts w:ascii="Sylfaen" w:hAnsi="Sylfaen"/>
          <w:sz w:val="24"/>
          <w:szCs w:val="24"/>
        </w:rPr>
        <w:t xml:space="preserve">ს </w:t>
      </w:r>
      <w:r w:rsidRPr="00BE4F57">
        <w:rPr>
          <w:rFonts w:ascii="Sylfaen" w:hAnsi="Sylfaen"/>
          <w:sz w:val="24"/>
          <w:szCs w:val="24"/>
          <w:lang w:val="ka-GE"/>
        </w:rPr>
        <w:t xml:space="preserve">შესწავლით </w:t>
      </w:r>
      <w:r w:rsidRPr="00BE4F57">
        <w:rPr>
          <w:rFonts w:ascii="Sylfaen" w:hAnsi="Sylfaen"/>
          <w:sz w:val="24"/>
          <w:szCs w:val="24"/>
        </w:rPr>
        <w:t>ოლანზაპინისა და ფლუოქსეტინის კომბინაციი</w:t>
      </w:r>
      <w:r w:rsidRPr="00BE4F57">
        <w:rPr>
          <w:rFonts w:ascii="Sylfaen" w:hAnsi="Sylfaen"/>
          <w:sz w:val="24"/>
          <w:szCs w:val="24"/>
          <w:lang w:val="ka-GE"/>
        </w:rPr>
        <w:t>თ</w:t>
      </w:r>
      <w:r w:rsidRPr="00BE4F57">
        <w:rPr>
          <w:rFonts w:ascii="Sylfaen" w:hAnsi="Sylfaen"/>
          <w:sz w:val="24"/>
          <w:szCs w:val="24"/>
        </w:rPr>
        <w:t xml:space="preserve"> ან ფლუოქსეტინით მკურნალობის დროს. ზოგჯერ სექსუალური დისფუნქციის სიმპტომები შეიძლება გაგრძელდეს ფლუოქსეტინით მკურნალობის შეწყვეტის შემდეგაც კი.</w:t>
      </w:r>
    </w:p>
    <w:p w14:paraId="778CB329" w14:textId="77777777" w:rsidR="008B1423" w:rsidRPr="00BE4F57" w:rsidRDefault="008B1423" w:rsidP="00A14CA6">
      <w:pPr>
        <w:spacing w:after="0" w:line="240" w:lineRule="auto"/>
        <w:rPr>
          <w:rFonts w:ascii="Sylfaen" w:hAnsi="Sylfaen"/>
          <w:sz w:val="24"/>
          <w:szCs w:val="24"/>
        </w:rPr>
      </w:pPr>
    </w:p>
    <w:p w14:paraId="6BC21192" w14:textId="77777777" w:rsidR="008B1423" w:rsidRPr="00BE4F57" w:rsidRDefault="008B1423" w:rsidP="00A14CA6">
      <w:pPr>
        <w:spacing w:after="0" w:line="240" w:lineRule="auto"/>
        <w:jc w:val="both"/>
        <w:rPr>
          <w:rFonts w:ascii="Sylfaen" w:hAnsi="Sylfaen"/>
          <w:sz w:val="24"/>
          <w:szCs w:val="24"/>
          <w:u w:val="single"/>
        </w:rPr>
      </w:pPr>
      <w:r w:rsidRPr="00BE4F57">
        <w:rPr>
          <w:rFonts w:ascii="Sylfaen" w:hAnsi="Sylfaen"/>
          <w:sz w:val="24"/>
          <w:szCs w:val="24"/>
          <w:u w:val="single"/>
        </w:rPr>
        <w:t xml:space="preserve">ოლანზაპინის სხვა კლინიკურ კვლევებში </w:t>
      </w:r>
      <w:r w:rsidRPr="00BE4F57">
        <w:rPr>
          <w:rFonts w:ascii="Sylfaen" w:hAnsi="Sylfaen"/>
          <w:sz w:val="24"/>
          <w:szCs w:val="24"/>
          <w:u w:val="single"/>
          <w:lang w:val="ka-GE"/>
        </w:rPr>
        <w:t>გამოვლენილი</w:t>
      </w:r>
      <w:r w:rsidRPr="00BE4F57">
        <w:rPr>
          <w:rFonts w:ascii="Sylfaen" w:hAnsi="Sylfaen"/>
          <w:sz w:val="24"/>
          <w:szCs w:val="24"/>
          <w:u w:val="single"/>
        </w:rPr>
        <w:t xml:space="preserve"> დოზის დონეებს შორის განსხვავება</w:t>
      </w:r>
    </w:p>
    <w:p w14:paraId="0F28FA9D" w14:textId="77777777" w:rsidR="008B1423" w:rsidRPr="00BE4F57" w:rsidRDefault="008B1423" w:rsidP="00A14CA6">
      <w:pPr>
        <w:spacing w:after="0" w:line="240" w:lineRule="auto"/>
        <w:jc w:val="both"/>
        <w:rPr>
          <w:rFonts w:ascii="Sylfaen" w:hAnsi="Sylfaen"/>
          <w:sz w:val="24"/>
          <w:szCs w:val="24"/>
        </w:rPr>
      </w:pPr>
      <w:r w:rsidRPr="00BE4F57">
        <w:rPr>
          <w:rFonts w:ascii="Sylfaen" w:hAnsi="Sylfaen"/>
          <w:sz w:val="24"/>
          <w:szCs w:val="24"/>
        </w:rPr>
        <w:t xml:space="preserve">8-კვირიან ერთჯერად, რანდომიზებულ, ორმაგ ბრმა, ფიქსირებული დოზის კვლევაში, რომელშიც შედარებული იყო </w:t>
      </w:r>
      <w:r w:rsidRPr="00BE4F57">
        <w:rPr>
          <w:rFonts w:ascii="Sylfaen" w:hAnsi="Sylfaen"/>
          <w:sz w:val="24"/>
          <w:szCs w:val="24"/>
          <w:lang w:val="ka-GE"/>
        </w:rPr>
        <w:t xml:space="preserve">ოლანზაპინის დოზები </w:t>
      </w:r>
      <w:r w:rsidRPr="00BE4F57">
        <w:rPr>
          <w:rFonts w:ascii="Sylfaen" w:hAnsi="Sylfaen"/>
          <w:sz w:val="24"/>
          <w:szCs w:val="24"/>
        </w:rPr>
        <w:t xml:space="preserve">10 (N=199), 20 (N=200) და 40 (N=200) მგ/დღეში შიზოფრენიის ან შიზოაფექტური აშლილობის მქონე პაციენტებში, სტატისტიკურად მნიშვნელოვანი განსხვავებები დაფიქსირდა 3 დოზის ჯგუფს შორის </w:t>
      </w:r>
      <w:r w:rsidRPr="00BE4F57">
        <w:rPr>
          <w:rFonts w:ascii="Sylfaen" w:hAnsi="Sylfaen"/>
          <w:sz w:val="24"/>
          <w:szCs w:val="24"/>
          <w:lang w:val="ka-GE"/>
        </w:rPr>
        <w:t xml:space="preserve">ისეთი </w:t>
      </w:r>
      <w:r w:rsidRPr="00BE4F57">
        <w:rPr>
          <w:rFonts w:ascii="Sylfaen" w:hAnsi="Sylfaen"/>
          <w:sz w:val="24"/>
          <w:szCs w:val="24"/>
        </w:rPr>
        <w:t>უსაფრთხოების შედეგების თვალსაზრისით</w:t>
      </w:r>
      <w:r w:rsidRPr="00BE4F57">
        <w:rPr>
          <w:rFonts w:ascii="Sylfaen" w:hAnsi="Sylfaen"/>
          <w:sz w:val="24"/>
          <w:szCs w:val="24"/>
          <w:lang w:val="ka-GE"/>
        </w:rPr>
        <w:t xml:space="preserve">, როგორიცაა </w:t>
      </w:r>
      <w:r w:rsidRPr="00BE4F57">
        <w:rPr>
          <w:rFonts w:ascii="Sylfaen" w:hAnsi="Sylfaen"/>
          <w:sz w:val="24"/>
          <w:szCs w:val="24"/>
        </w:rPr>
        <w:t>წონის მატებ</w:t>
      </w:r>
      <w:r w:rsidRPr="00BE4F57">
        <w:rPr>
          <w:rFonts w:ascii="Sylfaen" w:hAnsi="Sylfaen"/>
          <w:sz w:val="24"/>
          <w:szCs w:val="24"/>
          <w:lang w:val="ka-GE"/>
        </w:rPr>
        <w:t>ა</w:t>
      </w:r>
      <w:r w:rsidRPr="00BE4F57">
        <w:rPr>
          <w:rFonts w:ascii="Sylfaen" w:hAnsi="Sylfaen"/>
          <w:sz w:val="24"/>
          <w:szCs w:val="24"/>
        </w:rPr>
        <w:t>, პროლაქტინის მომატებ</w:t>
      </w:r>
      <w:r w:rsidRPr="00BE4F57">
        <w:rPr>
          <w:rFonts w:ascii="Sylfaen" w:hAnsi="Sylfaen"/>
          <w:sz w:val="24"/>
          <w:szCs w:val="24"/>
          <w:lang w:val="ka-GE"/>
        </w:rPr>
        <w:t>ა</w:t>
      </w:r>
      <w:r w:rsidRPr="00BE4F57">
        <w:rPr>
          <w:rFonts w:ascii="Sylfaen" w:hAnsi="Sylfaen"/>
          <w:sz w:val="24"/>
          <w:szCs w:val="24"/>
        </w:rPr>
        <w:t>, დაღლილობა და თავბრუსხვევ</w:t>
      </w:r>
      <w:r w:rsidRPr="00BE4F57">
        <w:rPr>
          <w:rFonts w:ascii="Sylfaen" w:hAnsi="Sylfaen"/>
          <w:sz w:val="24"/>
          <w:szCs w:val="24"/>
          <w:lang w:val="ka-GE"/>
        </w:rPr>
        <w:t xml:space="preserve">ა. </w:t>
      </w:r>
      <w:r w:rsidRPr="00BE4F57">
        <w:rPr>
          <w:rFonts w:ascii="Sylfaen" w:hAnsi="Sylfaen"/>
          <w:sz w:val="24"/>
          <w:szCs w:val="24"/>
        </w:rPr>
        <w:t>წონის მატება</w:t>
      </w:r>
      <w:r w:rsidRPr="00BE4F57">
        <w:rPr>
          <w:rFonts w:ascii="Sylfaen" w:hAnsi="Sylfaen"/>
          <w:sz w:val="24"/>
          <w:szCs w:val="24"/>
          <w:lang w:val="ka-GE"/>
        </w:rPr>
        <w:t xml:space="preserve"> </w:t>
      </w:r>
      <w:r w:rsidRPr="00BE4F57">
        <w:rPr>
          <w:rFonts w:ascii="Sylfaen" w:hAnsi="Sylfaen"/>
          <w:sz w:val="24"/>
          <w:szCs w:val="24"/>
        </w:rPr>
        <w:t>საშუალო სა</w:t>
      </w:r>
      <w:r w:rsidRPr="00BE4F57">
        <w:rPr>
          <w:rFonts w:ascii="Sylfaen" w:hAnsi="Sylfaen"/>
          <w:sz w:val="24"/>
          <w:szCs w:val="24"/>
          <w:lang w:val="ka-GE"/>
        </w:rPr>
        <w:t>წყისიდან</w:t>
      </w:r>
      <w:r w:rsidRPr="00BE4F57">
        <w:rPr>
          <w:rFonts w:ascii="Sylfaen" w:hAnsi="Sylfaen"/>
          <w:sz w:val="24"/>
          <w:szCs w:val="24"/>
        </w:rPr>
        <w:t xml:space="preserve"> საბოლოო წერტილ</w:t>
      </w:r>
      <w:r w:rsidRPr="00BE4F57">
        <w:rPr>
          <w:rFonts w:ascii="Sylfaen" w:hAnsi="Sylfaen"/>
          <w:sz w:val="24"/>
          <w:szCs w:val="24"/>
          <w:lang w:val="ka-GE"/>
        </w:rPr>
        <w:t>ამდე</w:t>
      </w:r>
      <w:r w:rsidRPr="00BE4F57">
        <w:rPr>
          <w:rFonts w:ascii="Sylfaen" w:hAnsi="Sylfaen"/>
          <w:sz w:val="24"/>
          <w:szCs w:val="24"/>
        </w:rPr>
        <w:t xml:space="preserve">  (10 მგ/დღეში: 1.9 კგ; 20 მგ/დღეში: 2.3 კგ; 40 მგ/დღეში: 3 კგ) დაფიქსირდა მნიშვნელოვანი განსხვავებებით 10 და 40 მგ/დღეში</w:t>
      </w:r>
      <w:r w:rsidRPr="00BE4F57">
        <w:rPr>
          <w:rFonts w:ascii="Sylfaen" w:hAnsi="Sylfaen"/>
          <w:sz w:val="24"/>
          <w:szCs w:val="24"/>
          <w:lang w:val="ka-GE"/>
        </w:rPr>
        <w:t xml:space="preserve"> შორის</w:t>
      </w:r>
      <w:r w:rsidRPr="00BE4F57">
        <w:rPr>
          <w:rFonts w:ascii="Sylfaen" w:hAnsi="Sylfaen"/>
          <w:sz w:val="24"/>
          <w:szCs w:val="24"/>
        </w:rPr>
        <w:t xml:space="preserve">. კვლევის განმავლობაში ნებისმიერ დროს </w:t>
      </w:r>
      <w:r w:rsidRPr="00BE4F57">
        <w:rPr>
          <w:rFonts w:ascii="Sylfaen" w:hAnsi="Sylfaen"/>
          <w:sz w:val="24"/>
          <w:szCs w:val="24"/>
          <w:lang w:val="ka-GE"/>
        </w:rPr>
        <w:t>გამოვლინდა</w:t>
      </w:r>
      <w:r w:rsidRPr="00BE4F57">
        <w:rPr>
          <w:rFonts w:ascii="Sylfaen" w:hAnsi="Sylfaen"/>
          <w:sz w:val="24"/>
          <w:szCs w:val="24"/>
        </w:rPr>
        <w:t xml:space="preserve"> მკურნალობის შედეგად პროლაქტინის მომატების &gt;24.2 ნგ/მლ (ქალებში) ან &gt;18.77 ნგ/მლ (მამაკაცებში) შემთხვევები (10 მგ/დღეში: 31.2%; 20 მგ/დღეში</w:t>
      </w:r>
      <w:r w:rsidRPr="00BE4F57">
        <w:rPr>
          <w:rFonts w:ascii="Sylfaen" w:hAnsi="Sylfaen"/>
          <w:sz w:val="24"/>
          <w:szCs w:val="24"/>
          <w:lang w:val="ka-GE"/>
        </w:rPr>
        <w:t>:</w:t>
      </w:r>
      <w:r w:rsidRPr="00BE4F57">
        <w:rPr>
          <w:rFonts w:ascii="Sylfaen" w:hAnsi="Sylfaen"/>
          <w:sz w:val="24"/>
          <w:szCs w:val="24"/>
        </w:rPr>
        <w:t xml:space="preserve"> 42.7%; 40 მგ/დღეში: 61.1%), მნიშვნელოვანი განსხვავებებით 10</w:t>
      </w:r>
      <w:r w:rsidRPr="00BE4F57">
        <w:rPr>
          <w:rFonts w:ascii="Sylfaen" w:hAnsi="Sylfaen"/>
          <w:sz w:val="24"/>
          <w:szCs w:val="24"/>
          <w:lang w:val="ka-GE"/>
        </w:rPr>
        <w:t xml:space="preserve"> და </w:t>
      </w:r>
      <w:r w:rsidRPr="00BE4F57">
        <w:rPr>
          <w:rFonts w:ascii="Sylfaen" w:hAnsi="Sylfaen"/>
          <w:sz w:val="24"/>
          <w:szCs w:val="24"/>
        </w:rPr>
        <w:lastRenderedPageBreak/>
        <w:t>40 მგ/დღეში და 20</w:t>
      </w:r>
      <w:r w:rsidRPr="00BE4F57">
        <w:rPr>
          <w:sz w:val="24"/>
          <w:szCs w:val="24"/>
        </w:rPr>
        <w:t xml:space="preserve"> </w:t>
      </w:r>
      <w:r w:rsidRPr="00BE4F57">
        <w:rPr>
          <w:rFonts w:ascii="Sylfaen" w:hAnsi="Sylfaen"/>
          <w:sz w:val="24"/>
          <w:szCs w:val="24"/>
          <w:lang w:val="ka-GE"/>
        </w:rPr>
        <w:t>და</w:t>
      </w:r>
      <w:r w:rsidRPr="00BE4F57">
        <w:rPr>
          <w:rFonts w:ascii="Sylfaen" w:hAnsi="Sylfaen"/>
          <w:sz w:val="24"/>
          <w:szCs w:val="24"/>
        </w:rPr>
        <w:t xml:space="preserve"> 40 მგ/დღეში</w:t>
      </w:r>
      <w:r w:rsidRPr="00BE4F57">
        <w:rPr>
          <w:rFonts w:ascii="Sylfaen" w:hAnsi="Sylfaen"/>
          <w:sz w:val="24"/>
          <w:szCs w:val="24"/>
          <w:lang w:val="ka-GE"/>
        </w:rPr>
        <w:t xml:space="preserve"> შორის</w:t>
      </w:r>
      <w:r w:rsidRPr="00BE4F57">
        <w:rPr>
          <w:rFonts w:ascii="Sylfaen" w:hAnsi="Sylfaen"/>
          <w:sz w:val="24"/>
          <w:szCs w:val="24"/>
        </w:rPr>
        <w:t>; დაღლილობა (10 მგ/დღეში: 1.5%; 20 მგ/დღეში: 2.1%; 40 მგ/დღეში: 6.6%), მნიშვნელოვანი განსხვავებებით 10</w:t>
      </w:r>
      <w:r w:rsidRPr="00BE4F57">
        <w:rPr>
          <w:rFonts w:ascii="Sylfaen" w:hAnsi="Sylfaen"/>
          <w:sz w:val="24"/>
          <w:szCs w:val="24"/>
          <w:lang w:val="ka-GE"/>
        </w:rPr>
        <w:t xml:space="preserve"> და </w:t>
      </w:r>
      <w:r w:rsidRPr="00BE4F57">
        <w:rPr>
          <w:rFonts w:ascii="Sylfaen" w:hAnsi="Sylfaen"/>
          <w:sz w:val="24"/>
          <w:szCs w:val="24"/>
        </w:rPr>
        <w:t>40-ს და 20</w:t>
      </w:r>
      <w:r w:rsidRPr="00BE4F57">
        <w:rPr>
          <w:rFonts w:ascii="Sylfaen" w:hAnsi="Sylfaen"/>
          <w:sz w:val="24"/>
          <w:szCs w:val="24"/>
          <w:lang w:val="ka-GE"/>
        </w:rPr>
        <w:t xml:space="preserve"> და </w:t>
      </w:r>
      <w:r w:rsidRPr="00BE4F57">
        <w:rPr>
          <w:rFonts w:ascii="Sylfaen" w:hAnsi="Sylfaen"/>
          <w:sz w:val="24"/>
          <w:szCs w:val="24"/>
        </w:rPr>
        <w:t>40 მგ</w:t>
      </w:r>
      <w:r w:rsidRPr="00BE4F57">
        <w:rPr>
          <w:rFonts w:ascii="Sylfaen" w:hAnsi="Sylfaen"/>
          <w:sz w:val="24"/>
          <w:szCs w:val="24"/>
          <w:lang w:val="ka-GE"/>
        </w:rPr>
        <w:t>–ს</w:t>
      </w:r>
      <w:r w:rsidRPr="00BE4F57">
        <w:rPr>
          <w:rFonts w:ascii="Sylfaen" w:hAnsi="Sylfaen"/>
          <w:sz w:val="24"/>
          <w:szCs w:val="24"/>
        </w:rPr>
        <w:t>/დღეში</w:t>
      </w:r>
      <w:r w:rsidRPr="00BE4F57">
        <w:rPr>
          <w:rFonts w:ascii="Sylfaen" w:hAnsi="Sylfaen"/>
          <w:sz w:val="24"/>
          <w:szCs w:val="24"/>
          <w:lang w:val="ka-GE"/>
        </w:rPr>
        <w:t xml:space="preserve"> შორის</w:t>
      </w:r>
      <w:r w:rsidRPr="00BE4F57">
        <w:rPr>
          <w:rFonts w:ascii="Sylfaen" w:hAnsi="Sylfaen"/>
          <w:sz w:val="24"/>
          <w:szCs w:val="24"/>
        </w:rPr>
        <w:t>; და თავბრუსხვევა (10 მგ/დღეში: 2.6%; 20 მგ/დღეში: 1.6%; 40 მგ/დღეში: 6.6%), მნიშვნელოვანი განსხვავებებით 20</w:t>
      </w:r>
      <w:r w:rsidRPr="00BE4F57">
        <w:rPr>
          <w:rFonts w:ascii="Sylfaen" w:hAnsi="Sylfaen"/>
          <w:sz w:val="24"/>
          <w:szCs w:val="24"/>
          <w:lang w:val="ka-GE"/>
        </w:rPr>
        <w:t xml:space="preserve"> და </w:t>
      </w:r>
      <w:r w:rsidRPr="00BE4F57">
        <w:rPr>
          <w:rFonts w:ascii="Sylfaen" w:hAnsi="Sylfaen"/>
          <w:sz w:val="24"/>
          <w:szCs w:val="24"/>
        </w:rPr>
        <w:t>40 მგ-ს შორის.</w:t>
      </w:r>
    </w:p>
    <w:p w14:paraId="32231428" w14:textId="77777777" w:rsidR="008B1423" w:rsidRPr="00BE4F57" w:rsidRDefault="008B1423" w:rsidP="00A14CA6">
      <w:pPr>
        <w:spacing w:after="0" w:line="240" w:lineRule="auto"/>
        <w:jc w:val="both"/>
        <w:rPr>
          <w:rFonts w:ascii="Sylfaen" w:hAnsi="Sylfaen"/>
          <w:sz w:val="24"/>
          <w:szCs w:val="24"/>
          <w:lang w:val="ka-GE"/>
        </w:rPr>
      </w:pPr>
    </w:p>
    <w:p w14:paraId="06C90213"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კლინიკურ კვლევებში გამოვლენილი სხვა გვერდითი რეაქციები</w:t>
      </w:r>
    </w:p>
    <w:p w14:paraId="68614793" w14:textId="77777777" w:rsidR="008B1423" w:rsidRPr="00BE4F57" w:rsidRDefault="008B1423" w:rsidP="00A14CA6">
      <w:pPr>
        <w:spacing w:after="0" w:line="240" w:lineRule="auto"/>
        <w:jc w:val="both"/>
        <w:rPr>
          <w:rFonts w:ascii="Sylfaen" w:hAnsi="Sylfaen"/>
          <w:sz w:val="24"/>
          <w:szCs w:val="24"/>
          <w:lang w:val="ka-GE"/>
        </w:rPr>
      </w:pPr>
    </w:p>
    <w:p w14:paraId="7703C6D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ქვემოთ ჩამოთვლილია პრეპარატის მიერ გამოწვეული გვერდითი რეაქციები:</w:t>
      </w:r>
    </w:p>
    <w:p w14:paraId="66F00A48" w14:textId="77777777" w:rsidR="008B1423" w:rsidRPr="00BE4F57" w:rsidRDefault="008B1423" w:rsidP="00A14CA6">
      <w:pPr>
        <w:spacing w:after="0" w:line="240" w:lineRule="auto"/>
        <w:jc w:val="both"/>
        <w:rPr>
          <w:rFonts w:ascii="Sylfaen" w:hAnsi="Sylfaen"/>
          <w:sz w:val="24"/>
          <w:szCs w:val="24"/>
          <w:lang w:val="ka-GE"/>
        </w:rPr>
      </w:pPr>
    </w:p>
    <w:p w14:paraId="21C766D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სიხშირეები განისაზღვრება შემდეგნაირად: ძალიან ხშირი (≥1/10); ხშირი (&gt;1/100, &lt;1/10); არახშირი (&gt;1/1,000, &lt;1/100); იშვიათი (&gt;1/10,000, &lt;1/1,000); ძალიან იშვიათი (&lt;1/10,000), უცნობია (არსებული მონაცემებით შეფასება შეუძლებელია).</w:t>
      </w:r>
    </w:p>
    <w:p w14:paraId="79C020A9" w14:textId="77777777" w:rsidR="008B1423" w:rsidRPr="00BE4F57" w:rsidRDefault="008B1423" w:rsidP="00A14CA6">
      <w:pPr>
        <w:spacing w:after="0" w:line="240" w:lineRule="auto"/>
        <w:jc w:val="both"/>
        <w:rPr>
          <w:rFonts w:ascii="Sylfaen" w:hAnsi="Sylfaen"/>
          <w:sz w:val="24"/>
          <w:szCs w:val="24"/>
          <w:lang w:val="ka-GE"/>
        </w:rPr>
      </w:pPr>
    </w:p>
    <w:p w14:paraId="5AB1F13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სისხლის და ლიმფური სისტემის დარღვევები</w:t>
      </w:r>
    </w:p>
    <w:p w14:paraId="777F0A7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ეკქიმოზი</w:t>
      </w:r>
    </w:p>
    <w:p w14:paraId="5FC1685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არახშირი: ანემია, თრომბოციტოპენია </w:t>
      </w:r>
    </w:p>
    <w:p w14:paraId="19CDE92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ლეიკოპენია, პურპურა.</w:t>
      </w:r>
    </w:p>
    <w:p w14:paraId="0B75E1BF" w14:textId="77777777" w:rsidR="008B1423" w:rsidRPr="00BE4F57" w:rsidRDefault="008B1423" w:rsidP="00A14CA6">
      <w:pPr>
        <w:spacing w:after="0" w:line="240" w:lineRule="auto"/>
        <w:jc w:val="both"/>
        <w:rPr>
          <w:rFonts w:ascii="Sylfaen" w:hAnsi="Sylfaen"/>
          <w:sz w:val="24"/>
          <w:szCs w:val="24"/>
          <w:lang w:val="ka-GE"/>
        </w:rPr>
      </w:pPr>
    </w:p>
    <w:p w14:paraId="446223C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მეტაბოლიზმის და კვების დარღვევები</w:t>
      </w:r>
    </w:p>
    <w:p w14:paraId="0404008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წონის დაკლება</w:t>
      </w:r>
    </w:p>
    <w:p w14:paraId="2896315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იშვიათი: ბილირუბინემია, კრეატინინის მომატება, პოდაგრა. </w:t>
      </w:r>
    </w:p>
    <w:p w14:paraId="24EE88DB" w14:textId="77777777" w:rsidR="008B1423" w:rsidRPr="00BE4F57" w:rsidRDefault="008B1423" w:rsidP="00A14CA6">
      <w:pPr>
        <w:spacing w:after="0" w:line="240" w:lineRule="auto"/>
        <w:jc w:val="both"/>
        <w:rPr>
          <w:rFonts w:ascii="Sylfaen" w:hAnsi="Sylfaen"/>
          <w:sz w:val="24"/>
          <w:szCs w:val="24"/>
          <w:lang w:val="ka-GE"/>
        </w:rPr>
      </w:pPr>
    </w:p>
    <w:p w14:paraId="6E04F54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ნერვული სისტემის დარღვევები</w:t>
      </w:r>
    </w:p>
    <w:p w14:paraId="4F4275B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ამნეზია</w:t>
      </w:r>
    </w:p>
    <w:p w14:paraId="43AACDE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ატაქსია, ბუკოგლოსალური სინდრომი, კომა, დეპერსონალიზაცია, დიზართრია, ემოციური ლაბილობა, ეიფორია, ჰიპოკინეზია, მოძრაობის დარღვევა, მიოკლონუსი, მოუსვენარი ფეხების სინდრომი</w:t>
      </w:r>
    </w:p>
    <w:p w14:paraId="0AAA5B1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ჰიპერკინეზია, ლიბიდოს მომატება, მოხსნის სინდრომი.</w:t>
      </w:r>
    </w:p>
    <w:p w14:paraId="4474FCA3" w14:textId="77777777" w:rsidR="008B1423" w:rsidRPr="00BE4F57" w:rsidRDefault="008B1423" w:rsidP="00A14CA6">
      <w:pPr>
        <w:spacing w:after="0" w:line="240" w:lineRule="auto"/>
        <w:jc w:val="both"/>
        <w:rPr>
          <w:rFonts w:ascii="Sylfaen" w:hAnsi="Sylfaen"/>
          <w:sz w:val="24"/>
          <w:szCs w:val="24"/>
          <w:lang w:val="ka-GE"/>
        </w:rPr>
      </w:pPr>
    </w:p>
    <w:p w14:paraId="570CC20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თვალის დარღვევები</w:t>
      </w:r>
    </w:p>
    <w:p w14:paraId="1F7D0F1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აკომოდაციის დარღვევა, თვალის სიმშრალე.</w:t>
      </w:r>
    </w:p>
    <w:p w14:paraId="1BB9B3B0" w14:textId="77777777" w:rsidR="008B1423" w:rsidRPr="00BE4F57" w:rsidRDefault="008B1423" w:rsidP="00A14CA6">
      <w:pPr>
        <w:spacing w:after="0" w:line="240" w:lineRule="auto"/>
        <w:jc w:val="both"/>
        <w:rPr>
          <w:rFonts w:ascii="Sylfaen" w:hAnsi="Sylfaen"/>
          <w:sz w:val="24"/>
          <w:szCs w:val="24"/>
          <w:lang w:val="ka-GE"/>
        </w:rPr>
      </w:pPr>
    </w:p>
    <w:p w14:paraId="3E2F2CD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გულის დარღვევები</w:t>
      </w:r>
    </w:p>
    <w:p w14:paraId="32D8465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QT ინტერვალის გახანგრძლივება.</w:t>
      </w:r>
    </w:p>
    <w:p w14:paraId="2E104D34" w14:textId="77777777" w:rsidR="008B1423" w:rsidRPr="00BE4F57" w:rsidRDefault="008B1423" w:rsidP="00A14CA6">
      <w:pPr>
        <w:spacing w:after="0" w:line="240" w:lineRule="auto"/>
        <w:jc w:val="both"/>
        <w:rPr>
          <w:rFonts w:ascii="Sylfaen" w:hAnsi="Sylfaen"/>
          <w:sz w:val="24"/>
          <w:szCs w:val="24"/>
          <w:lang w:val="ka-GE"/>
        </w:rPr>
      </w:pPr>
    </w:p>
    <w:p w14:paraId="426EA18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სისხლძარღვოვანი დარღვევები</w:t>
      </w:r>
    </w:p>
    <w:p w14:paraId="29387A0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ვაზოდილატაცია, შეშუპება.</w:t>
      </w:r>
    </w:p>
    <w:p w14:paraId="76AD8C1E" w14:textId="77777777" w:rsidR="008B1423" w:rsidRPr="00BE4F57" w:rsidRDefault="008B1423" w:rsidP="00A14CA6">
      <w:pPr>
        <w:spacing w:after="0" w:line="240" w:lineRule="auto"/>
        <w:jc w:val="both"/>
        <w:rPr>
          <w:rFonts w:ascii="Sylfaen" w:hAnsi="Sylfaen"/>
          <w:sz w:val="24"/>
          <w:szCs w:val="24"/>
          <w:lang w:val="ka-GE"/>
        </w:rPr>
      </w:pPr>
    </w:p>
    <w:p w14:paraId="7AE5629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სასუნთქი გზების, გულმკერდის და შუასაყრის დარღვევები</w:t>
      </w:r>
    </w:p>
    <w:p w14:paraId="4D04394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არახშირი: ცხვირიდან სისხლდენა, მთქნარება. </w:t>
      </w:r>
    </w:p>
    <w:p w14:paraId="3615834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ლარინგიზმი.</w:t>
      </w:r>
    </w:p>
    <w:p w14:paraId="725AF125" w14:textId="77777777" w:rsidR="008B1423" w:rsidRPr="00BE4F57" w:rsidRDefault="008B1423" w:rsidP="00A14CA6">
      <w:pPr>
        <w:spacing w:after="0" w:line="240" w:lineRule="auto"/>
        <w:jc w:val="both"/>
        <w:rPr>
          <w:rFonts w:ascii="Sylfaen" w:hAnsi="Sylfaen"/>
          <w:sz w:val="24"/>
          <w:szCs w:val="24"/>
          <w:lang w:val="ka-GE"/>
        </w:rPr>
      </w:pPr>
    </w:p>
    <w:p w14:paraId="25E1FFE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კუჭ-ნაწლავის ტრაქტის დარღვევები</w:t>
      </w:r>
    </w:p>
    <w:p w14:paraId="6A23AE5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დიარეა, გემოს დარღვევა.</w:t>
      </w:r>
    </w:p>
    <w:p w14:paraId="75E5176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გასტრიტი, გასტროენტერიტი, გულისრევა და ღებინება, პეპტიკური წყლული.</w:t>
      </w:r>
    </w:p>
    <w:p w14:paraId="70BEA5C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კუჭ-ნაწლავის სისხლდენა, ნაწლავის გაუვალობა, ცხიმის დაგროვება ღვიძლში, პანკრეატიტი.</w:t>
      </w:r>
    </w:p>
    <w:p w14:paraId="5CEB80EA" w14:textId="77777777" w:rsidR="008B1423" w:rsidRPr="00BE4F57" w:rsidRDefault="008B1423" w:rsidP="00A14CA6">
      <w:pPr>
        <w:spacing w:after="0" w:line="240" w:lineRule="auto"/>
        <w:jc w:val="both"/>
        <w:rPr>
          <w:rFonts w:ascii="Sylfaen" w:hAnsi="Sylfaen"/>
          <w:sz w:val="24"/>
          <w:szCs w:val="24"/>
          <w:lang w:val="ka-GE"/>
        </w:rPr>
      </w:pPr>
    </w:p>
    <w:p w14:paraId="51BD69F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კანისა და მისი დანამატების დარღვევები</w:t>
      </w:r>
      <w:r w:rsidRPr="00BE4F57">
        <w:rPr>
          <w:rFonts w:ascii="Sylfaen" w:hAnsi="Sylfaen"/>
          <w:sz w:val="24"/>
          <w:szCs w:val="24"/>
          <w:lang w:val="ka-GE"/>
        </w:rPr>
        <w:t xml:space="preserve"> </w:t>
      </w:r>
    </w:p>
    <w:p w14:paraId="6A965A0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არახშირი: ალოპეცია, კანის სიმშრალე, ქავილი. </w:t>
      </w:r>
    </w:p>
    <w:p w14:paraId="2509AF9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იშვიათი: ექსფოლიატიური დერმატიტი. </w:t>
      </w:r>
    </w:p>
    <w:p w14:paraId="7FA1176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უცნობია: წამლისმიერი რეაქცია ეოზინოფილიით და სისტემური სიმპტომებით (DRESS)</w:t>
      </w:r>
    </w:p>
    <w:p w14:paraId="620BC06E" w14:textId="77777777" w:rsidR="008B1423" w:rsidRPr="00BE4F57" w:rsidRDefault="008B1423" w:rsidP="00A14CA6">
      <w:pPr>
        <w:spacing w:after="0" w:line="240" w:lineRule="auto"/>
        <w:jc w:val="both"/>
        <w:rPr>
          <w:rFonts w:ascii="Sylfaen" w:hAnsi="Sylfaen"/>
          <w:sz w:val="24"/>
          <w:szCs w:val="24"/>
          <w:lang w:val="ka-GE"/>
        </w:rPr>
      </w:pPr>
    </w:p>
    <w:p w14:paraId="77E2191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ჩონჩხ-კუნთოვანი სისტემის დარღვევები, შემაერთებელი ქსოვილის და ძვლების დარღვევები</w:t>
      </w:r>
    </w:p>
    <w:p w14:paraId="37E9A57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ოსტეოპოროზი.</w:t>
      </w:r>
    </w:p>
    <w:p w14:paraId="197D372C" w14:textId="77777777" w:rsidR="008B1423" w:rsidRPr="00BE4F57" w:rsidRDefault="008B1423" w:rsidP="00A14CA6">
      <w:pPr>
        <w:spacing w:after="0" w:line="240" w:lineRule="auto"/>
        <w:jc w:val="both"/>
        <w:rPr>
          <w:rFonts w:ascii="Sylfaen" w:hAnsi="Sylfaen"/>
          <w:sz w:val="24"/>
          <w:szCs w:val="24"/>
          <w:lang w:val="ka-GE"/>
        </w:rPr>
      </w:pPr>
    </w:p>
    <w:p w14:paraId="73BA594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თირკმლებისა და საშარდე სისტემის დარღვევები</w:t>
      </w:r>
    </w:p>
    <w:p w14:paraId="4EFF6E1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გახშირებული შარდვა, შარდის შეუკავებლობა</w:t>
      </w:r>
    </w:p>
    <w:p w14:paraId="382ED02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შარდის შეკავება, შარდვის მოთხოვნილება, შარდვის დარღვევა.</w:t>
      </w:r>
    </w:p>
    <w:p w14:paraId="76F44EAB" w14:textId="77777777" w:rsidR="008B1423" w:rsidRPr="00BE4F57" w:rsidRDefault="008B1423" w:rsidP="00A14CA6">
      <w:pPr>
        <w:spacing w:after="0" w:line="240" w:lineRule="auto"/>
        <w:jc w:val="both"/>
        <w:rPr>
          <w:rFonts w:ascii="Sylfaen" w:hAnsi="Sylfaen"/>
          <w:sz w:val="24"/>
          <w:szCs w:val="24"/>
          <w:lang w:val="ka-GE"/>
        </w:rPr>
      </w:pPr>
    </w:p>
    <w:p w14:paraId="157AE28C"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რეპროდუქციული სისტემის და სარძევე ჯირკვლის დარღვევები</w:t>
      </w:r>
    </w:p>
    <w:p w14:paraId="2651C20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ხშირი: ტკივილი სარძევე ჯირკვლებში, მენორაგია</w:t>
      </w:r>
      <w:r w:rsidRPr="00BE4F57">
        <w:rPr>
          <w:rFonts w:ascii="Sylfaen" w:hAnsi="Sylfaen"/>
          <w:sz w:val="24"/>
          <w:szCs w:val="24"/>
          <w:vertAlign w:val="superscript"/>
          <w:lang w:val="ka-GE"/>
        </w:rPr>
        <w:t>2</w:t>
      </w:r>
    </w:p>
    <w:p w14:paraId="298DE7C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არახშირი: ამენორეა</w:t>
      </w:r>
      <w:r w:rsidRPr="00BE4F57">
        <w:rPr>
          <w:rFonts w:ascii="Sylfaen" w:hAnsi="Sylfaen"/>
          <w:sz w:val="24"/>
          <w:szCs w:val="24"/>
          <w:vertAlign w:val="superscript"/>
          <w:lang w:val="ka-GE"/>
        </w:rPr>
        <w:t>2</w:t>
      </w:r>
      <w:r w:rsidRPr="00BE4F57">
        <w:rPr>
          <w:rFonts w:ascii="Sylfaen" w:hAnsi="Sylfaen"/>
          <w:sz w:val="24"/>
          <w:szCs w:val="24"/>
          <w:lang w:val="ka-GE"/>
        </w:rPr>
        <w:t>, ქალის ლაქტაცია</w:t>
      </w:r>
      <w:r w:rsidRPr="00BE4F57">
        <w:rPr>
          <w:rFonts w:ascii="Sylfaen" w:hAnsi="Sylfaen"/>
          <w:sz w:val="24"/>
          <w:szCs w:val="24"/>
          <w:vertAlign w:val="superscript"/>
          <w:lang w:val="ka-GE"/>
        </w:rPr>
        <w:t>2</w:t>
      </w:r>
      <w:r w:rsidRPr="00BE4F57">
        <w:rPr>
          <w:rFonts w:ascii="Sylfaen" w:hAnsi="Sylfaen"/>
          <w:sz w:val="24"/>
          <w:szCs w:val="24"/>
          <w:lang w:val="ka-GE"/>
        </w:rPr>
        <w:t>, ჰიპომენორეა</w:t>
      </w:r>
      <w:r w:rsidRPr="00BE4F57">
        <w:rPr>
          <w:rFonts w:ascii="Sylfaen" w:hAnsi="Sylfaen"/>
          <w:sz w:val="24"/>
          <w:szCs w:val="24"/>
          <w:vertAlign w:val="superscript"/>
          <w:lang w:val="ka-GE"/>
        </w:rPr>
        <w:t>2</w:t>
      </w:r>
      <w:r w:rsidRPr="00BE4F57">
        <w:rPr>
          <w:rFonts w:ascii="Sylfaen" w:hAnsi="Sylfaen"/>
          <w:sz w:val="24"/>
          <w:szCs w:val="24"/>
          <w:lang w:val="ka-GE"/>
        </w:rPr>
        <w:t>, მეტრორაგია</w:t>
      </w:r>
      <w:r w:rsidRPr="00BE4F57">
        <w:rPr>
          <w:rFonts w:ascii="Sylfaen" w:hAnsi="Sylfaen"/>
          <w:sz w:val="24"/>
          <w:szCs w:val="24"/>
          <w:vertAlign w:val="superscript"/>
          <w:lang w:val="ka-GE"/>
        </w:rPr>
        <w:t>2</w:t>
      </w:r>
      <w:r w:rsidRPr="00BE4F57">
        <w:rPr>
          <w:rFonts w:ascii="Sylfaen" w:hAnsi="Sylfaen"/>
          <w:sz w:val="24"/>
          <w:szCs w:val="24"/>
          <w:lang w:val="ka-GE"/>
        </w:rPr>
        <w:t xml:space="preserve"> </w:t>
      </w:r>
    </w:p>
    <w:p w14:paraId="4401979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გამკვრივება სარძევე ჯირკვლებში</w:t>
      </w:r>
      <w:r w:rsidRPr="00BE4F57">
        <w:rPr>
          <w:rFonts w:ascii="Sylfaen" w:hAnsi="Sylfaen"/>
          <w:sz w:val="24"/>
          <w:szCs w:val="24"/>
          <w:vertAlign w:val="superscript"/>
          <w:lang w:val="ka-GE"/>
        </w:rPr>
        <w:t>2</w:t>
      </w:r>
    </w:p>
    <w:p w14:paraId="0C210440" w14:textId="77777777" w:rsidR="008B1423" w:rsidRPr="00BE4F57" w:rsidRDefault="008B1423" w:rsidP="00A14CA6">
      <w:pPr>
        <w:spacing w:after="0" w:line="240" w:lineRule="auto"/>
        <w:jc w:val="both"/>
        <w:rPr>
          <w:rFonts w:ascii="Sylfaen" w:hAnsi="Sylfaen"/>
          <w:sz w:val="24"/>
          <w:szCs w:val="24"/>
          <w:lang w:val="ka-GE"/>
        </w:rPr>
      </w:pPr>
    </w:p>
    <w:p w14:paraId="69ACCBE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ზოგადი დარღვევები და დარღვევები შეყვანის ადგილას</w:t>
      </w:r>
      <w:r w:rsidRPr="00BE4F57">
        <w:rPr>
          <w:rFonts w:ascii="Sylfaen" w:hAnsi="Sylfaen"/>
          <w:sz w:val="24"/>
          <w:szCs w:val="24"/>
          <w:lang w:val="ka-GE"/>
        </w:rPr>
        <w:t xml:space="preserve"> </w:t>
      </w:r>
    </w:p>
    <w:p w14:paraId="2517A07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ხშირი: ტრემორი, კისრის რიგიდობა, ფოტომგრძნობელობის რეაქცია </w:t>
      </w:r>
    </w:p>
    <w:p w14:paraId="16746BA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იშვიათი: სიკვდილი</w:t>
      </w:r>
      <w:r w:rsidRPr="00BE4F57">
        <w:rPr>
          <w:rFonts w:ascii="Sylfaen" w:hAnsi="Sylfaen"/>
          <w:sz w:val="24"/>
          <w:szCs w:val="24"/>
          <w:vertAlign w:val="superscript"/>
          <w:lang w:val="ka-GE"/>
        </w:rPr>
        <w:t>1</w:t>
      </w:r>
      <w:r w:rsidRPr="00BE4F57">
        <w:rPr>
          <w:rFonts w:ascii="Sylfaen" w:hAnsi="Sylfaen"/>
          <w:sz w:val="24"/>
          <w:szCs w:val="24"/>
          <w:lang w:val="ka-GE"/>
        </w:rPr>
        <w:t>.</w:t>
      </w:r>
    </w:p>
    <w:p w14:paraId="0B5368EC" w14:textId="77777777" w:rsidR="008B1423" w:rsidRPr="00BE4F57" w:rsidRDefault="008B1423" w:rsidP="00A14CA6">
      <w:pPr>
        <w:spacing w:after="0" w:line="240" w:lineRule="auto"/>
        <w:jc w:val="both"/>
        <w:rPr>
          <w:rFonts w:ascii="Sylfaen" w:hAnsi="Sylfaen"/>
          <w:sz w:val="24"/>
          <w:szCs w:val="24"/>
          <w:lang w:val="ka-GE"/>
        </w:rPr>
      </w:pPr>
    </w:p>
    <w:p w14:paraId="19ECEB7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1</w:t>
      </w:r>
      <w:r w:rsidRPr="00BE4F57">
        <w:rPr>
          <w:rFonts w:ascii="Sylfaen" w:hAnsi="Sylfaen"/>
          <w:sz w:val="24"/>
          <w:szCs w:val="24"/>
          <w:lang w:val="ka-GE"/>
        </w:rPr>
        <w:t xml:space="preserve"> ეს ტერმინი წარმოადგენს სერიოზულ გვერდით მოვლენას, მაგრამ არ შეესაბამება წამლისმიერი გვერდითი რეაქციების განმარტებას. ის აქ შეტანილია მისი სერიოზულობის გამო.</w:t>
      </w:r>
    </w:p>
    <w:p w14:paraId="31131EB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2</w:t>
      </w:r>
      <w:r w:rsidRPr="00BE4F57">
        <w:rPr>
          <w:rFonts w:ascii="Sylfaen" w:hAnsi="Sylfaen"/>
          <w:sz w:val="24"/>
          <w:szCs w:val="24"/>
          <w:lang w:val="ka-GE"/>
        </w:rPr>
        <w:t xml:space="preserve">  კორექტირებულია სქესის მიხედვით.</w:t>
      </w:r>
    </w:p>
    <w:p w14:paraId="458EE398" w14:textId="77777777" w:rsidR="008B1423" w:rsidRPr="00BE4F57" w:rsidRDefault="008B1423" w:rsidP="00A14CA6">
      <w:pPr>
        <w:spacing w:after="0" w:line="240" w:lineRule="auto"/>
        <w:jc w:val="both"/>
        <w:rPr>
          <w:rFonts w:ascii="Sylfaen" w:hAnsi="Sylfaen"/>
          <w:sz w:val="24"/>
          <w:szCs w:val="24"/>
          <w:lang w:val="ka-GE"/>
        </w:rPr>
      </w:pPr>
    </w:p>
    <w:p w14:paraId="15BE1B22"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 xml:space="preserve">სხვა გვერდითი რეაქციები, აღწერილი ოლანზაპინით ან ფლუოქსეტინით მონოთერაპიის დროს </w:t>
      </w:r>
    </w:p>
    <w:p w14:paraId="3923A3D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შემდეგი გვერდითი მოვლენები არ დაფიქსირებულა ოლანზაპინისა და ფლუოქსეტინის კომბინაციით ნამკურნალებ პაციენტებში მარკეტინგამდელი კლინიკური კვლევების დროს, მაგრამ აღინიშნა ოლანზაპინით ან ფლუოქსეტინით მონოთერაპიის დროს. ბრუქსიზმი, დიზურია, საყლაპავის წყლული, გინეკოლოგიური სისხლდენა, თავის ტკივილი, ჰიპოტენზია, ნეიტროპენია, უეცარი სიკვდილი</w:t>
      </w:r>
      <w:r w:rsidRPr="00BE4F57">
        <w:rPr>
          <w:rFonts w:ascii="Sylfaen" w:hAnsi="Sylfaen"/>
          <w:sz w:val="24"/>
          <w:szCs w:val="24"/>
          <w:vertAlign w:val="superscript"/>
          <w:lang w:val="ka-GE"/>
        </w:rPr>
        <w:t>3</w:t>
      </w:r>
      <w:r w:rsidRPr="00BE4F57">
        <w:rPr>
          <w:rFonts w:ascii="Sylfaen" w:hAnsi="Sylfaen"/>
          <w:sz w:val="24"/>
          <w:szCs w:val="24"/>
          <w:lang w:val="ka-GE"/>
        </w:rPr>
        <w:t xml:space="preserve"> და ოფლიანობა.</w:t>
      </w:r>
    </w:p>
    <w:p w14:paraId="2750792C" w14:textId="77777777" w:rsidR="008B1423" w:rsidRPr="00BE4F57" w:rsidRDefault="008B1423" w:rsidP="00A14CA6">
      <w:pPr>
        <w:spacing w:after="0" w:line="240" w:lineRule="auto"/>
        <w:jc w:val="both"/>
        <w:rPr>
          <w:rFonts w:ascii="Sylfaen" w:hAnsi="Sylfaen"/>
          <w:sz w:val="24"/>
          <w:szCs w:val="24"/>
          <w:lang w:val="ka-GE"/>
        </w:rPr>
      </w:pPr>
    </w:p>
    <w:p w14:paraId="5545443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3</w:t>
      </w:r>
      <w:r w:rsidRPr="00BE4F57">
        <w:rPr>
          <w:rFonts w:ascii="Sylfaen" w:hAnsi="Sylfaen"/>
          <w:sz w:val="24"/>
          <w:szCs w:val="24"/>
          <w:lang w:val="ka-GE"/>
        </w:rPr>
        <w:t xml:space="preserve"> ეს ტერმინები წარმოადგენს სერიოზულ გვერდით მოვლენებს, მაგრამ არ შეესაბამება წამლისმიერი გვერდითი რეაქციების განმარტებას. ისინი აქ შეტანილია მათი სერიოზულობის გამო.</w:t>
      </w:r>
    </w:p>
    <w:p w14:paraId="5D567A12" w14:textId="77777777" w:rsidR="008B1423" w:rsidRPr="00BE4F57" w:rsidRDefault="008B1423" w:rsidP="00A14CA6">
      <w:pPr>
        <w:spacing w:after="0" w:line="240" w:lineRule="auto"/>
        <w:jc w:val="both"/>
        <w:rPr>
          <w:rFonts w:ascii="Sylfaen" w:hAnsi="Sylfaen"/>
          <w:sz w:val="24"/>
          <w:szCs w:val="24"/>
          <w:lang w:val="ka-GE"/>
        </w:rPr>
      </w:pPr>
    </w:p>
    <w:p w14:paraId="5995F60E"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ბავშვები და მოზარდები, რომლებსაც დაუდგინდათ ბიპოლარული დეპრესია (10-დან 17 წლამდე)</w:t>
      </w:r>
    </w:p>
    <w:p w14:paraId="690D580A" w14:textId="77777777" w:rsidR="008B1423" w:rsidRPr="00BE4F57" w:rsidRDefault="008B1423" w:rsidP="00A14CA6">
      <w:pPr>
        <w:spacing w:after="0" w:line="240" w:lineRule="auto"/>
        <w:jc w:val="both"/>
        <w:rPr>
          <w:rFonts w:ascii="Sylfaen" w:hAnsi="Sylfaen"/>
          <w:sz w:val="24"/>
          <w:szCs w:val="24"/>
          <w:lang w:val="ka-GE"/>
        </w:rPr>
      </w:pPr>
    </w:p>
    <w:p w14:paraId="3FF7797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შემდეგი ინფორმაცია მოპოვებულია ერთჯერადი 8-კვირიანი, რანდომიზებული, პლაცებო-კონტროლირებადი კლინიკური კვლევიდან,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w:t>
      </w:r>
    </w:p>
    <w:p w14:paraId="13FC5B92" w14:textId="77777777" w:rsidR="008B1423" w:rsidRPr="00BE4F57" w:rsidRDefault="008B1423" w:rsidP="00A14CA6">
      <w:pPr>
        <w:spacing w:after="0" w:line="240" w:lineRule="auto"/>
        <w:jc w:val="both"/>
        <w:rPr>
          <w:rFonts w:ascii="Sylfaen" w:hAnsi="Sylfaen"/>
          <w:sz w:val="24"/>
          <w:szCs w:val="24"/>
          <w:lang w:val="ka-GE"/>
        </w:rPr>
      </w:pPr>
    </w:p>
    <w:p w14:paraId="5351BB7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მკურნალობის შეწყვეტასთან დაკავშირებული გვერდითი რეაქციები ერთჯერად პედიატრიულ კვლევაში</w:t>
      </w:r>
      <w:r w:rsidRPr="00BE4F57">
        <w:rPr>
          <w:rFonts w:ascii="Sylfaen" w:hAnsi="Sylfaen"/>
          <w:sz w:val="24"/>
          <w:szCs w:val="24"/>
          <w:lang w:val="ka-GE"/>
        </w:rPr>
        <w:t xml:space="preserve"> - საერთო ჯამში, ოლანზაპინისა და ფლუოქსეტინის კომბინაციის ჯგუფში 170 პაციენტიდან 14.1%-მა შეწყვიტა მკურნალობა გვერდითი რეაქციების გამო, პლაცებოს ჯგუფში 85 </w:t>
      </w:r>
      <w:r w:rsidRPr="00BE4F57">
        <w:rPr>
          <w:rFonts w:ascii="Sylfaen" w:hAnsi="Sylfaen"/>
          <w:sz w:val="24"/>
          <w:szCs w:val="24"/>
          <w:lang w:val="ka-GE"/>
        </w:rPr>
        <w:lastRenderedPageBreak/>
        <w:t xml:space="preserve">პაციენტიდან 5.9%-თან შედარებით. გვერდითი რეაქციები, რომლებმაც გამოიწვიეს მიღების შეწყვეტა, ასოცირებული ოლანზაპინისა და ფლუოქსეტინის კომბინაციასთან, MedDRA ლექსიკონის კოდირების გამოყენებით (ოლანზაპინისა და ფლუოქსეტინის კომბინაციისთვის სიხშირე მინიმუმ 1% და პლაცებოსთვის უფრო მაღალი) წონის მატება (2%, 9%), სუიციდური აზრები (1.8%), ბიპოლარული აშლილობა (1.2%) და ძილიანობა (1.2%), ხოლო წონის მატების, ბიპოლარული აშლილობისა და ძილიანობის სიხშირე იყო 0%, ხოლო სუიციდური აზრების სიხშირე - 1.2% პლაცებოს პაციენტებში. </w:t>
      </w:r>
    </w:p>
    <w:p w14:paraId="0192A73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გვერდითი რეაქციები, რომელთა სიხშირე პლაცებოსთან შედარებით 2%-ს ან მეტს შეადგენს - ცხრილი 17-ში ჩამოთვლილია ოლანზაპინისა და ფლუოქსეტინის კომბინაციის გამოყენებასთან დაკავშირებული მკურნალობის პროცესში გამოვლენილი გვერდითი რეაქციები (ოლანზაპინისა და ფლუოქსეტინის კომბინაციის შემთხვევაში სიხშირე მინიმუმ 2% იყო და პლაცებოსთან შედარებით ორჯერ ან მეტი).</w:t>
      </w:r>
    </w:p>
    <w:p w14:paraId="7226C086" w14:textId="77777777" w:rsidR="008B1423" w:rsidRPr="00BE4F57" w:rsidRDefault="008B1423" w:rsidP="00A14CA6">
      <w:pPr>
        <w:spacing w:after="0" w:line="240" w:lineRule="auto"/>
        <w:jc w:val="both"/>
        <w:rPr>
          <w:rFonts w:ascii="Sylfaen" w:hAnsi="Sylfaen"/>
          <w:sz w:val="24"/>
          <w:szCs w:val="24"/>
          <w:lang w:val="ka-GE"/>
        </w:rPr>
      </w:pPr>
    </w:p>
    <w:p w14:paraId="53B4CE10"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ცხრილი 17: მკურნალობასთან დაკავშირებული გვერდითი რეაქციები: ბავშვებში ბიპოლარული I ტიპის დეპრესიის სიხშირე 8-კვირიან, რანდომიზებულ, ორმაგ–ბრმა, პლაცებო-კონტროლირებად კლინიკურ კვლევაში.</w:t>
      </w:r>
    </w:p>
    <w:p w14:paraId="5A522B14" w14:textId="77777777" w:rsidR="008B1423" w:rsidRPr="00BE4F57" w:rsidRDefault="008B1423" w:rsidP="00A14CA6">
      <w:pPr>
        <w:spacing w:after="0" w:line="240" w:lineRule="auto"/>
        <w:jc w:val="both"/>
        <w:rPr>
          <w:rFonts w:ascii="Sylfaen" w:hAnsi="Sylfaen"/>
          <w:sz w:val="24"/>
          <w:szCs w:val="24"/>
          <w:lang w:val="ka-G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48"/>
        <w:gridCol w:w="2798"/>
        <w:gridCol w:w="2337"/>
        <w:gridCol w:w="1723"/>
      </w:tblGrid>
      <w:tr w:rsidR="008B1423" w:rsidRPr="00BE4F57" w14:paraId="7C1EC8B8" w14:textId="77777777" w:rsidTr="007C600F">
        <w:tc>
          <w:tcPr>
            <w:tcW w:w="2811" w:type="dxa"/>
            <w:vMerge w:val="restart"/>
          </w:tcPr>
          <w:p w14:paraId="1D4B945B" w14:textId="77777777" w:rsidR="008B1423" w:rsidRPr="00BE4F57" w:rsidRDefault="008B1423" w:rsidP="00A14CA6">
            <w:pPr>
              <w:pStyle w:val="BodyText"/>
              <w:spacing w:after="0" w:line="240" w:lineRule="auto"/>
              <w:rPr>
                <w:rFonts w:ascii="Sylfaen" w:hAnsi="Sylfaen"/>
                <w:b/>
                <w:sz w:val="24"/>
                <w:szCs w:val="24"/>
                <w:lang w:val="ka-GE"/>
              </w:rPr>
            </w:pPr>
            <w:r w:rsidRPr="00BE4F57">
              <w:rPr>
                <w:rFonts w:ascii="Sylfaen" w:hAnsi="Sylfaen"/>
                <w:b/>
                <w:bCs/>
                <w:sz w:val="24"/>
                <w:szCs w:val="24"/>
                <w:lang w:val="ka-GE"/>
              </w:rPr>
              <w:t>ორგანოთა სისტემის კლასი</w:t>
            </w:r>
          </w:p>
        </w:tc>
        <w:tc>
          <w:tcPr>
            <w:tcW w:w="2846" w:type="dxa"/>
            <w:vMerge w:val="restart"/>
          </w:tcPr>
          <w:p w14:paraId="778724B9" w14:textId="77777777" w:rsidR="008B1423" w:rsidRPr="00BE4F57" w:rsidRDefault="008B1423" w:rsidP="00A14CA6">
            <w:pPr>
              <w:pStyle w:val="BodyText"/>
              <w:spacing w:after="0" w:line="240" w:lineRule="auto"/>
              <w:rPr>
                <w:rFonts w:ascii="Sylfaen" w:hAnsi="Sylfaen"/>
                <w:b/>
                <w:sz w:val="24"/>
                <w:szCs w:val="24"/>
                <w:lang w:val="ka-GE"/>
              </w:rPr>
            </w:pPr>
            <w:r w:rsidRPr="00BE4F57">
              <w:rPr>
                <w:rFonts w:ascii="Sylfaen" w:hAnsi="Sylfaen"/>
                <w:b/>
                <w:bCs/>
                <w:sz w:val="24"/>
                <w:szCs w:val="24"/>
                <w:lang w:val="ka-GE"/>
              </w:rPr>
              <w:t>გვერდითი რეაქციები</w:t>
            </w:r>
          </w:p>
        </w:tc>
        <w:tc>
          <w:tcPr>
            <w:tcW w:w="3949" w:type="dxa"/>
            <w:gridSpan w:val="2"/>
          </w:tcPr>
          <w:p w14:paraId="1698B9DB"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cs="Sylfaen"/>
                <w:b/>
                <w:bCs/>
                <w:sz w:val="24"/>
                <w:szCs w:val="24"/>
              </w:rPr>
              <w:t>ინციდენტების</w:t>
            </w:r>
            <w:r w:rsidRPr="00BE4F57">
              <w:rPr>
                <w:rFonts w:ascii="Sylfaen" w:hAnsi="Sylfaen"/>
                <w:b/>
                <w:bCs/>
                <w:sz w:val="24"/>
                <w:szCs w:val="24"/>
              </w:rPr>
              <w:t xml:space="preserve"> </w:t>
            </w:r>
            <w:r w:rsidRPr="00BE4F57">
              <w:rPr>
                <w:rFonts w:ascii="Sylfaen" w:hAnsi="Sylfaen" w:cs="Sylfaen"/>
                <w:b/>
                <w:bCs/>
                <w:sz w:val="24"/>
                <w:szCs w:val="24"/>
                <w:lang w:val="ka-GE"/>
              </w:rPr>
              <w:t>მომხსენებელი</w:t>
            </w:r>
            <w:r w:rsidRPr="00BE4F57">
              <w:rPr>
                <w:rFonts w:ascii="Sylfaen" w:hAnsi="Sylfaen"/>
                <w:b/>
                <w:bCs/>
                <w:sz w:val="24"/>
                <w:szCs w:val="24"/>
              </w:rPr>
              <w:t xml:space="preserve"> </w:t>
            </w:r>
            <w:r w:rsidRPr="00BE4F57">
              <w:rPr>
                <w:rFonts w:ascii="Sylfaen" w:hAnsi="Sylfaen" w:cs="Sylfaen"/>
                <w:b/>
                <w:bCs/>
                <w:sz w:val="24"/>
                <w:szCs w:val="24"/>
              </w:rPr>
              <w:t>პაციენტების</w:t>
            </w:r>
            <w:r w:rsidRPr="00BE4F57">
              <w:rPr>
                <w:rFonts w:ascii="Sylfaen" w:hAnsi="Sylfaen"/>
                <w:b/>
                <w:bCs/>
                <w:sz w:val="24"/>
                <w:szCs w:val="24"/>
              </w:rPr>
              <w:t xml:space="preserve"> </w:t>
            </w:r>
            <w:r w:rsidRPr="00BE4F57">
              <w:rPr>
                <w:rFonts w:ascii="Sylfaen" w:hAnsi="Sylfaen" w:cs="Sylfaen"/>
                <w:b/>
                <w:bCs/>
                <w:sz w:val="24"/>
                <w:szCs w:val="24"/>
              </w:rPr>
              <w:t>პროცენტული</w:t>
            </w:r>
            <w:r w:rsidRPr="00BE4F57">
              <w:rPr>
                <w:rFonts w:ascii="Sylfaen" w:hAnsi="Sylfaen"/>
                <w:b/>
                <w:bCs/>
                <w:sz w:val="24"/>
                <w:szCs w:val="24"/>
              </w:rPr>
              <w:t xml:space="preserve"> </w:t>
            </w:r>
            <w:r w:rsidRPr="00BE4F57">
              <w:rPr>
                <w:rFonts w:ascii="Sylfaen" w:hAnsi="Sylfaen" w:cs="Sylfaen"/>
                <w:b/>
                <w:bCs/>
                <w:sz w:val="24"/>
                <w:szCs w:val="24"/>
              </w:rPr>
              <w:t>მაჩვენებელი</w:t>
            </w:r>
          </w:p>
        </w:tc>
      </w:tr>
      <w:tr w:rsidR="008B1423" w:rsidRPr="00BE4F57" w14:paraId="066EA569" w14:textId="77777777" w:rsidTr="007C600F">
        <w:tc>
          <w:tcPr>
            <w:tcW w:w="2811" w:type="dxa"/>
            <w:vMerge/>
          </w:tcPr>
          <w:p w14:paraId="44072398" w14:textId="77777777" w:rsidR="008B1423" w:rsidRPr="00BE4F57" w:rsidRDefault="008B1423" w:rsidP="00A14CA6">
            <w:pPr>
              <w:spacing w:after="0" w:line="240" w:lineRule="auto"/>
              <w:jc w:val="both"/>
              <w:rPr>
                <w:rFonts w:ascii="Sylfaen" w:hAnsi="Sylfaen"/>
                <w:sz w:val="24"/>
                <w:szCs w:val="24"/>
                <w:lang w:val="ka-GE"/>
              </w:rPr>
            </w:pPr>
          </w:p>
        </w:tc>
        <w:tc>
          <w:tcPr>
            <w:tcW w:w="2846" w:type="dxa"/>
            <w:vMerge/>
          </w:tcPr>
          <w:p w14:paraId="60ED55A9" w14:textId="77777777" w:rsidR="008B1423" w:rsidRPr="00BE4F57" w:rsidRDefault="008B1423" w:rsidP="00A14CA6">
            <w:pPr>
              <w:spacing w:after="0" w:line="240" w:lineRule="auto"/>
              <w:jc w:val="both"/>
              <w:rPr>
                <w:rFonts w:ascii="Sylfaen" w:hAnsi="Sylfaen"/>
                <w:sz w:val="24"/>
                <w:szCs w:val="24"/>
                <w:lang w:val="ka-GE"/>
              </w:rPr>
            </w:pPr>
          </w:p>
        </w:tc>
        <w:tc>
          <w:tcPr>
            <w:tcW w:w="2160" w:type="dxa"/>
          </w:tcPr>
          <w:p w14:paraId="0BFC0D43"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cs="Sylfaen"/>
                <w:b/>
                <w:bCs/>
                <w:sz w:val="24"/>
                <w:szCs w:val="24"/>
              </w:rPr>
              <w:t>ოლანზაპინისა</w:t>
            </w:r>
            <w:r w:rsidRPr="00BE4F57">
              <w:rPr>
                <w:rFonts w:ascii="Sylfaen" w:hAnsi="Sylfaen"/>
                <w:b/>
                <w:bCs/>
                <w:sz w:val="24"/>
                <w:szCs w:val="24"/>
              </w:rPr>
              <w:t xml:space="preserve"> </w:t>
            </w:r>
            <w:r w:rsidRPr="00BE4F57">
              <w:rPr>
                <w:rFonts w:ascii="Sylfaen" w:hAnsi="Sylfaen" w:cs="Sylfaen"/>
                <w:b/>
                <w:bCs/>
                <w:sz w:val="24"/>
                <w:szCs w:val="24"/>
              </w:rPr>
              <w:t>და</w:t>
            </w:r>
            <w:r w:rsidRPr="00BE4F57">
              <w:rPr>
                <w:rFonts w:ascii="Sylfaen" w:hAnsi="Sylfaen"/>
                <w:b/>
                <w:bCs/>
                <w:sz w:val="24"/>
                <w:szCs w:val="24"/>
              </w:rPr>
              <w:t xml:space="preserve"> </w:t>
            </w:r>
            <w:r w:rsidRPr="00BE4F57">
              <w:rPr>
                <w:rFonts w:ascii="Sylfaen" w:hAnsi="Sylfaen" w:cs="Sylfaen"/>
                <w:b/>
                <w:bCs/>
                <w:sz w:val="24"/>
                <w:szCs w:val="24"/>
              </w:rPr>
              <w:t>ფლუოქსეტინის</w:t>
            </w:r>
            <w:r w:rsidRPr="00BE4F57">
              <w:rPr>
                <w:rFonts w:ascii="Sylfaen" w:hAnsi="Sylfaen"/>
                <w:b/>
                <w:bCs/>
                <w:sz w:val="24"/>
                <w:szCs w:val="24"/>
              </w:rPr>
              <w:t xml:space="preserve"> </w:t>
            </w:r>
            <w:r w:rsidRPr="00BE4F57">
              <w:rPr>
                <w:rFonts w:ascii="Sylfaen" w:hAnsi="Sylfaen" w:cs="Sylfaen"/>
                <w:b/>
                <w:bCs/>
                <w:sz w:val="24"/>
                <w:szCs w:val="24"/>
              </w:rPr>
              <w:t>კონტროლირებადი</w:t>
            </w:r>
            <w:r w:rsidRPr="00BE4F57">
              <w:rPr>
                <w:rFonts w:ascii="Sylfaen" w:hAnsi="Sylfaen"/>
                <w:b/>
                <w:bCs/>
                <w:sz w:val="24"/>
                <w:szCs w:val="24"/>
              </w:rPr>
              <w:t xml:space="preserve"> </w:t>
            </w:r>
            <w:r w:rsidRPr="00BE4F57">
              <w:rPr>
                <w:rFonts w:ascii="Sylfaen" w:hAnsi="Sylfaen" w:cs="Sylfaen"/>
                <w:b/>
                <w:bCs/>
                <w:sz w:val="24"/>
                <w:szCs w:val="24"/>
              </w:rPr>
              <w:t>კომბინაცია</w:t>
            </w:r>
            <w:r w:rsidRPr="00BE4F57">
              <w:rPr>
                <w:rFonts w:ascii="Sylfaen" w:hAnsi="Sylfaen"/>
                <w:b/>
                <w:bCs/>
                <w:sz w:val="24"/>
                <w:szCs w:val="24"/>
              </w:rPr>
              <w:t xml:space="preserve"> (N=771)</w:t>
            </w:r>
          </w:p>
        </w:tc>
        <w:tc>
          <w:tcPr>
            <w:tcW w:w="1789" w:type="dxa"/>
          </w:tcPr>
          <w:p w14:paraId="5F958726" w14:textId="77777777" w:rsidR="008B1423" w:rsidRPr="00BE4F57" w:rsidRDefault="008B1423" w:rsidP="00A14CA6">
            <w:pPr>
              <w:pStyle w:val="BodyText"/>
              <w:spacing w:after="0" w:line="240" w:lineRule="auto"/>
              <w:rPr>
                <w:rFonts w:ascii="Sylfaen" w:hAnsi="Sylfaen"/>
                <w:b/>
                <w:sz w:val="24"/>
                <w:szCs w:val="24"/>
              </w:rPr>
            </w:pPr>
            <w:r w:rsidRPr="00BE4F57">
              <w:rPr>
                <w:rFonts w:ascii="Sylfaen" w:hAnsi="Sylfaen"/>
                <w:b/>
                <w:bCs/>
                <w:sz w:val="24"/>
                <w:szCs w:val="24"/>
                <w:lang w:val="ka-GE"/>
              </w:rPr>
              <w:t>პლაცებო</w:t>
            </w:r>
            <w:r w:rsidRPr="00BE4F57">
              <w:rPr>
                <w:rFonts w:ascii="Sylfaen" w:hAnsi="Sylfaen"/>
                <w:b/>
                <w:bCs/>
                <w:sz w:val="24"/>
                <w:szCs w:val="24"/>
              </w:rPr>
              <w:t xml:space="preserve"> (N=477)</w:t>
            </w:r>
          </w:p>
        </w:tc>
      </w:tr>
      <w:tr w:rsidR="008B1423" w:rsidRPr="00BE4F57" w14:paraId="08362B56" w14:textId="77777777" w:rsidTr="007C600F">
        <w:tc>
          <w:tcPr>
            <w:tcW w:w="2811" w:type="dxa"/>
            <w:vMerge w:val="restart"/>
          </w:tcPr>
          <w:p w14:paraId="5DCC502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ნერვული სისტემის დარღვევები</w:t>
            </w:r>
          </w:p>
        </w:tc>
        <w:tc>
          <w:tcPr>
            <w:tcW w:w="2846" w:type="dxa"/>
          </w:tcPr>
          <w:p w14:paraId="022B21E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ძილიანობა </w:t>
            </w:r>
            <w:r w:rsidRPr="00BE4F57">
              <w:rPr>
                <w:sz w:val="24"/>
                <w:szCs w:val="24"/>
                <w:vertAlign w:val="superscript"/>
              </w:rPr>
              <w:t>a</w:t>
            </w:r>
          </w:p>
        </w:tc>
        <w:tc>
          <w:tcPr>
            <w:tcW w:w="2160" w:type="dxa"/>
          </w:tcPr>
          <w:p w14:paraId="4BBFCCC4"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24</w:t>
            </w:r>
          </w:p>
        </w:tc>
        <w:tc>
          <w:tcPr>
            <w:tcW w:w="1789" w:type="dxa"/>
          </w:tcPr>
          <w:p w14:paraId="181F6A1A"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r>
      <w:tr w:rsidR="008B1423" w:rsidRPr="00BE4F57" w14:paraId="5B1B6E00" w14:textId="77777777" w:rsidTr="007C600F">
        <w:tc>
          <w:tcPr>
            <w:tcW w:w="2811" w:type="dxa"/>
            <w:vMerge/>
          </w:tcPr>
          <w:p w14:paraId="21292516"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4280823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ტრემორი</w:t>
            </w:r>
          </w:p>
        </w:tc>
        <w:tc>
          <w:tcPr>
            <w:tcW w:w="2160" w:type="dxa"/>
          </w:tcPr>
          <w:p w14:paraId="5710BE9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9</w:t>
            </w:r>
          </w:p>
        </w:tc>
        <w:tc>
          <w:tcPr>
            <w:tcW w:w="1789" w:type="dxa"/>
          </w:tcPr>
          <w:p w14:paraId="386D7B2E"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4F6F7DFA" w14:textId="77777777" w:rsidTr="007C600F">
        <w:tc>
          <w:tcPr>
            <w:tcW w:w="2811" w:type="dxa"/>
            <w:vMerge w:val="restart"/>
          </w:tcPr>
          <w:p w14:paraId="4657CB1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კვლევები</w:t>
            </w:r>
          </w:p>
        </w:tc>
        <w:tc>
          <w:tcPr>
            <w:tcW w:w="2846" w:type="dxa"/>
          </w:tcPr>
          <w:p w14:paraId="311824E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წონაში მატება</w:t>
            </w:r>
          </w:p>
        </w:tc>
        <w:tc>
          <w:tcPr>
            <w:tcW w:w="2160" w:type="dxa"/>
          </w:tcPr>
          <w:p w14:paraId="064D6893"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20</w:t>
            </w:r>
          </w:p>
        </w:tc>
        <w:tc>
          <w:tcPr>
            <w:tcW w:w="1789" w:type="dxa"/>
          </w:tcPr>
          <w:p w14:paraId="62B18606"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093E9F02" w14:textId="77777777" w:rsidTr="007C600F">
        <w:trPr>
          <w:trHeight w:val="849"/>
        </w:trPr>
        <w:tc>
          <w:tcPr>
            <w:tcW w:w="2811" w:type="dxa"/>
            <w:vMerge/>
          </w:tcPr>
          <w:p w14:paraId="0340CBF2"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67DCBA82" w14:textId="77777777" w:rsidR="008B1423" w:rsidRPr="00BE4F57" w:rsidRDefault="008B1423" w:rsidP="00A14CA6">
            <w:pPr>
              <w:spacing w:after="0" w:line="240" w:lineRule="auto"/>
              <w:rPr>
                <w:sz w:val="24"/>
                <w:szCs w:val="24"/>
              </w:rPr>
            </w:pPr>
            <w:r w:rsidRPr="00BE4F57">
              <w:rPr>
                <w:rFonts w:ascii="Sylfaen" w:hAnsi="Sylfaen" w:cs="Sylfaen"/>
                <w:sz w:val="24"/>
                <w:szCs w:val="24"/>
              </w:rPr>
              <w:t>სისხლში</w:t>
            </w:r>
            <w:r w:rsidRPr="00BE4F57">
              <w:rPr>
                <w:sz w:val="24"/>
                <w:szCs w:val="24"/>
              </w:rPr>
              <w:t xml:space="preserve"> </w:t>
            </w:r>
            <w:r w:rsidRPr="00BE4F57">
              <w:rPr>
                <w:rFonts w:ascii="Sylfaen" w:hAnsi="Sylfaen" w:cs="Sylfaen"/>
                <w:sz w:val="24"/>
                <w:szCs w:val="24"/>
              </w:rPr>
              <w:t>ტრიგლიცერიდების</w:t>
            </w:r>
            <w:r w:rsidRPr="00BE4F57">
              <w:rPr>
                <w:sz w:val="24"/>
                <w:szCs w:val="24"/>
              </w:rPr>
              <w:t xml:space="preserve"> </w:t>
            </w:r>
            <w:r w:rsidRPr="00BE4F57">
              <w:rPr>
                <w:rFonts w:ascii="Sylfaen" w:hAnsi="Sylfaen" w:cs="Sylfaen"/>
                <w:sz w:val="24"/>
                <w:szCs w:val="24"/>
              </w:rPr>
              <w:t>მომატება</w:t>
            </w:r>
          </w:p>
        </w:tc>
        <w:tc>
          <w:tcPr>
            <w:tcW w:w="2160" w:type="dxa"/>
          </w:tcPr>
          <w:p w14:paraId="19EC04E4"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7</w:t>
            </w:r>
          </w:p>
        </w:tc>
        <w:tc>
          <w:tcPr>
            <w:tcW w:w="1789" w:type="dxa"/>
          </w:tcPr>
          <w:p w14:paraId="0E846C62"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r>
      <w:tr w:rsidR="008B1423" w:rsidRPr="00BE4F57" w14:paraId="545C878F" w14:textId="77777777" w:rsidTr="007C600F">
        <w:tc>
          <w:tcPr>
            <w:tcW w:w="2811" w:type="dxa"/>
            <w:vMerge/>
          </w:tcPr>
          <w:p w14:paraId="4266B411"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7916CDAF" w14:textId="77777777" w:rsidR="008B1423" w:rsidRPr="00BE4F57" w:rsidRDefault="008B1423" w:rsidP="00A14CA6">
            <w:pPr>
              <w:spacing w:after="0" w:line="240" w:lineRule="auto"/>
              <w:rPr>
                <w:sz w:val="24"/>
                <w:szCs w:val="24"/>
              </w:rPr>
            </w:pPr>
            <w:r w:rsidRPr="00BE4F57">
              <w:rPr>
                <w:rFonts w:ascii="Sylfaen" w:hAnsi="Sylfaen" w:cs="Sylfaen"/>
                <w:sz w:val="24"/>
                <w:szCs w:val="24"/>
              </w:rPr>
              <w:t>სისხლში</w:t>
            </w:r>
            <w:r w:rsidRPr="00BE4F57">
              <w:rPr>
                <w:sz w:val="24"/>
                <w:szCs w:val="24"/>
              </w:rPr>
              <w:t xml:space="preserve"> </w:t>
            </w:r>
            <w:r w:rsidRPr="00BE4F57">
              <w:rPr>
                <w:rFonts w:ascii="Sylfaen" w:hAnsi="Sylfaen" w:cs="Sylfaen"/>
                <w:sz w:val="24"/>
                <w:szCs w:val="24"/>
              </w:rPr>
              <w:t>ქოლესტერინის</w:t>
            </w:r>
            <w:r w:rsidRPr="00BE4F57">
              <w:rPr>
                <w:sz w:val="24"/>
                <w:szCs w:val="24"/>
              </w:rPr>
              <w:t xml:space="preserve"> </w:t>
            </w:r>
            <w:r w:rsidRPr="00BE4F57">
              <w:rPr>
                <w:rFonts w:ascii="Sylfaen" w:hAnsi="Sylfaen" w:cs="Sylfaen"/>
                <w:sz w:val="24"/>
                <w:szCs w:val="24"/>
              </w:rPr>
              <w:t>მომატება</w:t>
            </w:r>
          </w:p>
        </w:tc>
        <w:tc>
          <w:tcPr>
            <w:tcW w:w="2160" w:type="dxa"/>
          </w:tcPr>
          <w:p w14:paraId="7ADDA6C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4</w:t>
            </w:r>
          </w:p>
        </w:tc>
        <w:tc>
          <w:tcPr>
            <w:tcW w:w="1789" w:type="dxa"/>
          </w:tcPr>
          <w:p w14:paraId="245462BC"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0</w:t>
            </w:r>
          </w:p>
        </w:tc>
      </w:tr>
      <w:tr w:rsidR="008B1423" w:rsidRPr="00BE4F57" w14:paraId="62C099FC" w14:textId="77777777" w:rsidTr="007C600F">
        <w:trPr>
          <w:trHeight w:val="636"/>
        </w:trPr>
        <w:tc>
          <w:tcPr>
            <w:tcW w:w="2811" w:type="dxa"/>
            <w:vMerge/>
          </w:tcPr>
          <w:p w14:paraId="7CC95ACD"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53AD7337" w14:textId="77777777" w:rsidR="008B1423" w:rsidRPr="00BE4F57" w:rsidRDefault="008B1423" w:rsidP="00A14CA6">
            <w:pPr>
              <w:spacing w:after="0" w:line="240" w:lineRule="auto"/>
              <w:rPr>
                <w:sz w:val="24"/>
                <w:szCs w:val="24"/>
              </w:rPr>
            </w:pPr>
            <w:r w:rsidRPr="00BE4F57">
              <w:rPr>
                <w:rFonts w:ascii="Sylfaen" w:hAnsi="Sylfaen" w:cs="Sylfaen"/>
                <w:sz w:val="24"/>
                <w:szCs w:val="24"/>
              </w:rPr>
              <w:t>ღვიძლის</w:t>
            </w:r>
            <w:r w:rsidRPr="00BE4F57">
              <w:rPr>
                <w:sz w:val="24"/>
                <w:szCs w:val="24"/>
              </w:rPr>
              <w:t xml:space="preserve"> </w:t>
            </w:r>
            <w:r w:rsidRPr="00BE4F57">
              <w:rPr>
                <w:rFonts w:ascii="Sylfaen" w:hAnsi="Sylfaen" w:cs="Sylfaen"/>
                <w:sz w:val="24"/>
                <w:szCs w:val="24"/>
              </w:rPr>
              <w:t>ფერმენტების</w:t>
            </w:r>
            <w:r w:rsidRPr="00BE4F57">
              <w:rPr>
                <w:sz w:val="24"/>
                <w:szCs w:val="24"/>
              </w:rPr>
              <w:t xml:space="preserve"> </w:t>
            </w:r>
            <w:r w:rsidRPr="00BE4F57">
              <w:rPr>
                <w:rFonts w:ascii="Sylfaen" w:hAnsi="Sylfaen" w:cs="Sylfaen"/>
                <w:sz w:val="24"/>
                <w:szCs w:val="24"/>
              </w:rPr>
              <w:t>მომატება</w:t>
            </w:r>
            <w:r w:rsidRPr="00BE4F57">
              <w:rPr>
                <w:rFonts w:ascii="Sylfaen" w:hAnsi="Sylfaen" w:cs="Sylfaen"/>
                <w:sz w:val="24"/>
                <w:szCs w:val="24"/>
                <w:lang w:val="ka-GE"/>
              </w:rPr>
              <w:t xml:space="preserve"> </w:t>
            </w:r>
            <w:r w:rsidRPr="00BE4F57">
              <w:rPr>
                <w:sz w:val="24"/>
                <w:szCs w:val="24"/>
                <w:vertAlign w:val="superscript"/>
              </w:rPr>
              <w:t>b</w:t>
            </w:r>
          </w:p>
        </w:tc>
        <w:tc>
          <w:tcPr>
            <w:tcW w:w="2160" w:type="dxa"/>
          </w:tcPr>
          <w:p w14:paraId="4029F1DA"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9</w:t>
            </w:r>
          </w:p>
        </w:tc>
        <w:tc>
          <w:tcPr>
            <w:tcW w:w="1789" w:type="dxa"/>
          </w:tcPr>
          <w:p w14:paraId="24300F1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0DAFD51B" w14:textId="77777777" w:rsidTr="007C600F">
        <w:tc>
          <w:tcPr>
            <w:tcW w:w="2811" w:type="dxa"/>
          </w:tcPr>
          <w:p w14:paraId="11E03935" w14:textId="77777777" w:rsidR="008B1423" w:rsidRPr="00BE4F57" w:rsidRDefault="008B1423" w:rsidP="00A14CA6">
            <w:pPr>
              <w:spacing w:after="0" w:line="240" w:lineRule="auto"/>
              <w:rPr>
                <w:sz w:val="24"/>
                <w:szCs w:val="24"/>
              </w:rPr>
            </w:pPr>
            <w:r w:rsidRPr="00BE4F57">
              <w:rPr>
                <w:rFonts w:ascii="Sylfaen" w:hAnsi="Sylfaen" w:cs="Sylfaen"/>
                <w:sz w:val="24"/>
                <w:szCs w:val="24"/>
              </w:rPr>
              <w:t>კუჭ</w:t>
            </w:r>
            <w:r w:rsidRPr="00BE4F57">
              <w:rPr>
                <w:sz w:val="24"/>
                <w:szCs w:val="24"/>
              </w:rPr>
              <w:t>-</w:t>
            </w:r>
            <w:r w:rsidRPr="00BE4F57">
              <w:rPr>
                <w:rFonts w:ascii="Sylfaen" w:hAnsi="Sylfaen" w:cs="Sylfaen"/>
                <w:sz w:val="24"/>
                <w:szCs w:val="24"/>
              </w:rPr>
              <w:t>ნაწლავის</w:t>
            </w:r>
            <w:r w:rsidRPr="00BE4F57">
              <w:rPr>
                <w:sz w:val="24"/>
                <w:szCs w:val="24"/>
              </w:rPr>
              <w:t xml:space="preserve"> </w:t>
            </w:r>
            <w:r w:rsidRPr="00BE4F57">
              <w:rPr>
                <w:rFonts w:ascii="Sylfaen" w:hAnsi="Sylfaen"/>
                <w:sz w:val="24"/>
                <w:szCs w:val="24"/>
                <w:lang w:val="ka-GE"/>
              </w:rPr>
              <w:t xml:space="preserve">ტრაქტის მხრივ </w:t>
            </w:r>
            <w:r w:rsidRPr="00BE4F57">
              <w:rPr>
                <w:rFonts w:ascii="Sylfaen" w:hAnsi="Sylfaen" w:cs="Sylfaen"/>
                <w:sz w:val="24"/>
                <w:szCs w:val="24"/>
              </w:rPr>
              <w:t>დარღვევები</w:t>
            </w:r>
          </w:p>
        </w:tc>
        <w:tc>
          <w:tcPr>
            <w:tcW w:w="2846" w:type="dxa"/>
          </w:tcPr>
          <w:p w14:paraId="61FF65D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დისპეფსია</w:t>
            </w:r>
          </w:p>
        </w:tc>
        <w:tc>
          <w:tcPr>
            <w:tcW w:w="2160" w:type="dxa"/>
          </w:tcPr>
          <w:p w14:paraId="1DF3D7A8"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89" w:type="dxa"/>
          </w:tcPr>
          <w:p w14:paraId="2EA511F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45246647" w14:textId="77777777" w:rsidTr="007C600F">
        <w:tc>
          <w:tcPr>
            <w:tcW w:w="2811" w:type="dxa"/>
          </w:tcPr>
          <w:p w14:paraId="2D8F1725" w14:textId="77777777" w:rsidR="008B1423" w:rsidRPr="00BE4F57" w:rsidRDefault="008B1423" w:rsidP="00A14CA6">
            <w:pPr>
              <w:spacing w:after="0" w:line="240" w:lineRule="auto"/>
              <w:rPr>
                <w:sz w:val="24"/>
                <w:szCs w:val="24"/>
              </w:rPr>
            </w:pPr>
            <w:r w:rsidRPr="00BE4F57">
              <w:rPr>
                <w:rFonts w:ascii="Sylfaen" w:hAnsi="Sylfaen" w:cs="Sylfaen"/>
                <w:sz w:val="24"/>
                <w:szCs w:val="24"/>
              </w:rPr>
              <w:t>მეტაბოლიზმისა</w:t>
            </w:r>
            <w:r w:rsidRPr="00BE4F57">
              <w:rPr>
                <w:sz w:val="24"/>
                <w:szCs w:val="24"/>
              </w:rPr>
              <w:t xml:space="preserve"> </w:t>
            </w:r>
            <w:r w:rsidRPr="00BE4F57">
              <w:rPr>
                <w:rFonts w:ascii="Sylfaen" w:hAnsi="Sylfaen" w:cs="Sylfaen"/>
                <w:sz w:val="24"/>
                <w:szCs w:val="24"/>
              </w:rPr>
              <w:t>და</w:t>
            </w:r>
            <w:r w:rsidRPr="00BE4F57">
              <w:rPr>
                <w:sz w:val="24"/>
                <w:szCs w:val="24"/>
              </w:rPr>
              <w:t xml:space="preserve"> </w:t>
            </w:r>
            <w:r w:rsidRPr="00BE4F57">
              <w:rPr>
                <w:rFonts w:ascii="Sylfaen" w:hAnsi="Sylfaen" w:cs="Sylfaen"/>
                <w:sz w:val="24"/>
                <w:szCs w:val="24"/>
              </w:rPr>
              <w:t>კვების</w:t>
            </w:r>
            <w:r w:rsidRPr="00BE4F57">
              <w:rPr>
                <w:sz w:val="24"/>
                <w:szCs w:val="24"/>
              </w:rPr>
              <w:t xml:space="preserve"> </w:t>
            </w:r>
            <w:r w:rsidRPr="00BE4F57">
              <w:rPr>
                <w:rFonts w:ascii="Sylfaen" w:hAnsi="Sylfaen" w:cs="Sylfaen"/>
                <w:sz w:val="24"/>
                <w:szCs w:val="24"/>
              </w:rPr>
              <w:t>დარღვევები</w:t>
            </w:r>
          </w:p>
        </w:tc>
        <w:tc>
          <w:tcPr>
            <w:tcW w:w="2846" w:type="dxa"/>
          </w:tcPr>
          <w:p w14:paraId="6577B1F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მადის მომატება</w:t>
            </w:r>
          </w:p>
        </w:tc>
        <w:tc>
          <w:tcPr>
            <w:tcW w:w="2160" w:type="dxa"/>
          </w:tcPr>
          <w:p w14:paraId="3BF35488"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17</w:t>
            </w:r>
          </w:p>
        </w:tc>
        <w:tc>
          <w:tcPr>
            <w:tcW w:w="1789" w:type="dxa"/>
          </w:tcPr>
          <w:p w14:paraId="00FEAC4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24EBED58" w14:textId="77777777" w:rsidTr="007C600F">
        <w:tc>
          <w:tcPr>
            <w:tcW w:w="2811" w:type="dxa"/>
            <w:vMerge w:val="restart"/>
          </w:tcPr>
          <w:p w14:paraId="20749201" w14:textId="77777777" w:rsidR="008B1423" w:rsidRPr="00BE4F57" w:rsidRDefault="008B1423" w:rsidP="00A14CA6">
            <w:pPr>
              <w:spacing w:after="0" w:line="240" w:lineRule="auto"/>
              <w:rPr>
                <w:rFonts w:ascii="Sylfaen" w:hAnsi="Sylfaen"/>
                <w:sz w:val="24"/>
                <w:szCs w:val="24"/>
                <w:lang w:val="ka-GE"/>
              </w:rPr>
            </w:pPr>
            <w:r w:rsidRPr="00BE4F57">
              <w:rPr>
                <w:rFonts w:ascii="Sylfaen" w:hAnsi="Sylfaen" w:cs="Sylfaen"/>
                <w:sz w:val="24"/>
                <w:szCs w:val="24"/>
              </w:rPr>
              <w:t>ფსიქიატრიული</w:t>
            </w:r>
            <w:r w:rsidRPr="00BE4F57">
              <w:rPr>
                <w:sz w:val="24"/>
                <w:szCs w:val="24"/>
              </w:rPr>
              <w:t xml:space="preserve"> </w:t>
            </w:r>
            <w:r w:rsidRPr="00BE4F57">
              <w:rPr>
                <w:rFonts w:ascii="Sylfaen" w:hAnsi="Sylfaen" w:cs="Sylfaen"/>
                <w:sz w:val="24"/>
                <w:szCs w:val="24"/>
              </w:rPr>
              <w:t>დარღვევები</w:t>
            </w:r>
          </w:p>
        </w:tc>
        <w:tc>
          <w:tcPr>
            <w:tcW w:w="2846" w:type="dxa"/>
          </w:tcPr>
          <w:p w14:paraId="3311F7FF" w14:textId="77777777" w:rsidR="008B1423" w:rsidRPr="00BE4F57" w:rsidRDefault="008B1423" w:rsidP="00A14CA6">
            <w:pPr>
              <w:spacing w:after="0" w:line="240" w:lineRule="auto"/>
              <w:rPr>
                <w:sz w:val="24"/>
                <w:szCs w:val="24"/>
              </w:rPr>
            </w:pPr>
            <w:r w:rsidRPr="00BE4F57">
              <w:rPr>
                <w:rFonts w:ascii="Sylfaen" w:hAnsi="Sylfaen" w:cs="Sylfaen"/>
                <w:sz w:val="24"/>
                <w:szCs w:val="24"/>
              </w:rPr>
              <w:t>შფოთვა</w:t>
            </w:r>
          </w:p>
        </w:tc>
        <w:tc>
          <w:tcPr>
            <w:tcW w:w="2160" w:type="dxa"/>
          </w:tcPr>
          <w:p w14:paraId="5363BDFD"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89" w:type="dxa"/>
          </w:tcPr>
          <w:p w14:paraId="347C7046"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7CE4EE40" w14:textId="77777777" w:rsidTr="007C600F">
        <w:tc>
          <w:tcPr>
            <w:tcW w:w="2811" w:type="dxa"/>
            <w:vMerge/>
          </w:tcPr>
          <w:p w14:paraId="09FD207D"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4ED414E1" w14:textId="77777777" w:rsidR="008B1423" w:rsidRPr="00BE4F57" w:rsidRDefault="008B1423" w:rsidP="00A14CA6">
            <w:pPr>
              <w:spacing w:after="0" w:line="240" w:lineRule="auto"/>
              <w:rPr>
                <w:sz w:val="24"/>
                <w:szCs w:val="24"/>
                <w:lang w:val="ka-GE"/>
              </w:rPr>
            </w:pPr>
            <w:r w:rsidRPr="00BE4F57">
              <w:rPr>
                <w:rFonts w:ascii="Sylfaen" w:hAnsi="Sylfaen" w:cs="Sylfaen"/>
                <w:sz w:val="24"/>
                <w:szCs w:val="24"/>
              </w:rPr>
              <w:t>მოუ</w:t>
            </w:r>
            <w:r w:rsidRPr="00BE4F57">
              <w:rPr>
                <w:rFonts w:ascii="Sylfaen" w:hAnsi="Sylfaen" w:cs="Sylfaen"/>
                <w:sz w:val="24"/>
                <w:szCs w:val="24"/>
                <w:lang w:val="ka-GE"/>
              </w:rPr>
              <w:t>სვენრობა</w:t>
            </w:r>
          </w:p>
        </w:tc>
        <w:tc>
          <w:tcPr>
            <w:tcW w:w="2160" w:type="dxa"/>
          </w:tcPr>
          <w:p w14:paraId="3931E1C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89" w:type="dxa"/>
          </w:tcPr>
          <w:p w14:paraId="49AFEB5B"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268012FA" w14:textId="77777777" w:rsidTr="007C600F">
        <w:trPr>
          <w:trHeight w:val="326"/>
        </w:trPr>
        <w:tc>
          <w:tcPr>
            <w:tcW w:w="2811" w:type="dxa"/>
            <w:vMerge/>
          </w:tcPr>
          <w:p w14:paraId="7595188A" w14:textId="77777777" w:rsidR="008B1423" w:rsidRPr="00BE4F57" w:rsidRDefault="008B1423" w:rsidP="00A14CA6">
            <w:pPr>
              <w:spacing w:after="0" w:line="240" w:lineRule="auto"/>
              <w:jc w:val="both"/>
              <w:rPr>
                <w:rFonts w:ascii="Sylfaen" w:hAnsi="Sylfaen"/>
                <w:sz w:val="24"/>
                <w:szCs w:val="24"/>
                <w:lang w:val="ka-GE"/>
              </w:rPr>
            </w:pPr>
          </w:p>
        </w:tc>
        <w:tc>
          <w:tcPr>
            <w:tcW w:w="2846" w:type="dxa"/>
          </w:tcPr>
          <w:p w14:paraId="73DB59BF" w14:textId="77777777" w:rsidR="008B1423" w:rsidRPr="00BE4F57" w:rsidRDefault="008B1423" w:rsidP="00A14CA6">
            <w:pPr>
              <w:spacing w:after="0" w:line="240" w:lineRule="auto"/>
              <w:rPr>
                <w:sz w:val="24"/>
                <w:szCs w:val="24"/>
              </w:rPr>
            </w:pPr>
            <w:r w:rsidRPr="00BE4F57">
              <w:rPr>
                <w:rFonts w:ascii="Sylfaen" w:hAnsi="Sylfaen" w:cs="Sylfaen"/>
                <w:sz w:val="24"/>
                <w:szCs w:val="24"/>
              </w:rPr>
              <w:t>სუიციდური</w:t>
            </w:r>
            <w:r w:rsidRPr="00BE4F57">
              <w:rPr>
                <w:sz w:val="24"/>
                <w:szCs w:val="24"/>
              </w:rPr>
              <w:t xml:space="preserve"> </w:t>
            </w:r>
            <w:r w:rsidRPr="00BE4F57">
              <w:rPr>
                <w:rFonts w:ascii="Sylfaen" w:hAnsi="Sylfaen" w:cs="Sylfaen"/>
                <w:sz w:val="24"/>
                <w:szCs w:val="24"/>
              </w:rPr>
              <w:t>აზრები</w:t>
            </w:r>
          </w:p>
        </w:tc>
        <w:tc>
          <w:tcPr>
            <w:tcW w:w="2160" w:type="dxa"/>
          </w:tcPr>
          <w:p w14:paraId="410ED8B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89" w:type="dxa"/>
          </w:tcPr>
          <w:p w14:paraId="719CC6B5"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3DB3FE4B" w14:textId="77777777" w:rsidTr="007C600F">
        <w:trPr>
          <w:trHeight w:val="1692"/>
        </w:trPr>
        <w:tc>
          <w:tcPr>
            <w:tcW w:w="2811" w:type="dxa"/>
          </w:tcPr>
          <w:p w14:paraId="1A64D92A" w14:textId="77777777" w:rsidR="008B1423" w:rsidRPr="00BE4F57" w:rsidRDefault="008B1423" w:rsidP="00A14CA6">
            <w:pPr>
              <w:spacing w:after="0" w:line="240" w:lineRule="auto"/>
              <w:rPr>
                <w:rFonts w:ascii="Sylfaen" w:hAnsi="Sylfaen"/>
                <w:sz w:val="24"/>
                <w:szCs w:val="24"/>
                <w:lang w:val="ka-GE"/>
              </w:rPr>
            </w:pPr>
            <w:r w:rsidRPr="00BE4F57">
              <w:rPr>
                <w:rFonts w:ascii="Sylfaen" w:hAnsi="Sylfaen" w:cs="Sylfaen"/>
                <w:sz w:val="24"/>
                <w:szCs w:val="24"/>
                <w:lang w:val="ka-GE"/>
              </w:rPr>
              <w:lastRenderedPageBreak/>
              <w:t>ჩონჩხ–</w:t>
            </w:r>
            <w:r w:rsidRPr="00BE4F57">
              <w:rPr>
                <w:rFonts w:ascii="Sylfaen" w:hAnsi="Sylfaen" w:cs="Sylfaen"/>
                <w:sz w:val="24"/>
                <w:szCs w:val="24"/>
              </w:rPr>
              <w:t>კუნთოვანი</w:t>
            </w:r>
            <w:r w:rsidRPr="00BE4F57">
              <w:rPr>
                <w:sz w:val="24"/>
                <w:szCs w:val="24"/>
              </w:rPr>
              <w:t xml:space="preserve"> </w:t>
            </w:r>
            <w:r w:rsidRPr="00BE4F57">
              <w:rPr>
                <w:rFonts w:ascii="Sylfaen" w:hAnsi="Sylfaen" w:cs="Sylfaen"/>
                <w:sz w:val="24"/>
                <w:szCs w:val="24"/>
              </w:rPr>
              <w:t>დარღვევები</w:t>
            </w:r>
            <w:r w:rsidRPr="00BE4F57">
              <w:rPr>
                <w:sz w:val="24"/>
                <w:szCs w:val="24"/>
              </w:rPr>
              <w:t xml:space="preserve">, </w:t>
            </w:r>
            <w:r w:rsidRPr="00BE4F57">
              <w:rPr>
                <w:rFonts w:ascii="Sylfaen" w:hAnsi="Sylfaen" w:cs="Sylfaen"/>
                <w:sz w:val="24"/>
                <w:szCs w:val="24"/>
              </w:rPr>
              <w:t>შემაერთებელი</w:t>
            </w:r>
            <w:r w:rsidRPr="00BE4F57">
              <w:rPr>
                <w:sz w:val="24"/>
                <w:szCs w:val="24"/>
              </w:rPr>
              <w:t xml:space="preserve"> </w:t>
            </w:r>
            <w:r w:rsidRPr="00BE4F57">
              <w:rPr>
                <w:rFonts w:ascii="Sylfaen" w:hAnsi="Sylfaen" w:cs="Sylfaen"/>
                <w:sz w:val="24"/>
                <w:szCs w:val="24"/>
              </w:rPr>
              <w:t>ქსოვილისა</w:t>
            </w:r>
            <w:r w:rsidRPr="00BE4F57">
              <w:rPr>
                <w:sz w:val="24"/>
                <w:szCs w:val="24"/>
              </w:rPr>
              <w:t xml:space="preserve"> </w:t>
            </w:r>
            <w:r w:rsidRPr="00BE4F57">
              <w:rPr>
                <w:rFonts w:ascii="Sylfaen" w:hAnsi="Sylfaen" w:cs="Sylfaen"/>
                <w:sz w:val="24"/>
                <w:szCs w:val="24"/>
              </w:rPr>
              <w:t>და</w:t>
            </w:r>
            <w:r w:rsidRPr="00BE4F57">
              <w:rPr>
                <w:sz w:val="24"/>
                <w:szCs w:val="24"/>
              </w:rPr>
              <w:t xml:space="preserve"> </w:t>
            </w:r>
            <w:r w:rsidRPr="00BE4F57">
              <w:rPr>
                <w:rFonts w:ascii="Sylfaen" w:hAnsi="Sylfaen" w:cs="Sylfaen"/>
                <w:sz w:val="24"/>
                <w:szCs w:val="24"/>
              </w:rPr>
              <w:t>ძვლების</w:t>
            </w:r>
            <w:r w:rsidRPr="00BE4F57">
              <w:rPr>
                <w:sz w:val="24"/>
                <w:szCs w:val="24"/>
              </w:rPr>
              <w:t xml:space="preserve"> </w:t>
            </w:r>
            <w:r w:rsidRPr="00BE4F57">
              <w:rPr>
                <w:rFonts w:ascii="Sylfaen" w:hAnsi="Sylfaen" w:cs="Sylfaen"/>
                <w:sz w:val="24"/>
                <w:szCs w:val="24"/>
              </w:rPr>
              <w:t>დაავადებები</w:t>
            </w:r>
          </w:p>
        </w:tc>
        <w:tc>
          <w:tcPr>
            <w:tcW w:w="2846" w:type="dxa"/>
          </w:tcPr>
          <w:p w14:paraId="29EBD9A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ზურგის ტკივილი</w:t>
            </w:r>
          </w:p>
        </w:tc>
        <w:tc>
          <w:tcPr>
            <w:tcW w:w="2160" w:type="dxa"/>
          </w:tcPr>
          <w:p w14:paraId="5809BAC0"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89" w:type="dxa"/>
          </w:tcPr>
          <w:p w14:paraId="084E44D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2B0877B0" w14:textId="77777777" w:rsidTr="007C600F">
        <w:tc>
          <w:tcPr>
            <w:tcW w:w="2811" w:type="dxa"/>
          </w:tcPr>
          <w:p w14:paraId="3D2F4555" w14:textId="77777777" w:rsidR="008B1423" w:rsidRPr="00BE4F57" w:rsidRDefault="008B1423" w:rsidP="00A14CA6">
            <w:pPr>
              <w:spacing w:after="0" w:line="240" w:lineRule="auto"/>
              <w:rPr>
                <w:sz w:val="24"/>
                <w:szCs w:val="24"/>
              </w:rPr>
            </w:pPr>
            <w:r w:rsidRPr="00BE4F57">
              <w:rPr>
                <w:rFonts w:ascii="Sylfaen" w:hAnsi="Sylfaen" w:cs="Sylfaen"/>
                <w:sz w:val="24"/>
                <w:szCs w:val="24"/>
              </w:rPr>
              <w:t>დაზიანებები</w:t>
            </w:r>
            <w:r w:rsidRPr="00BE4F57">
              <w:rPr>
                <w:sz w:val="24"/>
                <w:szCs w:val="24"/>
              </w:rPr>
              <w:t xml:space="preserve">, </w:t>
            </w:r>
            <w:r w:rsidRPr="00BE4F57">
              <w:rPr>
                <w:rFonts w:ascii="Sylfaen" w:hAnsi="Sylfaen" w:cs="Sylfaen"/>
                <w:sz w:val="24"/>
                <w:szCs w:val="24"/>
              </w:rPr>
              <w:t>მოწამვლა</w:t>
            </w:r>
            <w:r w:rsidRPr="00BE4F57">
              <w:rPr>
                <w:sz w:val="24"/>
                <w:szCs w:val="24"/>
              </w:rPr>
              <w:t xml:space="preserve"> </w:t>
            </w:r>
            <w:r w:rsidRPr="00BE4F57">
              <w:rPr>
                <w:rFonts w:ascii="Sylfaen" w:hAnsi="Sylfaen" w:cs="Sylfaen"/>
                <w:sz w:val="24"/>
                <w:szCs w:val="24"/>
              </w:rPr>
              <w:t>და</w:t>
            </w:r>
            <w:r w:rsidRPr="00BE4F57">
              <w:rPr>
                <w:sz w:val="24"/>
                <w:szCs w:val="24"/>
              </w:rPr>
              <w:t xml:space="preserve"> </w:t>
            </w:r>
            <w:r w:rsidRPr="00BE4F57">
              <w:rPr>
                <w:rFonts w:ascii="Sylfaen" w:hAnsi="Sylfaen" w:cs="Sylfaen"/>
                <w:sz w:val="24"/>
                <w:szCs w:val="24"/>
              </w:rPr>
              <w:t>პროცედურების</w:t>
            </w:r>
            <w:r w:rsidRPr="00BE4F57">
              <w:rPr>
                <w:sz w:val="24"/>
                <w:szCs w:val="24"/>
              </w:rPr>
              <w:t xml:space="preserve"> </w:t>
            </w:r>
            <w:r w:rsidRPr="00BE4F57">
              <w:rPr>
                <w:rFonts w:ascii="Sylfaen" w:hAnsi="Sylfaen" w:cs="Sylfaen"/>
                <w:sz w:val="24"/>
                <w:szCs w:val="24"/>
              </w:rPr>
              <w:t>გართულებები</w:t>
            </w:r>
          </w:p>
        </w:tc>
        <w:tc>
          <w:tcPr>
            <w:tcW w:w="2846" w:type="dxa"/>
          </w:tcPr>
          <w:p w14:paraId="5983AFA9" w14:textId="77777777" w:rsidR="008B1423" w:rsidRPr="00BE4F57" w:rsidRDefault="008B1423" w:rsidP="00A14CA6">
            <w:pPr>
              <w:spacing w:after="0" w:line="240" w:lineRule="auto"/>
              <w:rPr>
                <w:sz w:val="24"/>
                <w:szCs w:val="24"/>
              </w:rPr>
            </w:pPr>
            <w:r w:rsidRPr="00BE4F57">
              <w:rPr>
                <w:rFonts w:ascii="Sylfaen" w:hAnsi="Sylfaen" w:cs="Sylfaen"/>
                <w:sz w:val="24"/>
                <w:szCs w:val="24"/>
              </w:rPr>
              <w:t>შემთხვევითი</w:t>
            </w:r>
            <w:r w:rsidRPr="00BE4F57">
              <w:rPr>
                <w:rFonts w:ascii="Sylfaen" w:hAnsi="Sylfaen" w:cs="Sylfaen"/>
                <w:sz w:val="24"/>
                <w:szCs w:val="24"/>
                <w:lang w:val="ka-GE"/>
              </w:rPr>
              <w:t xml:space="preserve"> ჭარბი დოზირება</w:t>
            </w:r>
          </w:p>
        </w:tc>
        <w:tc>
          <w:tcPr>
            <w:tcW w:w="2160" w:type="dxa"/>
          </w:tcPr>
          <w:p w14:paraId="2BF6C1CF"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3</w:t>
            </w:r>
          </w:p>
        </w:tc>
        <w:tc>
          <w:tcPr>
            <w:tcW w:w="1789" w:type="dxa"/>
          </w:tcPr>
          <w:p w14:paraId="3475ECC1"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1</w:t>
            </w:r>
          </w:p>
        </w:tc>
      </w:tr>
      <w:tr w:rsidR="008B1423" w:rsidRPr="00BE4F57" w14:paraId="7CC9A5B6" w14:textId="77777777" w:rsidTr="007C600F">
        <w:tc>
          <w:tcPr>
            <w:tcW w:w="2811" w:type="dxa"/>
          </w:tcPr>
          <w:p w14:paraId="7EE47107" w14:textId="77777777" w:rsidR="008B1423" w:rsidRPr="00BE4F57" w:rsidRDefault="008B1423" w:rsidP="00A14CA6">
            <w:pPr>
              <w:spacing w:after="0" w:line="240" w:lineRule="auto"/>
              <w:rPr>
                <w:sz w:val="24"/>
                <w:szCs w:val="24"/>
              </w:rPr>
            </w:pPr>
            <w:r w:rsidRPr="00BE4F57">
              <w:rPr>
                <w:rFonts w:ascii="Sylfaen" w:hAnsi="Sylfaen" w:cs="Sylfaen"/>
                <w:sz w:val="24"/>
                <w:szCs w:val="24"/>
              </w:rPr>
              <w:t>რეპროდუქციული</w:t>
            </w:r>
            <w:r w:rsidRPr="00BE4F57">
              <w:rPr>
                <w:sz w:val="24"/>
                <w:szCs w:val="24"/>
              </w:rPr>
              <w:t xml:space="preserve"> </w:t>
            </w:r>
            <w:r w:rsidRPr="00BE4F57">
              <w:rPr>
                <w:rFonts w:ascii="Sylfaen" w:hAnsi="Sylfaen" w:cs="Sylfaen"/>
                <w:sz w:val="24"/>
                <w:szCs w:val="24"/>
              </w:rPr>
              <w:t>სისტემის</w:t>
            </w:r>
            <w:r w:rsidRPr="00BE4F57">
              <w:rPr>
                <w:sz w:val="24"/>
                <w:szCs w:val="24"/>
              </w:rPr>
              <w:t xml:space="preserve"> </w:t>
            </w:r>
            <w:r w:rsidRPr="00BE4F57">
              <w:rPr>
                <w:rFonts w:ascii="Sylfaen" w:hAnsi="Sylfaen" w:cs="Sylfaen"/>
                <w:sz w:val="24"/>
                <w:szCs w:val="24"/>
              </w:rPr>
              <w:t>და</w:t>
            </w:r>
            <w:r w:rsidRPr="00BE4F57">
              <w:rPr>
                <w:sz w:val="24"/>
                <w:szCs w:val="24"/>
              </w:rPr>
              <w:t xml:space="preserve"> </w:t>
            </w:r>
            <w:r w:rsidRPr="00BE4F57">
              <w:rPr>
                <w:rFonts w:ascii="Sylfaen" w:hAnsi="Sylfaen" w:cs="Sylfaen"/>
                <w:sz w:val="24"/>
                <w:szCs w:val="24"/>
              </w:rPr>
              <w:t>სარძევე</w:t>
            </w:r>
            <w:r w:rsidRPr="00BE4F57">
              <w:rPr>
                <w:sz w:val="24"/>
                <w:szCs w:val="24"/>
              </w:rPr>
              <w:t xml:space="preserve"> </w:t>
            </w:r>
            <w:r w:rsidRPr="00BE4F57">
              <w:rPr>
                <w:rFonts w:ascii="Sylfaen" w:hAnsi="Sylfaen" w:cs="Sylfaen"/>
                <w:sz w:val="24"/>
                <w:szCs w:val="24"/>
              </w:rPr>
              <w:t>ჯირკვლის</w:t>
            </w:r>
            <w:r w:rsidRPr="00BE4F57">
              <w:rPr>
                <w:sz w:val="24"/>
                <w:szCs w:val="24"/>
              </w:rPr>
              <w:t xml:space="preserve"> </w:t>
            </w:r>
            <w:r w:rsidRPr="00BE4F57">
              <w:rPr>
                <w:rFonts w:ascii="Sylfaen" w:hAnsi="Sylfaen" w:cs="Sylfaen"/>
                <w:sz w:val="24"/>
                <w:szCs w:val="24"/>
              </w:rPr>
              <w:t>დარღვევები</w:t>
            </w:r>
          </w:p>
        </w:tc>
        <w:tc>
          <w:tcPr>
            <w:tcW w:w="2846" w:type="dxa"/>
          </w:tcPr>
          <w:p w14:paraId="1CD10E6F" w14:textId="77777777" w:rsidR="008B1423" w:rsidRPr="00BE4F57" w:rsidRDefault="008B1423" w:rsidP="00A14CA6">
            <w:pPr>
              <w:spacing w:after="0" w:line="240" w:lineRule="auto"/>
              <w:rPr>
                <w:sz w:val="24"/>
                <w:szCs w:val="24"/>
              </w:rPr>
            </w:pPr>
            <w:r w:rsidRPr="00BE4F57">
              <w:rPr>
                <w:rFonts w:ascii="Sylfaen" w:hAnsi="Sylfaen" w:cs="Sylfaen"/>
                <w:sz w:val="24"/>
                <w:szCs w:val="24"/>
              </w:rPr>
              <w:t>დისმენორეა</w:t>
            </w:r>
          </w:p>
        </w:tc>
        <w:tc>
          <w:tcPr>
            <w:tcW w:w="2160" w:type="dxa"/>
          </w:tcPr>
          <w:p w14:paraId="1B237997"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2</w:t>
            </w:r>
          </w:p>
        </w:tc>
        <w:tc>
          <w:tcPr>
            <w:tcW w:w="1789" w:type="dxa"/>
          </w:tcPr>
          <w:p w14:paraId="3AFC5159" w14:textId="77777777" w:rsidR="008B1423" w:rsidRPr="00BE4F57" w:rsidRDefault="008B1423" w:rsidP="00A14CA6">
            <w:pPr>
              <w:pStyle w:val="BodyText"/>
              <w:spacing w:after="0" w:line="240" w:lineRule="auto"/>
              <w:rPr>
                <w:rFonts w:ascii="Sylfaen" w:hAnsi="Sylfaen"/>
                <w:sz w:val="24"/>
                <w:szCs w:val="24"/>
              </w:rPr>
            </w:pPr>
            <w:r w:rsidRPr="00BE4F57">
              <w:rPr>
                <w:rFonts w:ascii="Sylfaen" w:hAnsi="Sylfaen"/>
                <w:sz w:val="24"/>
                <w:szCs w:val="24"/>
              </w:rPr>
              <w:t>0</w:t>
            </w:r>
          </w:p>
        </w:tc>
      </w:tr>
    </w:tbl>
    <w:p w14:paraId="5EE723E9" w14:textId="77777777" w:rsidR="008B1423" w:rsidRPr="00BE4F57" w:rsidRDefault="008B1423" w:rsidP="00A14CA6">
      <w:pPr>
        <w:spacing w:after="0" w:line="240" w:lineRule="auto"/>
        <w:jc w:val="both"/>
        <w:rPr>
          <w:rFonts w:ascii="Sylfaen" w:hAnsi="Sylfaen"/>
          <w:sz w:val="24"/>
          <w:szCs w:val="24"/>
          <w:lang w:val="ka-GE"/>
        </w:rPr>
      </w:pPr>
    </w:p>
    <w:p w14:paraId="645997F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 მოიცავს ძილიანობას, სედაციას და ჰიპერსომიას. </w:t>
      </w:r>
      <w:r w:rsidRPr="00BE4F57">
        <w:rPr>
          <w:rStyle w:val="Emphasis"/>
          <w:rFonts w:ascii="Sylfaen" w:hAnsi="Sylfaen" w:cs="Sylfaen"/>
          <w:bCs/>
          <w:i w:val="0"/>
          <w:iCs w:val="0"/>
          <w:sz w:val="24"/>
          <w:szCs w:val="24"/>
          <w:shd w:val="clear" w:color="auto" w:fill="FFFFFF"/>
        </w:rPr>
        <w:t>ძილმორეულის</w:t>
      </w:r>
      <w:r w:rsidRPr="00BE4F57">
        <w:rPr>
          <w:rStyle w:val="Emphasis"/>
          <w:rFonts w:ascii="Sylfaen" w:hAnsi="Sylfaen" w:cs="Arial"/>
          <w:bCs/>
          <w:i w:val="0"/>
          <w:iCs w:val="0"/>
          <w:sz w:val="24"/>
          <w:szCs w:val="24"/>
          <w:shd w:val="clear" w:color="auto" w:fill="FFFFFF"/>
        </w:rPr>
        <w:t xml:space="preserve"> </w:t>
      </w:r>
      <w:r w:rsidRPr="00BE4F57">
        <w:rPr>
          <w:rStyle w:val="Emphasis"/>
          <w:rFonts w:ascii="Sylfaen" w:hAnsi="Sylfaen" w:cs="Sylfaen"/>
          <w:bCs/>
          <w:i w:val="0"/>
          <w:iCs w:val="0"/>
          <w:sz w:val="24"/>
          <w:szCs w:val="24"/>
          <w:shd w:val="clear" w:color="auto" w:fill="FFFFFF"/>
        </w:rPr>
        <w:t>მდგომარეობა</w:t>
      </w:r>
      <w:r w:rsidRPr="00BE4F57">
        <w:rPr>
          <w:rFonts w:ascii="Sylfaen" w:hAnsi="Sylfaen"/>
          <w:sz w:val="24"/>
          <w:szCs w:val="24"/>
          <w:lang w:val="ka-GE"/>
        </w:rPr>
        <w:t xml:space="preserve"> არ დაფიქსირებულა.</w:t>
      </w:r>
    </w:p>
    <w:p w14:paraId="5C27649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 მოიცავს ალანინამინოტრანსფერაზას მომატებას, ასპარტატამინოტრანსფერაზას მომატებას, ღვიძლის ფერმენტების მომატებას, ღვიძლის ფუნქციური ტესტის დარღვევებს, გამა-გლუტამილტრანსფერაზას მომატებას და ტრანსამინაზას მომატებას.</w:t>
      </w:r>
    </w:p>
    <w:p w14:paraId="6E4A3BAF" w14:textId="77777777" w:rsidR="008B1423" w:rsidRPr="00BE4F57" w:rsidRDefault="008B1423" w:rsidP="00A14CA6">
      <w:pPr>
        <w:spacing w:after="0" w:line="240" w:lineRule="auto"/>
        <w:jc w:val="both"/>
        <w:rPr>
          <w:rFonts w:ascii="Sylfaen" w:hAnsi="Sylfaen"/>
          <w:sz w:val="24"/>
          <w:szCs w:val="24"/>
          <w:lang w:val="ka-GE"/>
        </w:rPr>
      </w:pPr>
    </w:p>
    <w:p w14:paraId="30E09213"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სასიცოცხლო ნიშნები და ლაბორატორიული კვლევები </w:t>
      </w:r>
    </w:p>
    <w:p w14:paraId="3250B32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მოზრდილები:</w:t>
      </w:r>
    </w:p>
    <w:p w14:paraId="5CF5A73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სასიცოცხლო ნიშნები</w:t>
      </w:r>
      <w:r w:rsidRPr="00BE4F57">
        <w:rPr>
          <w:rFonts w:ascii="Sylfaen" w:hAnsi="Sylfaen"/>
          <w:sz w:val="24"/>
          <w:szCs w:val="24"/>
          <w:lang w:val="ka-GE"/>
        </w:rPr>
        <w:t xml:space="preserve"> - ტაქიკარდია, ბრადიკარდია და ორთოსტატული ჰიპოტენზია აღინიშნა პაციენტებში, რომლებიც მკურნალობდნენ ოლანზაპინისა და ფლუოქსეტინის კომბინაციით (იხილეთ ნაწილი 4.4. სპეციალური გაფრთხილებები გამოყენებისას და უსაფრთხოების ზომები). ოლანზაპინისა და ფლუოქსეტინის კომბინაციით ნამკურნალებ პაციენტებში დგომისას პულსის საშუალო სიხშირე შემცირდა 0.7 დარტყმით/წთ-ში.</w:t>
      </w:r>
    </w:p>
    <w:p w14:paraId="571E120C" w14:textId="77777777" w:rsidR="008B1423" w:rsidRPr="00BE4F57" w:rsidRDefault="008B1423" w:rsidP="00A14CA6">
      <w:pPr>
        <w:spacing w:after="0" w:line="240" w:lineRule="auto"/>
        <w:jc w:val="both"/>
        <w:rPr>
          <w:rFonts w:ascii="Sylfaen" w:hAnsi="Sylfaen"/>
          <w:sz w:val="24"/>
          <w:szCs w:val="24"/>
          <w:lang w:val="ka-GE"/>
        </w:rPr>
      </w:pPr>
    </w:p>
    <w:p w14:paraId="37A7415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ლაბორატორიული ცვლილებები</w:t>
      </w:r>
      <w:r w:rsidRPr="00BE4F57">
        <w:rPr>
          <w:rFonts w:ascii="Sylfaen" w:hAnsi="Sylfaen"/>
          <w:sz w:val="24"/>
          <w:szCs w:val="24"/>
          <w:lang w:val="ka-GE"/>
        </w:rPr>
        <w:t xml:space="preserve"> – ოლანზაპინისა და ფლუოქსეტინის კომბინაციის კლინიკურ კვლევებში (მათ შორის მკურნალობისადმი რეზისტენტული დეპრესია, დეპრესიული ეპიზოდები ასოცირებული ბიპოლარულ I ტიპის აშლილობასთან, დიდ დეპრესიულ აშლილობასთან ფსიქოზით ან სექსუალური დისფუნქციით), ოლანზაპინისა და ფლუოქსეტინის კომბინაცია ხშირად ასოცირდებოდა მკურნალობასთან დაკავშირებული შემთხვევების სტატისტიკურად მნიშვნელოვნად მაღალ სიხშირესთან შედარებით პლაცებოსთან შემდეგ ლაბორატორიულ ანალიზებში (ცვლილებები ნორმალურიდან საწყის ეტაპზე პათოლოგიურამდე კვლევის განმავლობაში ნებისმიერ დროს): პროლაქტინის მომატებული დონე (28% შედარებით 5%-თან); სისხლში შარდოვანას აზოტის მომატებული დონე (3% შედარებით 0.8%-თან); შარდმჟავას მომატებული დონე (3% შედარებით 0.5%–თან); ალბუმინის დაბალი დონე (3% შედარებით 0.3%-თან); ბიკარბონატის დაბალი დონე (14% შედარებით 9%-თან); ჰემოგლობინის დაბალი დონე (3% შედარებით 0%-თან); არაორგანული ფოსფორის დაბალი დონე (2% შედარებით 0.3%-თან); ლიმფოციტების დაბალი დონე (2% შედარებით 0%-თან); და საერთო ბილირუბინის დაბალი დონე (15% შედარებით 4%-თან). ოლანზაპინისა და ფლუოქსეტინის კომბინაციის გამოყენების დროს, ისევე როგორც ოლანზაპინის შემთხვევაში, დაფიქსირდა ღვიძლის ტრანსამინაზების [ALT, AST და GGT] და ტუტე ფოსფატაზას ასიმპტომური მატება. ოლანზაპინისა და ფლუოქსეტინის კომბინაციის კონტროლირებად მონაცემთა ბაზაში, ALT-ის კლინიკურად მნიშვნელოვანი მომატება (ცვლილება &lt;3-ჯერადი ნორმის ზედა ზღვრიდან [ULN] ≥3-ჯერად ULN-მდე საწყის </w:t>
      </w:r>
      <w:r w:rsidRPr="00BE4F57">
        <w:rPr>
          <w:rFonts w:ascii="Sylfaen" w:hAnsi="Sylfaen"/>
          <w:sz w:val="24"/>
          <w:szCs w:val="24"/>
          <w:lang w:val="ka-GE"/>
        </w:rPr>
        <w:lastRenderedPageBreak/>
        <w:t>ეტაპზე) დაფიქსირდა ოლანზაპინის და ფლუოქსეტინის კომბინაციის მიმღები პაციენტების 5%-ში (38/698) შედარებით პლაცებოს მიმღები პაციენტების 0.5% (2/378)-თან და ოლანზაპინით ნამკურნალები პაციენტების 4%-თან (33/751). ALT-ს ≥5-ჯერადი მომატება დაფიქსირდა ოლანზაპინისა და ფლუოქსეტინის კომბინაციით ნამკურნალები პაციენტების 2%-ში (11/701), პლაცებოთი ნამკურნალები პაციენტების 0.3%-თან (1/379) და ოლანზაპინით ნამკურნალები პაციენტების 1%-თან (11/760) შედარებით. ALT-ს მომატებული მაჩვენებლების მქონე არცერთ პაციენტს არ აღენიშნებოდა სიყვითლე ან ღვიძლის უკმარისობა და Hy წესის კრიტერიუმები არ იყო დაკმაყოფილებული. პაციენტთა უმრავლესობაში, რომლებმაც გააგრძელეს მკურნალობა ოლანზაპინისა და ფლუოქსეტინის კომბინაციით ან შეწყვიტეს ოლანზაპინისა და ფლუოქსეტინის კომბინაციით მკურნალობა, ALT-ს მაჩვენებლები ნორმას დაუბრუნდა ან დაიწყო შემცირება ბოლო დაკვირვების დროს.</w:t>
      </w:r>
    </w:p>
    <w:p w14:paraId="2683289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ოლანზაპინით ნამკურნალებ პაციენტებში პოსტმარკეტინგული ჰეპატიტის იშვიათი შემთხვევებია მოხსენებული. პოსტმარკეტინგულ პერიოდში ოლანზაპინით ნამკურნალებ პაციენტებში ასევე აღინიშნა ძალიან იშვიათი ქოლესტაზური ან შერეული ღვიძლის დარღვევები.</w:t>
      </w:r>
    </w:p>
    <w:p w14:paraId="10B8C4E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სიფრთხილეა საჭირო ღვიძლის უკმარისობის ნიშნების და სიმპტომების მქონე პაციენტებში, ღვიძლის შეზღუდულ ფუნქციურ რეზერვთან ასოცირებული უკვე არსებული მდგომარეობების მქონე პაციენტებში და პაციენტებში, რომლებიც მკურნალობენ პოტენციურად ჰეპატოტოქსიკური პრეპარატებით.კრეატინფოსფოკინაზას დონის მატება ძალიან იშვიათად აღინიშნა ოლანზაპინისა და ფლუოქსეტინის კომბინაციის მიმღებ პაციენტებში და იშვიათად ოლანზაპინის მიმღები პაციენტების კლინიკურ კვლევებში.</w:t>
      </w:r>
    </w:p>
    <w:p w14:paraId="1B65C308" w14:textId="77777777" w:rsidR="008B1423" w:rsidRPr="00BE4F57" w:rsidRDefault="008B1423" w:rsidP="00A14CA6">
      <w:pPr>
        <w:spacing w:after="0" w:line="240" w:lineRule="auto"/>
        <w:jc w:val="both"/>
        <w:rPr>
          <w:rFonts w:ascii="Sylfaen" w:hAnsi="Sylfaen"/>
          <w:sz w:val="24"/>
          <w:szCs w:val="24"/>
          <w:lang w:val="ka-GE"/>
        </w:rPr>
      </w:pPr>
    </w:p>
    <w:p w14:paraId="29F7D4D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QT ინტერვალის გახანგრძლივება</w:t>
      </w:r>
      <w:r w:rsidRPr="00BE4F57">
        <w:rPr>
          <w:rFonts w:ascii="Sylfaen" w:hAnsi="Sylfaen"/>
          <w:sz w:val="24"/>
          <w:szCs w:val="24"/>
          <w:lang w:val="ka-GE"/>
        </w:rPr>
        <w:t xml:space="preserve"> - ოლანზაპინისა და ფლუოქსეტინის კომბინაციით მკურნალობისას პაციენტებში ხშირად აღინიშნა (≥1%) QT c F≥450 მწ მამაკაცებში და QT c F≥470 მწ ქალებში. კლინიკურ კვლევებში ოლანზაპინისა და ფლუოქსეტინის კომბინირებული თერაპიასთან ასოცირებული QTc F&gt;500 მწ სიხშირე იშვიათია და მნიშვნელოვნად არ განსხვავდება პლაცებოსთან დაკავშირებული სიხშირისგან. ერთადერთ კლინიკურ კვლევაში, რომელშიც ოლანზაპინისა და ფლუოქსეტინის კომბინაცია უშუალოდ შედარდა პლაცებოსთან მოზრდილ პაციენტებში, QTc ინტერვალის საშუალო ზრდა ოლანზაპინისა და ფლუოქსეტინის კომბინაციით ნამკურნალებ პაციენტებში (5.17 მწ) მნიშვნელოვნად აღემატებოდა პლაცებოთი ნამკურნალებ პაციენტებში ზრდას (-1.66 მწ). </w:t>
      </w:r>
    </w:p>
    <w:p w14:paraId="23ACE1CC" w14:textId="77777777" w:rsidR="008B1423" w:rsidRPr="00BE4F57" w:rsidRDefault="008B1423" w:rsidP="00A14CA6">
      <w:pPr>
        <w:spacing w:after="0" w:line="240" w:lineRule="auto"/>
        <w:jc w:val="both"/>
        <w:rPr>
          <w:rFonts w:ascii="Sylfaen" w:hAnsi="Sylfaen"/>
          <w:sz w:val="24"/>
          <w:szCs w:val="24"/>
          <w:lang w:val="ka-GE"/>
        </w:rPr>
      </w:pPr>
    </w:p>
    <w:p w14:paraId="3A5F109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ბავშვები და მოზარდები (10-17 წლის ასაკი):</w:t>
      </w:r>
    </w:p>
    <w:p w14:paraId="6C0C8DF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ერთჯერად 8-კვირიან, რანდომიზებულ, პლაცებო-კონტროლირებად კლინიკურ კვლევაში, რომელიც იკვლევდა ოლანზაპინისა და ფლუოქსეტინის კომბინაციას ბიპოლარული I დეპრესიის სამკურნალოდ 10-დან 17 წლამდე ასაკის პაციენტებში, აღინიშნა შემდეგი:</w:t>
      </w:r>
    </w:p>
    <w:p w14:paraId="38AFAC3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სასიცოცხლო ნიშნები</w:t>
      </w:r>
      <w:r w:rsidRPr="00BE4F57">
        <w:rPr>
          <w:rFonts w:ascii="Sylfaen" w:hAnsi="Sylfaen"/>
          <w:sz w:val="24"/>
          <w:szCs w:val="24"/>
          <w:lang w:val="ka-GE"/>
        </w:rPr>
        <w:t xml:space="preserve"> - როდესაც ოლანზაპინისა და ფლუოქსეტინის კომბინაციით ნამკურნალები პაციენტები შეადარეს პლაცებოს მიმღებ პაციენტებს, საშუალო ორთოსტატული არტერიული წნევა და ფეხზე დგომის პულსის სიხშირე მნიშვნელოვნად არ განსხვავდებოდა სამკურნალო ჯგუფებს შორის.</w:t>
      </w:r>
    </w:p>
    <w:p w14:paraId="466E0E7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სხეულის წონა: 7%-იანი ან მეტი წონის მატება აღინიშნა ოლანზაპინისა და ფლუოქსეტინის კომბინაციის ჯგუფის 52.4%-ში და პლაცებო ჯგუფის 3.6%-ში. 15%-იანი ან მეტი წონის მატება დაფიქსირდა ოლანზაპინისა და ფლუოქსეტინის კომბინაციის ჯგუფის 14.1%-ში, პლაცებო ჯგუფის არცერთ შემთხვევასთან შედარებით.</w:t>
      </w:r>
    </w:p>
    <w:p w14:paraId="072D172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u w:val="single"/>
          <w:lang w:val="ka-GE"/>
        </w:rPr>
        <w:t>ლაბორატორიული ცვლილებები</w:t>
      </w:r>
      <w:r w:rsidRPr="00BE4F57">
        <w:rPr>
          <w:rFonts w:ascii="Sylfaen" w:hAnsi="Sylfaen"/>
          <w:sz w:val="24"/>
          <w:szCs w:val="24"/>
          <w:lang w:val="ka-GE"/>
        </w:rPr>
        <w:t xml:space="preserve"> - ოლანზაპინისა და ფლუოქსეტინის კომბინაცია ასოცირებული იყო ლაბორატორიულ ანალიზებში მკურნალობასთან დაკავშირებული შემდეგი ნიშნების სტატისტიკურად მნიშვნელოვნად უფრო ხშირ გამოვლენასთან (საწყის ეტაპზე ნორმალური ან დაბალი და კვლევის ნებისმიერ დროს პათოლოგიური) პლაცებოსთან შედარებით: ALT-ს </w:t>
      </w:r>
      <w:r w:rsidRPr="00BE4F57">
        <w:rPr>
          <w:rFonts w:ascii="Sylfaen" w:hAnsi="Sylfaen"/>
          <w:sz w:val="24"/>
          <w:szCs w:val="24"/>
          <w:lang w:val="ka-GE"/>
        </w:rPr>
        <w:lastRenderedPageBreak/>
        <w:t xml:space="preserve">მომატება (45.9% 2.5%–თან შედარებით); AST-ს მომატება (33.7% 7.6%-თან შედარებით); საერთო ქოლესტერინის მომატება უზმოზე (28.9% 8.2%-თან შედარებით); დსლ ქოლესტერინის მომატება უზმოზე (19.7% 6.5%-თან შედარებით); ტრიგლიცერიდების მომატება უზმოზე (52.3% 27.3%-თან შედარებით) და პროლაქტინის მომატება (85% 36%თან შედარებით). ღვიძლის ფერმენტების მომატებული მაჩვენებლების მქონე არცერთ პაციენტს არ აღენიშნებოდა სიყვითლე ან ღვიძლის უკმარისობა და Hy წესის კრიტერიუმები არ იყო დაკმაყოფილებული. ხუთ პაციენტს განუვითარდა გვერდითი მოვლენა, რომელიც შეიძლება პროლაქტინის მომატებასთან ყოფილიყო დაკავშირებული; მათ მიეკუთვნება დისმენორეა, გალაქტორეა და ოვულაციის დარღვევა. </w:t>
      </w:r>
    </w:p>
    <w:p w14:paraId="67DE616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QT ინტერვალის გახანგრძლივება - ოლანზაპინისა და ფლუოქსეტინის კომბინაცია ასოცირდებოდა QT cF ინტერვალის სტატისტიკურად მნიშვნელოვნად უფრო დიდ საშუალო ზრდასთან პლაცებოსთან შედარებით (8.2 მწ [95% CI 6.2, 10.2]). არცერთ პაციენტს არ განუვითარდა QT c ინტერვალის ≥60 მწ ან QT c ≥480 მწ გაზრდა (იხილეთ ნაწილი 4.4. განსაკუთრებული გაფრთხილებები გამოყენებისას და სიფრთხილის ზომები).</w:t>
      </w:r>
    </w:p>
    <w:p w14:paraId="594A85C7" w14:textId="77777777" w:rsidR="008B1423" w:rsidRPr="00BE4F57" w:rsidRDefault="008B1423" w:rsidP="00A14CA6">
      <w:pPr>
        <w:spacing w:after="0" w:line="240" w:lineRule="auto"/>
        <w:jc w:val="both"/>
        <w:rPr>
          <w:rFonts w:ascii="Sylfaen" w:hAnsi="Sylfaen"/>
          <w:sz w:val="24"/>
          <w:szCs w:val="24"/>
          <w:lang w:val="ka-GE"/>
        </w:rPr>
      </w:pPr>
    </w:p>
    <w:p w14:paraId="1AFAFE55"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პოსტმარკეტინგული გამოცდილება</w:t>
      </w:r>
    </w:p>
    <w:p w14:paraId="29FBD0F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შემდეგი გვერდითი რეაქციები აღწერილია ოლანზაპინისა და ფლუოქსეტინის კომბინაციის, ფლუოქსეტინით ან ოლანზაპინით მონოთერაპიის პოსტრეგისტრაციული გამოყენების დროს. რადგან ეს რეაქციები ნებაყოფლობით იქნა მოხსენებული გაურკვეველი ზომის პოპულაციიდან, რთულია მათი სიხშირის საიმედოდ შეფასება ან პრეპარატის ზემოქმედებასთან მიზეზ–შედეგობრივი კავშირის შეფასება.</w:t>
      </w:r>
    </w:p>
    <w:p w14:paraId="3C8C04D2" w14:textId="77777777" w:rsidR="008B1423" w:rsidRPr="00BE4F57" w:rsidRDefault="008B1423" w:rsidP="00A14CA6">
      <w:pPr>
        <w:spacing w:after="0" w:line="240" w:lineRule="auto"/>
        <w:jc w:val="both"/>
        <w:rPr>
          <w:rFonts w:ascii="Sylfaen" w:hAnsi="Sylfaen"/>
          <w:sz w:val="24"/>
          <w:szCs w:val="24"/>
          <w:lang w:val="ka-GE"/>
        </w:rPr>
      </w:pPr>
    </w:p>
    <w:p w14:paraId="62A1C08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ბაზარზე გამოშვების შემდეგ მოხსენებული გვერდითი რეაქციები, რომლებიც დროებით (მაგრამ არა აუცილებლად მიზეზობრივად) იყო დაკავშირებული ოლანზაპინისა და ფლუოქსეტინის კომბინირებულ თერაპიასთან, მოიცავს შემდეგს: რაბდომიოლიზი და ვენური თრომბოემბოლიური მოვლენები (მათ შორის პულმონური ემბოლია და ღრმა ვენების თრომბოზი).</w:t>
      </w:r>
    </w:p>
    <w:p w14:paraId="72631B5B" w14:textId="77777777" w:rsidR="008B1423" w:rsidRPr="00BE4F57" w:rsidRDefault="008B1423" w:rsidP="00A14CA6">
      <w:pPr>
        <w:spacing w:after="0" w:line="240" w:lineRule="auto"/>
        <w:jc w:val="both"/>
        <w:rPr>
          <w:rFonts w:ascii="Sylfaen" w:hAnsi="Sylfaen"/>
          <w:sz w:val="24"/>
          <w:szCs w:val="24"/>
          <w:lang w:val="ka-GE"/>
        </w:rPr>
      </w:pPr>
    </w:p>
    <w:p w14:paraId="5F1D73F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 ანოსმია, აპლასტიკური ანემია, ქოლესტაზური სიყვითლე, წამლისმიერი რეაქცია ეოზინოფილიით და სისტემური სიმპტომებით (DRESS), ეოზინოფილური პნევმონია</w:t>
      </w:r>
      <w:r w:rsidRPr="00BE4F57">
        <w:rPr>
          <w:rFonts w:ascii="Sylfaen" w:hAnsi="Sylfaen"/>
          <w:sz w:val="24"/>
          <w:szCs w:val="24"/>
          <w:vertAlign w:val="superscript"/>
          <w:lang w:val="ka-GE"/>
        </w:rPr>
        <w:t>3</w:t>
      </w:r>
      <w:r w:rsidRPr="00BE4F57">
        <w:rPr>
          <w:rFonts w:ascii="Sylfaen" w:hAnsi="Sylfaen"/>
          <w:sz w:val="24"/>
          <w:szCs w:val="24"/>
          <w:lang w:val="ka-GE"/>
        </w:rPr>
        <w:t>, მულტიფორმული ერითემა, აგრესიული ქცევა</w:t>
      </w:r>
      <w:r w:rsidRPr="00BE4F57">
        <w:rPr>
          <w:rFonts w:ascii="Sylfaen" w:hAnsi="Sylfaen"/>
          <w:sz w:val="24"/>
          <w:szCs w:val="24"/>
          <w:vertAlign w:val="superscript"/>
          <w:lang w:val="ka-GE"/>
        </w:rPr>
        <w:t>3</w:t>
      </w:r>
      <w:r w:rsidRPr="00BE4F57">
        <w:rPr>
          <w:rFonts w:ascii="Sylfaen" w:hAnsi="Sylfaen"/>
          <w:sz w:val="24"/>
          <w:szCs w:val="24"/>
          <w:lang w:val="ka-GE"/>
        </w:rPr>
        <w:t>, წინაგულების ფიბრილაცია</w:t>
      </w:r>
      <w:r w:rsidRPr="00BE4F57">
        <w:rPr>
          <w:rFonts w:ascii="Sylfaen" w:hAnsi="Sylfaen"/>
          <w:sz w:val="24"/>
          <w:szCs w:val="24"/>
          <w:vertAlign w:val="superscript"/>
          <w:lang w:val="ka-GE"/>
        </w:rPr>
        <w:t>3</w:t>
      </w:r>
      <w:r w:rsidRPr="00BE4F57">
        <w:rPr>
          <w:rFonts w:ascii="Sylfaen" w:hAnsi="Sylfaen"/>
          <w:sz w:val="24"/>
          <w:szCs w:val="24"/>
          <w:lang w:val="ka-GE"/>
        </w:rPr>
        <w:t>, კატარაქტა, ცერებროვასკულური დარღვევა</w:t>
      </w:r>
      <w:r w:rsidRPr="00BE4F57">
        <w:rPr>
          <w:rFonts w:ascii="Sylfaen" w:hAnsi="Sylfaen"/>
          <w:sz w:val="24"/>
          <w:szCs w:val="24"/>
          <w:vertAlign w:val="superscript"/>
          <w:lang w:val="ka-GE"/>
        </w:rPr>
        <w:t>3</w:t>
      </w:r>
      <w:r w:rsidRPr="00BE4F57">
        <w:rPr>
          <w:rFonts w:ascii="Sylfaen" w:hAnsi="Sylfaen"/>
          <w:sz w:val="24"/>
          <w:szCs w:val="24"/>
          <w:lang w:val="ka-GE"/>
        </w:rPr>
        <w:t>, ეპიდერმული ნეკროლიზი, კვანძოვანი ერითება, გულის გაჩერება</w:t>
      </w:r>
      <w:r w:rsidRPr="00BE4F57">
        <w:rPr>
          <w:rFonts w:ascii="Sylfaen" w:hAnsi="Sylfaen"/>
          <w:sz w:val="24"/>
          <w:szCs w:val="24"/>
          <w:vertAlign w:val="superscript"/>
          <w:lang w:val="ka-GE"/>
        </w:rPr>
        <w:t>3</w:t>
      </w:r>
      <w:r w:rsidRPr="00BE4F57">
        <w:rPr>
          <w:rFonts w:ascii="Sylfaen" w:hAnsi="Sylfaen"/>
          <w:sz w:val="24"/>
          <w:szCs w:val="24"/>
          <w:lang w:val="ka-GE"/>
        </w:rPr>
        <w:t>, ღვიძლის უკმარისობა/ნეკროზი, ჰიპოგლიკემია, ჰიპოსმია, თირკმლის უკმარისობა, მეხსიერების დარღვევა, მხედველობის ნერვის ნევრიტი, ფილტვისმიერი ჰიპერტენზია, სტივენს-ჯონსონის სინდრომი.</w:t>
      </w:r>
    </w:p>
    <w:p w14:paraId="07F76331" w14:textId="77777777" w:rsidR="008B1423" w:rsidRPr="00BE4F57" w:rsidRDefault="008B1423" w:rsidP="00A14CA6">
      <w:pPr>
        <w:spacing w:after="0" w:line="240" w:lineRule="auto"/>
        <w:jc w:val="both"/>
        <w:rPr>
          <w:rFonts w:ascii="Sylfaen" w:hAnsi="Sylfaen"/>
          <w:sz w:val="24"/>
          <w:szCs w:val="24"/>
          <w:lang w:val="ka-GE"/>
        </w:rPr>
      </w:pPr>
    </w:p>
    <w:p w14:paraId="38A4FDB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დიაბეტური კომა, სიყვითლე, ტრიგლიცერიდების რანდომული დონე ≥1000 მგ/დლ, მოუსვენარი ფეხების სინდრომი, ენაბორძიკობა</w:t>
      </w:r>
      <w:r w:rsidRPr="00BE4F57">
        <w:rPr>
          <w:rFonts w:ascii="Sylfaen" w:hAnsi="Sylfaen"/>
          <w:sz w:val="24"/>
          <w:szCs w:val="24"/>
          <w:vertAlign w:val="superscript"/>
          <w:lang w:val="ka-GE"/>
        </w:rPr>
        <w:t>4</w:t>
      </w:r>
      <w:r w:rsidRPr="00BE4F57">
        <w:rPr>
          <w:rFonts w:ascii="Sylfaen" w:hAnsi="Sylfaen"/>
          <w:sz w:val="24"/>
          <w:szCs w:val="24"/>
          <w:lang w:val="ka-GE"/>
        </w:rPr>
        <w:t>, ნერწყვის ჰიპერსეკრეცია, ალერგიული რეაქცია (მაგ. ანაფილაქტოიდური რეაქცია, ანგიონევროზული შეშუპება, ქავილი ან ჭინჭრის ციება), დიაბეტური კეტოაციდოზი, მოხსნის რეაქცია (ოფლდენა, გულისრევა ან ღებინება), წამლისმიერი რეაქცია ეოზინოფილიით და სისტემური სიმპტომებით (DRESS), ფეკალური შეუკავებლობა და ძილში სიარული.</w:t>
      </w:r>
    </w:p>
    <w:p w14:paraId="2CA5D75B" w14:textId="77777777" w:rsidR="008B1423" w:rsidRPr="00BE4F57" w:rsidRDefault="008B1423" w:rsidP="00A14CA6">
      <w:pPr>
        <w:spacing w:after="0" w:line="240" w:lineRule="auto"/>
        <w:jc w:val="both"/>
        <w:rPr>
          <w:rFonts w:ascii="Sylfaen" w:hAnsi="Sylfaen"/>
          <w:sz w:val="24"/>
          <w:szCs w:val="24"/>
          <w:lang w:val="ka-GE"/>
        </w:rPr>
      </w:pPr>
    </w:p>
    <w:p w14:paraId="7143864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vertAlign w:val="superscript"/>
          <w:lang w:val="ka-GE"/>
        </w:rPr>
        <w:t>3</w:t>
      </w:r>
      <w:r w:rsidRPr="00BE4F57">
        <w:rPr>
          <w:rFonts w:ascii="Sylfaen" w:hAnsi="Sylfaen"/>
          <w:sz w:val="24"/>
          <w:szCs w:val="24"/>
          <w:lang w:val="ka-GE"/>
        </w:rPr>
        <w:t xml:space="preserve"> ეს ტერმინები წარმოადგენს სერიოზულ გვერდით მოვლენებს, მაგრამ არ შეესაბამება წამლისმიერი რეაქციების გვერდითი ეფექტების განმარტებას. ისინი აქ შეტანილია მათი სერიოზულობის გამო.</w:t>
      </w:r>
    </w:p>
    <w:p w14:paraId="4683A29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4 ენაბორძიკობა შესწავლილი იყო მხოლოდ ოლანზაპინის პერორალურ და ხანგრძლივი მოქმედების საინექციო (LAI) ფორმებში.</w:t>
      </w:r>
    </w:p>
    <w:p w14:paraId="43026A3B" w14:textId="77777777" w:rsidR="008B1423" w:rsidRPr="00BE4F57" w:rsidRDefault="008B1423" w:rsidP="00A14CA6">
      <w:pPr>
        <w:spacing w:after="0" w:line="240" w:lineRule="auto"/>
        <w:jc w:val="both"/>
        <w:rPr>
          <w:rFonts w:ascii="Sylfaen" w:hAnsi="Sylfaen"/>
          <w:sz w:val="24"/>
          <w:szCs w:val="24"/>
          <w:lang w:val="ka-GE"/>
        </w:rPr>
      </w:pPr>
    </w:p>
    <w:p w14:paraId="4EB22350"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lastRenderedPageBreak/>
        <w:t>გვერდითი ეფექტების შესახებ შეტყობინება</w:t>
      </w:r>
    </w:p>
    <w:p w14:paraId="230191A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თუ თქვენ შეამჩნევთ რაიმე გვერდით ეფექტს, მიმართეთ ექიმს ან ფარმაცევტს. ეს მოიცავს ნებისმიერ შესაძლო გვერდით ეფექტს, რომელიც არ არის ჩამოთვლილი ამ ფურცელ-ჩანართში. თქვენ ასევე შეგიძლიათ გვერდითი ეფექტების შესახებ პირდაპირ შეტყობინება შემდეგი გზით:</w:t>
      </w:r>
    </w:p>
    <w:p w14:paraId="0E3D622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საემიროების წამლის სამმართველო</w:t>
      </w:r>
    </w:p>
    <w:p w14:paraId="63EA30C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არაბთა გაერთიანებული საემიროები</w:t>
      </w:r>
    </w:p>
    <w:p w14:paraId="2A5E234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ელ.ფოსტა: pv@ede.gov.ae</w:t>
      </w:r>
    </w:p>
    <w:p w14:paraId="787B29B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ტელ.: 80033784</w:t>
      </w:r>
    </w:p>
    <w:p w14:paraId="27FD092F" w14:textId="77777777" w:rsidR="008B1423" w:rsidRPr="00BE4F57" w:rsidRDefault="008B1423" w:rsidP="00A14CA6">
      <w:pPr>
        <w:spacing w:after="0" w:line="240" w:lineRule="auto"/>
        <w:jc w:val="both"/>
        <w:rPr>
          <w:rFonts w:ascii="Sylfaen" w:hAnsi="Sylfaen"/>
          <w:sz w:val="24"/>
          <w:szCs w:val="24"/>
          <w:lang w:val="ka-GE"/>
        </w:rPr>
      </w:pPr>
    </w:p>
    <w:p w14:paraId="31561B8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4.9 ჭარბი დოზირება და მკურნალობა</w:t>
      </w:r>
    </w:p>
    <w:p w14:paraId="4F6AE082" w14:textId="77777777" w:rsidR="008B1423" w:rsidRPr="00BE4F57" w:rsidRDefault="008B1423" w:rsidP="00A14CA6">
      <w:pPr>
        <w:spacing w:after="0" w:line="240" w:lineRule="auto"/>
        <w:jc w:val="both"/>
        <w:rPr>
          <w:rFonts w:ascii="Sylfaen" w:hAnsi="Sylfaen"/>
          <w:sz w:val="24"/>
          <w:szCs w:val="24"/>
          <w:lang w:val="ka-GE"/>
        </w:rPr>
      </w:pPr>
    </w:p>
    <w:p w14:paraId="5233CC98"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რექსეპი კომბი - პრემარკეტინგული ოლანზაპინისა და ფლუოქსეტინის ერთად გამოყენების  კლინიკური კვლევების დროს, ფლუოქსეტინისა და ოლანზაპინის დოზის გადაჭარბება დაფიქსირდა  კვლევის 5 სუბიექტში. 5-დან 4 სუბიექტს განუვითარდა გონების დაკარგვა (3) ან კომა (1). უბედური შემთხვევები არ მომხდარა.</w:t>
      </w:r>
    </w:p>
    <w:p w14:paraId="283CB63E"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b/>
          <w:sz w:val="24"/>
          <w:szCs w:val="24"/>
          <w:lang w:val="ka-GE"/>
        </w:rPr>
        <w:t>ოლანზაპინისა და ფლუოქსეტინის კომბინაცია</w:t>
      </w:r>
      <w:r w:rsidRPr="00BE4F57">
        <w:rPr>
          <w:rFonts w:ascii="Sylfaen" w:hAnsi="Sylfaen" w:cs="Sylfaen"/>
          <w:sz w:val="24"/>
          <w:szCs w:val="24"/>
          <w:lang w:val="ka-GE"/>
        </w:rPr>
        <w:t xml:space="preserve"> - ჭარბი დოზირების შემთხვევაში აღინიშნა გონების დაკარგვა ან კომა. ლეტალური შედეგი არ დაფიქსირებულა.</w:t>
      </w:r>
    </w:p>
    <w:p w14:paraId="3C2825E4"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კომბინირებული თერაპიის ჭარბი დოზირება განისაზღვრება, როგორც ოლანზაპინის 20 მგ-ზე მეტი დოზის 80 მგ-ზე მეტ ფლუოქსეტინთან კომბინაციაში დადასტურებული ან საეჭვო მიღება. ამ ანგარიშებთან დაკავშირებული გვერდითი რეაქციები მოიცავს ძილიანობას (სედაციას), გონების დარღვევას (კომა), ნევროლოგიურ დისფუნქციას (ატაქსია, დაბნეულობა, კრუნჩხვები, დიზართრია), არითმიებს, ლეთარგიას, ესენციურ ტრემორს, აგზნებას, მწვავე ფსიქოზს, ჰიპოტენზიას, ჰიპერტენზიას და აგრესიას. სიკვდილი გამოწვეული იყო დამატებითი ნივთიერებების, როგორიცაა ალკოჰოლი, თიორიდაზინი, ოქსიკოდონი და პროპოქსიფენი, ზემოქმედებით.</w:t>
      </w:r>
    </w:p>
    <w:p w14:paraId="6B426C99" w14:textId="77777777" w:rsidR="008B1423" w:rsidRPr="00BE4F57" w:rsidRDefault="008B1423" w:rsidP="00A14CA6">
      <w:pPr>
        <w:spacing w:after="0" w:line="240" w:lineRule="auto"/>
        <w:jc w:val="both"/>
        <w:rPr>
          <w:rFonts w:ascii="Sylfaen" w:hAnsi="Sylfaen" w:cs="Sylfaen"/>
          <w:sz w:val="24"/>
          <w:szCs w:val="24"/>
          <w:lang w:val="ka-GE"/>
        </w:rPr>
      </w:pPr>
    </w:p>
    <w:p w14:paraId="6E4D2270"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b/>
          <w:sz w:val="24"/>
          <w:szCs w:val="24"/>
          <w:lang w:val="ka-GE"/>
        </w:rPr>
        <w:t>ოლანზაპინი</w:t>
      </w:r>
      <w:r w:rsidRPr="00BE4F57">
        <w:rPr>
          <w:rFonts w:ascii="Sylfaen" w:hAnsi="Sylfaen" w:cs="Sylfaen"/>
          <w:sz w:val="24"/>
          <w:szCs w:val="24"/>
          <w:lang w:val="ka-GE"/>
        </w:rPr>
        <w:t xml:space="preserve"> - მხოლოდ ოლანზაპინის დოზის გადაჭარბების პოსტმარკეტინგულ ანგარიშებში, სიმპტომები დაფიქსირდა შემთხვევათა უმრავლესობაში. სიმპტომურ პაციენტებში, ≥ 10%-იანი სიხშირის სიმპტომები მოიცავდა აგზნებადობას/აგრესიას, დიზართრიას, ტაქიკარდიას, სხვადასხვა ექსტრაპირამიდულ სიმპტომებს და ცნობიერების დონის დაქვეითებას, სედაციიდან კომამდე. ნაკლებად ხშირად აღწერილი სიმპტომები იყო შემდეგი პოტენციურად სამედიცინო თვალსაზრისით სერიოზული რეაქციები: ასპირაცია, კარდიოპულმონური გაჩერება, გულის არითმიები (პაციენტი განიცდის სუპრავენტრიკულურ ტაქიკარდიას ან სინუსურ გაჩერებას ნორმალური რიტმის სპონტანური აღდგენით), დელირიუმი, შესაძლო ნეიროლეფსიური ავთვისებიანი სინდრომი, სუნთქვის დათრგუნვა/გაჩერება, კონვულსია, ჰიპერტენზია და ჰიპოტენზია. სიკვდილის 1 შემთხვევაში დაფიქსირდა ოლანზაპინის მწვავე პერორალური დოზის, სავარაუდოდ 450 მგ-ის მიღების შემდეგ, მაგრამ სხვა შემთხვევაში გადარჩენის შესახებ ინფორმაცია დაფიქსირდა ოლანზაპინის მწვავე პერორალური დოზის, დაახლოებით 2 გ-ის მიღების შემდეგ. ფლუოქსეტინის ჭარბი დოზირების შემთხვევაში აღინიშნა შემდეგი:</w:t>
      </w:r>
    </w:p>
    <w:p w14:paraId="202F2271"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 ფსიქიკური მდგომარეობის ცვლილება, მათ შორის კრუნჩხვები, რომლებიც შეიძლება გადაიდოს, და კომა.</w:t>
      </w:r>
    </w:p>
    <w:p w14:paraId="4B49175A"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 xml:space="preserve">• გულ-სისხლძარღვთა ტოქსიკურობა, რომელიც შეიძლება გადაიდოს, როგორიცაა QRS და QTc ინტერვალის გახანგრძლივება, ფართო სირთულის ტაქიკარდიები, ტორსადეს დე პოინტესი და გულის გაჩერება. ჰიპერტენზია ყველაზე ხშირია, მაგრამ იშვიათად ჰიპოტენზია შეიძლება განვითარდეს დამოუკიდებლად ან თანმხლებ მედიკამენტებთან, როგორიცაა ალკოჰოლი. </w:t>
      </w:r>
    </w:p>
    <w:p w14:paraId="4E11AA6A"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 სეროტონინის სინდრომი (რისკი შეიძლება უფრო მაღალი იყოს პაციენტებში მრავალჯერადი ჭარბი დოზირებით სხვა პროსეროტონერგული პრეპარატების მიღებისას).</w:t>
      </w:r>
    </w:p>
    <w:p w14:paraId="16C392BB" w14:textId="77777777" w:rsidR="008B1423" w:rsidRPr="00BE4F57" w:rsidRDefault="008B1423" w:rsidP="00A14CA6">
      <w:pPr>
        <w:spacing w:after="0" w:line="240" w:lineRule="auto"/>
        <w:jc w:val="both"/>
        <w:rPr>
          <w:rFonts w:ascii="Sylfaen" w:hAnsi="Sylfaen" w:cs="Sylfaen"/>
          <w:sz w:val="24"/>
          <w:szCs w:val="24"/>
          <w:lang w:val="ka-GE"/>
        </w:rPr>
      </w:pPr>
    </w:p>
    <w:p w14:paraId="67E0CAD3" w14:textId="77777777" w:rsidR="008B1423" w:rsidRPr="00BE4F57" w:rsidRDefault="008B1423" w:rsidP="00A14CA6">
      <w:pPr>
        <w:spacing w:after="0" w:line="240" w:lineRule="auto"/>
        <w:jc w:val="both"/>
        <w:rPr>
          <w:rFonts w:ascii="Sylfaen" w:hAnsi="Sylfaen" w:cs="Sylfaen"/>
          <w:b/>
          <w:sz w:val="24"/>
          <w:szCs w:val="24"/>
          <w:lang w:val="ka-GE"/>
        </w:rPr>
      </w:pPr>
      <w:r w:rsidRPr="00BE4F57">
        <w:rPr>
          <w:rFonts w:ascii="Sylfaen" w:hAnsi="Sylfaen" w:cs="Sylfaen"/>
          <w:b/>
          <w:sz w:val="24"/>
          <w:szCs w:val="24"/>
          <w:lang w:val="ka-GE"/>
        </w:rPr>
        <w:t>ჭარბი დოზირების მკურნალობა</w:t>
      </w:r>
    </w:p>
    <w:p w14:paraId="35D1F804"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ჭარბი დოზირების მართვისას გასათვალისწინებელია პოლიფარმაციის შესაძლებლობა. გახსენით და დაიცავით სასუნთქი გზები და უზრუნველყავით ადეკვატური ვენტილაცია. გულ-სისხლძარღვთა მონიტორინგი დაუყოვნებლივ უნდა დაიწყოს და უნდა მოიცავდეს უწყვეტ ელექტროკარდიოგრაფიულ მონიტორინგს შესაძლო არითმიების გამოსავლენად.</w:t>
      </w:r>
    </w:p>
    <w:p w14:paraId="5324727D"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განსაკუთრებული სიფრთხილის ზომები მოიცავს პაციენტებს, რომლებიც იღებენ ან ცოტა ხნის წინ მიიღეს რექსეპი კომბი და გამოიყენეს TCA-ს (ტრიციკლური ანტიდეპრესანტების) ჭარბი რაოდენობა. ასეთ შემთხვევებში, საწყისი TCA-ს და/ან აქტიური მეტაბოლიტის დაგროვება ზრდის სერიოზული შედეგების ალბათობას და ახანგრძლივებს სათანადო სამედიცინო დაკვირვებისთვის საჭირო დროს.</w:t>
      </w:r>
    </w:p>
    <w:p w14:paraId="384918BA" w14:textId="77777777" w:rsidR="008B1423" w:rsidRPr="00BE4F57" w:rsidRDefault="008B1423" w:rsidP="00A14CA6">
      <w:pPr>
        <w:spacing w:after="0" w:line="240" w:lineRule="auto"/>
        <w:jc w:val="both"/>
        <w:rPr>
          <w:rFonts w:ascii="Sylfaen" w:hAnsi="Sylfaen" w:cs="Sylfaen"/>
          <w:sz w:val="24"/>
          <w:szCs w:val="24"/>
          <w:lang w:val="ka-GE"/>
        </w:rPr>
      </w:pPr>
    </w:p>
    <w:p w14:paraId="67465FF3" w14:textId="77777777" w:rsidR="008B1423" w:rsidRPr="00BE4F57" w:rsidRDefault="008B1423" w:rsidP="00A14CA6">
      <w:pPr>
        <w:spacing w:after="0" w:line="240" w:lineRule="auto"/>
        <w:jc w:val="both"/>
        <w:rPr>
          <w:rFonts w:ascii="Sylfaen" w:hAnsi="Sylfaen" w:cs="Sylfaen"/>
          <w:sz w:val="24"/>
          <w:szCs w:val="24"/>
          <w:lang w:val="ka-GE"/>
        </w:rPr>
      </w:pPr>
      <w:r w:rsidRPr="00BE4F57">
        <w:rPr>
          <w:rFonts w:ascii="Sylfaen" w:hAnsi="Sylfaen" w:cs="Sylfaen"/>
          <w:sz w:val="24"/>
          <w:szCs w:val="24"/>
          <w:lang w:val="ka-GE"/>
        </w:rPr>
        <w:t>ოლანზაპინისა და ფლუოქსეტინის განაწილების დიდი მოცულობის გამო, ფორსირებული დიურეზი, დიალიზი, ჰემოპერფუზია და გაცვლითი ტრანსფუზია ნაკლებად სასარგებლო იქნება. ფლუოქსეტინის ან ოლანზაპინის დოზის გადაჭარბების ანტიდოტი არ არსებობს.</w:t>
      </w:r>
    </w:p>
    <w:p w14:paraId="11DBD8F4" w14:textId="77777777" w:rsidR="008B1423" w:rsidRPr="00BE4F57" w:rsidRDefault="008B1423" w:rsidP="00A14CA6">
      <w:pPr>
        <w:spacing w:after="0" w:line="240" w:lineRule="auto"/>
        <w:jc w:val="both"/>
        <w:rPr>
          <w:rFonts w:ascii="Sylfaen" w:hAnsi="Sylfaen" w:cs="Sylfaen"/>
          <w:sz w:val="24"/>
          <w:szCs w:val="24"/>
          <w:lang w:val="ka-GE"/>
        </w:rPr>
      </w:pPr>
    </w:p>
    <w:p w14:paraId="3A1EBCCB" w14:textId="77777777" w:rsidR="008B1423" w:rsidRPr="00BE4F57" w:rsidRDefault="008B1423" w:rsidP="00A14CA6">
      <w:pPr>
        <w:spacing w:after="0" w:line="240" w:lineRule="auto"/>
        <w:jc w:val="both"/>
        <w:rPr>
          <w:rFonts w:ascii="Sylfaen" w:hAnsi="Sylfaen" w:cs="Sylfaen"/>
          <w:i/>
          <w:sz w:val="24"/>
          <w:szCs w:val="24"/>
          <w:lang w:val="ka-GE"/>
        </w:rPr>
      </w:pPr>
    </w:p>
    <w:p w14:paraId="483D7B68"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5. ფარმაკოლოგიური თვისებები</w:t>
      </w:r>
    </w:p>
    <w:p w14:paraId="79B41F71" w14:textId="77777777" w:rsidR="008B1423" w:rsidRPr="00BE4F57" w:rsidRDefault="008B1423" w:rsidP="00A14CA6">
      <w:pPr>
        <w:spacing w:after="0" w:line="240" w:lineRule="auto"/>
        <w:jc w:val="both"/>
        <w:rPr>
          <w:rFonts w:ascii="Sylfaen" w:hAnsi="Sylfaen"/>
          <w:sz w:val="24"/>
          <w:szCs w:val="24"/>
          <w:u w:val="single"/>
          <w:lang w:val="ka-GE"/>
        </w:rPr>
      </w:pPr>
    </w:p>
    <w:p w14:paraId="0E272A04"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ფარმაკოთერაპიული ჯგუფი: </w:t>
      </w:r>
    </w:p>
    <w:p w14:paraId="0F83879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ანტიდეპრესანტები ფსიქოლეპტიკებთან კომბინაციაში</w:t>
      </w:r>
    </w:p>
    <w:p w14:paraId="43F55ECF" w14:textId="77777777" w:rsidR="008B1423" w:rsidRPr="00BE4F57" w:rsidRDefault="008B1423" w:rsidP="00A14CA6">
      <w:pPr>
        <w:spacing w:after="0" w:line="240" w:lineRule="auto"/>
        <w:jc w:val="both"/>
        <w:rPr>
          <w:rFonts w:ascii="Sylfaen" w:hAnsi="Sylfaen"/>
          <w:sz w:val="24"/>
          <w:szCs w:val="24"/>
          <w:lang w:val="ka-GE"/>
        </w:rPr>
      </w:pPr>
    </w:p>
    <w:p w14:paraId="3742F27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ათქ კოდი: N06CA03</w:t>
      </w:r>
    </w:p>
    <w:p w14:paraId="1E5C4261" w14:textId="77777777" w:rsidR="008B1423" w:rsidRPr="00BE4F57" w:rsidRDefault="008B1423" w:rsidP="00A14CA6">
      <w:pPr>
        <w:spacing w:after="0" w:line="240" w:lineRule="auto"/>
        <w:jc w:val="both"/>
        <w:rPr>
          <w:rFonts w:ascii="Sylfaen" w:hAnsi="Sylfaen"/>
          <w:b/>
          <w:sz w:val="24"/>
          <w:szCs w:val="24"/>
          <w:lang w:val="ka-GE"/>
        </w:rPr>
      </w:pPr>
    </w:p>
    <w:p w14:paraId="546B4ED7"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5.1. ფარმაკოდინამიკური თვისებები</w:t>
      </w:r>
    </w:p>
    <w:p w14:paraId="33BC728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მიუხედავად იმისა, რომ ოლანზაპინისა და ფლუოქსეტინის კომბინაციის მოქმედების ზუსტი მექანიზმი უცნობია, ვარაუდობენ, რომ 3 მონოამინერგული ნერვული სისტემის (სეროტონინი, ნორეპინეფრინი და დოფამინი) აქტივაცია პასუხისმგებელია მის გაძლიერებულ ანტიდეპრესანტულ ეფექტზე.</w:t>
      </w:r>
    </w:p>
    <w:p w14:paraId="5F81CE5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 მაღალი აფინურობით უკავშირდება შემდეგ რეცეპტორებს: სეროტონინი 5HT</w:t>
      </w:r>
      <w:r w:rsidRPr="00BE4F57">
        <w:rPr>
          <w:rFonts w:ascii="Sylfaen" w:hAnsi="Sylfaen"/>
          <w:sz w:val="24"/>
          <w:szCs w:val="24"/>
          <w:vertAlign w:val="subscript"/>
          <w:lang w:val="ka-GE"/>
        </w:rPr>
        <w:t>2A/2C</w:t>
      </w:r>
      <w:r w:rsidRPr="00BE4F57">
        <w:rPr>
          <w:rFonts w:ascii="Sylfaen" w:hAnsi="Sylfaen"/>
          <w:sz w:val="24"/>
          <w:szCs w:val="24"/>
          <w:lang w:val="ka-GE"/>
        </w:rPr>
        <w:t>, 5-HT6, დოფამინი D</w:t>
      </w:r>
      <w:r w:rsidRPr="00BE4F57">
        <w:rPr>
          <w:rFonts w:ascii="Sylfaen" w:hAnsi="Sylfaen"/>
          <w:sz w:val="24"/>
          <w:szCs w:val="24"/>
          <w:vertAlign w:val="subscript"/>
          <w:lang w:val="ka-GE"/>
        </w:rPr>
        <w:t>1-4</w:t>
      </w:r>
      <w:r w:rsidRPr="00BE4F57">
        <w:rPr>
          <w:rFonts w:ascii="Sylfaen" w:hAnsi="Sylfaen"/>
          <w:sz w:val="24"/>
          <w:szCs w:val="24"/>
          <w:lang w:val="ka-GE"/>
        </w:rPr>
        <w:t>, ჰისტამინ H</w:t>
      </w:r>
      <w:r w:rsidRPr="00BE4F57">
        <w:rPr>
          <w:rFonts w:ascii="Sylfaen" w:hAnsi="Sylfaen"/>
          <w:sz w:val="24"/>
          <w:szCs w:val="24"/>
          <w:vertAlign w:val="subscript"/>
          <w:lang w:val="ka-GE"/>
        </w:rPr>
        <w:t>1</w:t>
      </w:r>
      <w:r w:rsidRPr="00BE4F57">
        <w:rPr>
          <w:rFonts w:ascii="Sylfaen" w:hAnsi="Sylfaen"/>
          <w:sz w:val="24"/>
          <w:szCs w:val="24"/>
          <w:lang w:val="ka-GE"/>
        </w:rPr>
        <w:t xml:space="preserve"> და ადრენერგული α</w:t>
      </w:r>
      <w:r w:rsidRPr="00BE4F57">
        <w:rPr>
          <w:rFonts w:ascii="Sylfaen" w:hAnsi="Sylfaen"/>
          <w:sz w:val="24"/>
          <w:szCs w:val="24"/>
          <w:vertAlign w:val="subscript"/>
          <w:lang w:val="ka-GE"/>
        </w:rPr>
        <w:t>1</w:t>
      </w:r>
      <w:r w:rsidRPr="00BE4F57">
        <w:rPr>
          <w:rFonts w:ascii="Sylfaen" w:hAnsi="Sylfaen"/>
          <w:sz w:val="24"/>
          <w:szCs w:val="24"/>
          <w:lang w:val="ka-GE"/>
        </w:rPr>
        <w:t xml:space="preserve"> რეცეპტორები. ოლანზაპინი არის ანტაგონისტი, რომელსაც აქვს ზომიერი აფინურობა სეროტონინ 5HT</w:t>
      </w:r>
      <w:r w:rsidRPr="00BE4F57">
        <w:rPr>
          <w:rFonts w:ascii="Sylfaen" w:hAnsi="Sylfaen"/>
          <w:sz w:val="24"/>
          <w:szCs w:val="24"/>
          <w:vertAlign w:val="subscript"/>
          <w:lang w:val="ka-GE"/>
        </w:rPr>
        <w:t>3</w:t>
      </w:r>
      <w:r w:rsidRPr="00BE4F57">
        <w:rPr>
          <w:rFonts w:ascii="Sylfaen" w:hAnsi="Sylfaen"/>
          <w:sz w:val="24"/>
          <w:szCs w:val="24"/>
          <w:lang w:val="ka-GE"/>
        </w:rPr>
        <w:t>-ის და მუსკარინული M</w:t>
      </w:r>
      <w:r w:rsidRPr="00BE4F57">
        <w:rPr>
          <w:rFonts w:ascii="Sylfaen" w:hAnsi="Sylfaen"/>
          <w:sz w:val="24"/>
          <w:szCs w:val="24"/>
          <w:vertAlign w:val="subscript"/>
          <w:lang w:val="ka-GE"/>
        </w:rPr>
        <w:t>1-5</w:t>
      </w:r>
      <w:r w:rsidRPr="00BE4F57">
        <w:rPr>
          <w:rFonts w:ascii="Sylfaen" w:hAnsi="Sylfaen"/>
          <w:sz w:val="24"/>
          <w:szCs w:val="24"/>
          <w:lang w:val="ka-GE"/>
        </w:rPr>
        <w:t>-ის მიმართ. ოლანზაპინი სუსტად უკავშირდება GABA</w:t>
      </w:r>
      <w:r w:rsidRPr="00BE4F57">
        <w:rPr>
          <w:rFonts w:ascii="Sylfaen" w:hAnsi="Sylfaen"/>
          <w:sz w:val="24"/>
          <w:szCs w:val="24"/>
          <w:vertAlign w:val="subscript"/>
          <w:lang w:val="ka-GE"/>
        </w:rPr>
        <w:t>A</w:t>
      </w:r>
      <w:r w:rsidRPr="00BE4F57">
        <w:rPr>
          <w:rFonts w:ascii="Sylfaen" w:hAnsi="Sylfaen"/>
          <w:sz w:val="24"/>
          <w:szCs w:val="24"/>
          <w:lang w:val="ka-GE"/>
        </w:rPr>
        <w:t>, BZD და β-ადრენერგულ რეცეპტორებს. ფლუოქსეტინი არის სეროტონინის ტრანსპორტერის ინჰიბიტორი და წარმოადგენს ნორეპინეფრინის და დოფამინის ტრანსპორტერების სუსტ ინჰიბიტორს.</w:t>
      </w:r>
    </w:p>
    <w:p w14:paraId="11D62678" w14:textId="77777777" w:rsidR="008B1423" w:rsidRPr="00BE4F57" w:rsidRDefault="008B1423" w:rsidP="00A14CA6">
      <w:pPr>
        <w:spacing w:after="0" w:line="240" w:lineRule="auto"/>
        <w:jc w:val="both"/>
        <w:rPr>
          <w:rFonts w:ascii="Sylfaen" w:hAnsi="Sylfaen"/>
          <w:sz w:val="24"/>
          <w:szCs w:val="24"/>
          <w:lang w:val="ka-GE"/>
        </w:rPr>
      </w:pPr>
    </w:p>
    <w:p w14:paraId="5F8E7FE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ოლანზაპინისა და ფლუოქსეტინის კომბინაციის უსაფრთხოება და ეფექტურობა ბიპოლარული I აშლილობასთან ასოცირებული დეპრესიული ეპიზოდების მწვავე მკურნალობისას 10-დან 17 წლამდე ასაკის პაციენტებში დადგინდა ერთჯერად, 8-კვირიან, რანდომიზებულ, პლაცებო-კონტროლირებად კლინიკურ კვლევაში (N=255). პაციენტებს მკურნალობა დაეწყოთ დოზით 3/25 მგ დღეში და ორი კვირის განმავლობაში იძულებით ტიტრირდებოდა მაქსიმალურ დოზამდე 12/50 მგ დღეში. მე-2 კვირის შემდეგ, ოლანზაპინისა და ფლუოქსეტინის კომბინაციის დოზირება მოქნილად შეჰყავდათ 6/25, 6/50 ან 12/50 მგ/დღეში დიაპაზონში. საშუალო დოზა იყო ოლანზაპინი 7.7 მგ და ფლუოქსეტინი 37.6 მგ. ბავშვებსა და მოზარდებში რეკომენდებული საწყისი დოზა შეადგენს 3/25 მგ დღეში (უფრო დაბალი, ვიდრე მოზრდილებში). კვლევაში გამოყენებული იძულებითი ტიტრაციის ნაცვლად რეკომენდებულია მოქნილი დოზირება (იხილეთ ნაწილი 4.2 დოზირება და გამოყენების მეთოდი). </w:t>
      </w:r>
    </w:p>
    <w:p w14:paraId="78CE284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ოლანზაპინისა და ფლუოქსეტინის კომბინაციის გამოყენებისას ბავშვებში და მოზარდებში დაფიქსირებული გვერდითი მოვლენების ტიპები ზოგადად მსგავსი იყო მოზრდილებში დაფიქსირებული მოვლენებისა. თუმცა, ზოგიერთი ცვლილების მასშტაბი და სიხშირე ბავშვებსა და მოზარდებში უფრო მეტია, ვიდრე მოზრდილებში. ესენია ლიპიდების, ღვიძლის ფერმენტების და პროლაქტინის მომატება და QT ინტერვალის გახანგრძლივება (იხილეთ ნაწილი 4.4. განსაკუთრებული გაფრთხილებები გამოყენებისას და უსაფრთხოების ზომები). ოლანზაპინისა და ფლუოქსეტინის კომბინაციით ნამკურნალებ ბავშვებსა და მოზარდებში წონის 7%-ით ან მეტით მატების სიხშირე და ლიპიდების, ღვიძლის ანალიტების და პროლაქტინის დონის მატების სიდიდე და სიხშირე მსგავსი იყო ოლანზაპინით მონოთერაპიის დროს მოზარდებში დაფიქსირებული მოვლენებისა.</w:t>
      </w:r>
    </w:p>
    <w:p w14:paraId="17ECC1DB" w14:textId="77777777" w:rsidR="008B1423" w:rsidRPr="00BE4F57" w:rsidRDefault="008B1423" w:rsidP="00A14CA6">
      <w:pPr>
        <w:spacing w:after="0" w:line="240" w:lineRule="auto"/>
        <w:jc w:val="both"/>
        <w:rPr>
          <w:rFonts w:ascii="Sylfaen" w:hAnsi="Sylfaen"/>
          <w:sz w:val="24"/>
          <w:szCs w:val="24"/>
          <w:lang w:val="ka-GE"/>
        </w:rPr>
      </w:pPr>
    </w:p>
    <w:p w14:paraId="70D5A4B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დემენციასთან დაკავშირებული ფსიქოზის მქონე ხანდაზმულ პაციენტებში ოლანზაპინის 5 პლაცებო-კონტროლირებად კვლევაში (n=1184), შემდეგი გვერდითი მოვლენები დაფიქსირდა ოლანზაპინით ნამკურნალებ პაციენტთა სულ მცირე 2%-ში და მნიშვნელოვნად მაღალი სიხშირით, ვიდრე პლაცებოთი ნამკურნალებ პაციენტებში: დაცემა, ძილიანობა, პერიფერიული შეშუპება, სიარულის დარღვევა, შარდის შეუკავებლობა, ლეთარგია, წონის მატება, ასთენია, პირექსია, პნევმონია, პირის სიმშრალე და მხედველობითი ჰალუცინაციები. გვერდითი ეფექტების გამო მკურნალობის შეწყვეტის მაჩვენებელი მნიშვნელოვნად მაღალი იყო ოლანზაპინის ჯგუფში პლაცებოსთან შედარებით (13% 7%-თან შედარებით). დემენციასთან დაკავშირებული ფსიქოზის მქონე ხანდაზმულ პაციენტებს, რომლებიც ოლანზაპინით მკურნალობდნენ, სიკვდილის უფრო მაღალი რისკი აქვთ პლაცებოსთან შედარებით.</w:t>
      </w:r>
    </w:p>
    <w:p w14:paraId="4F1D8049" w14:textId="77777777" w:rsidR="008B1423" w:rsidRPr="00BE4F57" w:rsidRDefault="008B1423" w:rsidP="00A14CA6">
      <w:pPr>
        <w:spacing w:after="0" w:line="240" w:lineRule="auto"/>
        <w:jc w:val="both"/>
        <w:rPr>
          <w:rFonts w:ascii="Sylfaen" w:hAnsi="Sylfaen"/>
          <w:sz w:val="24"/>
          <w:szCs w:val="24"/>
          <w:lang w:val="ka-GE"/>
        </w:rPr>
      </w:pPr>
    </w:p>
    <w:p w14:paraId="39CF4F28" w14:textId="77777777" w:rsidR="008B1423" w:rsidRPr="00BE4F57" w:rsidRDefault="008B1423" w:rsidP="00A14CA6">
      <w:pPr>
        <w:spacing w:after="0" w:line="240" w:lineRule="auto"/>
        <w:jc w:val="both"/>
        <w:rPr>
          <w:rFonts w:ascii="Sylfaen" w:hAnsi="Sylfaen"/>
          <w:sz w:val="24"/>
          <w:szCs w:val="24"/>
          <w:lang w:val="ka-GE"/>
        </w:rPr>
      </w:pPr>
    </w:p>
    <w:p w14:paraId="611C74D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5.2 ფარმაკოკინეტიკური თვისებები</w:t>
      </w:r>
    </w:p>
    <w:p w14:paraId="1BBA541D" w14:textId="77777777" w:rsidR="008B1423" w:rsidRPr="00BE4F57" w:rsidRDefault="008B1423" w:rsidP="00A14CA6">
      <w:pPr>
        <w:spacing w:after="0" w:line="240" w:lineRule="auto"/>
        <w:jc w:val="both"/>
        <w:rPr>
          <w:rFonts w:ascii="Sylfaen" w:hAnsi="Sylfaen"/>
          <w:b/>
          <w:sz w:val="24"/>
          <w:szCs w:val="24"/>
          <w:lang w:val="ka-GE"/>
        </w:rPr>
      </w:pPr>
    </w:p>
    <w:p w14:paraId="56399C5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ზოგადი თვისებები</w:t>
      </w:r>
    </w:p>
    <w:p w14:paraId="7B30DF6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ფლუოქსეტინმა (60 მგ ერთჯერადი დოზა ან 60 მგ დღეში 8 დღის განმავლობაში) გამოიწვია ოლანზაპინის საშუალო მაქსიმალური კონცენტრაციის (16%) მცირე ზრდა 5 მგ დოზის შემდეგ, მრუდის ქვეშ საშუალო ფართობის ზრდა (17%) და ოლანზაპინის საშუალო მოჩვენებითი კლირენსის მცირე შემცირება (16%). სხვა კვლევაში, ოლანზაპინის მოჩვენებითი კლირენსის მსგავსი 14%-იანი შემცირება დაფიქსირდა ოლანზაპინის 6 ან 12 მგ დოზით მიღების შემდეგ ფლუოქსეტინთან ერთად 25 მგ ან მეტი დოზით მიღების შემდეგ. კლირენსის შემცირება მიუთითებს ბიოშეღწევადობის ზრდაზე. ტერმინალური ნახევარგამოყოფის პერიოდი უცვლელია; ამიტომ, წონასწორული მდგომარეობის მიღწევის დრო არ უნდა შეიცვალოს. თერაპიული დოზების დიაპაზონში ერთად მიღებისას, ოლანზაპინის და ფლუოქსეტინის წონასწორული მდგომარეობის პლაზმური კონცენტრაციები შედარებადი იყო თითოეული საშუალების მონოთერაპიის დროს მიღწეულ კონცენტრაციებთან. ორივე კვლევაში დაფიქსირებული ოლანზაპინის კლირენსის მცირე ცვლილება, სავარაუდოდ, ასახავს ოლანზაპინის უმნიშვნელო მეტაბოლური გზის ინჰიბირებას CYP2D6-ის მეშვეობით ფლუოქსეტინით, რომელიც CYP2D6-ის ძლიერი ინჰიბიტორია და კლინიკურად მნიშვნელოვნად არ ჩაითვალა. ამიტომ, მოსალოდნელია, რომ ცალკეული კომპონენტების ფარმაკოკინეტიკა გონივრულად ახასიათებს კომბინაციის ფარმაკოკინეტიკას მთლიანობაში.</w:t>
      </w:r>
    </w:p>
    <w:p w14:paraId="1CF81631" w14:textId="77777777" w:rsidR="008B1423" w:rsidRPr="00BE4F57" w:rsidRDefault="008B1423" w:rsidP="00A14CA6">
      <w:pPr>
        <w:spacing w:after="0" w:line="240" w:lineRule="auto"/>
        <w:jc w:val="both"/>
        <w:rPr>
          <w:rFonts w:ascii="Sylfaen" w:hAnsi="Sylfaen"/>
          <w:i/>
          <w:sz w:val="24"/>
          <w:szCs w:val="24"/>
          <w:u w:val="single"/>
          <w:lang w:val="ka-GE"/>
        </w:rPr>
      </w:pPr>
    </w:p>
    <w:p w14:paraId="74781543"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აბსორბცია</w:t>
      </w:r>
    </w:p>
    <w:p w14:paraId="3DD4A5C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12 მგ/50 მგ ოლანზაპინისა და ფლუოქსეტინის კომბინაციის ერთჯერადი პერორალური დოზის შემდეგ, ოლანზაპინისა და ფლუოქსეტინის პიკური პლაზმური კონცენტრაცია მიიღწევა დაახლოებით 4 და 6 საათში, შესაბამისად. საკვების გავლენა ოლანზაპინისა და ფლუოქსეტინის </w:t>
      </w:r>
      <w:r w:rsidRPr="00BE4F57">
        <w:rPr>
          <w:rFonts w:ascii="Sylfaen" w:hAnsi="Sylfaen"/>
          <w:sz w:val="24"/>
          <w:szCs w:val="24"/>
          <w:lang w:val="ka-GE"/>
        </w:rPr>
        <w:lastRenderedPageBreak/>
        <w:t xml:space="preserve">კომბინაციის შეწოვასა და ბიოშეღწევადობაზე არ არის შეფასებული. საკვები გავლენას არ ახდენს ოლანზაპინისა და ფლუოქსეტინის ბიოშეღწევადობაზე. ნაკლებად სავარაუდოა, რომ საკვებს მნიშვნელოვანი გავლენა ჰქონდეს რექსეპი კომბის ბიოშეღწევადობაზე. </w:t>
      </w:r>
    </w:p>
    <w:p w14:paraId="21E86F4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ოლანზაპინი კარგად აბსორბირდება და პიკურ კონცენტრაციას აღწევს პერორალური დოზის მიღებიდან დაახლოებით 6 საათში. საკვები გავლენას არ ახდენს ოლანზაპინის შეწოვის სიჩქარეზე ან ხარისხზე. ის ფართოდ გამოიყოფა პირველი გავლის მეტაბოლიზმით, დოზის დაახლოებით 40% მეტაბოლიზდება სისტემურ ცირკულაციაში მოხვედრამდე.</w:t>
      </w:r>
    </w:p>
    <w:p w14:paraId="6D01C22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- 40 მგ ერთჯერადი პერორალური დოზის შემდეგ, ფლუოქსეტინის პიკური პლაზმური კონცენტრაცია 15-დან 55 ნგ/მლ-მდე აღინიშნება 6-8 საათის შემდეგ. საკვები, როგორც ჩანს, არ მოქმედებს ფლუოქსეტინის სისტემურ ბიოშეღწევადობაზე, თუმცა შესაძლოა ფლუოქსეტინის შეწოვა 1-2 საათით შეაფერხოს, რაც, სავარაუდოდ, კლინიკურად მნიშვნელოვანი არ არის.</w:t>
      </w:r>
    </w:p>
    <w:p w14:paraId="7782E17B" w14:textId="77777777" w:rsidR="008B1423" w:rsidRPr="00BE4F57" w:rsidRDefault="008B1423" w:rsidP="00A14CA6">
      <w:pPr>
        <w:spacing w:after="0" w:line="240" w:lineRule="auto"/>
        <w:jc w:val="both"/>
        <w:rPr>
          <w:rFonts w:ascii="Sylfaen" w:hAnsi="Sylfaen"/>
          <w:sz w:val="24"/>
          <w:szCs w:val="24"/>
          <w:lang w:val="ka-GE"/>
        </w:rPr>
      </w:pPr>
    </w:p>
    <w:p w14:paraId="7311213E"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განაწილება</w:t>
      </w:r>
    </w:p>
    <w:p w14:paraId="7335479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კომბინაციის ადამიანის პლაზმის ცილებთან შეკავშირება in vitro მსგავსია ცალკეული კომპონენტების შეკავშირებისა.</w:t>
      </w:r>
    </w:p>
    <w:p w14:paraId="5E07BC9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ოლანზაპინი ფართოდ ნაწილდება მთელ სხეულში, განაწილების მოცულობით დაახლოებით 1000 ლიტრი. 7-დან 1100 ნგ/მლ-მდე კონცენტრაციის დიაპაზონში ის 93%-ით უკავშირდება პლაზმის ცილებს, ძირითადად ალბუმინს და α</w:t>
      </w:r>
      <w:r w:rsidRPr="00BE4F57">
        <w:rPr>
          <w:rFonts w:ascii="Sylfaen" w:hAnsi="Sylfaen"/>
          <w:sz w:val="24"/>
          <w:szCs w:val="24"/>
          <w:vertAlign w:val="subscript"/>
          <w:lang w:val="ka-GE"/>
        </w:rPr>
        <w:t>1</w:t>
      </w:r>
      <w:r w:rsidRPr="00BE4F57">
        <w:rPr>
          <w:rFonts w:ascii="Sylfaen" w:hAnsi="Sylfaen"/>
          <w:sz w:val="24"/>
          <w:szCs w:val="24"/>
          <w:lang w:val="ka-GE"/>
        </w:rPr>
        <w:t>-მჟავა გლიკოპროტეინს.</w:t>
      </w:r>
    </w:p>
    <w:p w14:paraId="69DA3C1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- 200-დან 1000 ნგ/მლ-მდე კონცენტრაციის დიაპაზონში, ფლუოქსეტინის დაახლოებით 94.5% in vitro უკავშირდება ადამიანის შრატის ცილებს, მათ შორის ალბუმინს და α</w:t>
      </w:r>
      <w:r w:rsidRPr="00BE4F57">
        <w:rPr>
          <w:rFonts w:ascii="Sylfaen" w:hAnsi="Sylfaen"/>
          <w:sz w:val="24"/>
          <w:szCs w:val="24"/>
          <w:vertAlign w:val="subscript"/>
          <w:lang w:val="ka-GE"/>
        </w:rPr>
        <w:t>1</w:t>
      </w:r>
      <w:r w:rsidRPr="00BE4F57">
        <w:rPr>
          <w:rFonts w:ascii="Sylfaen" w:hAnsi="Sylfaen"/>
          <w:sz w:val="24"/>
          <w:szCs w:val="24"/>
          <w:lang w:val="ka-GE"/>
        </w:rPr>
        <w:t>-გლიკოპროტეინს. ფლუოქსეტინსა და სხვა ცილებთან მაღალი შეკავშირების მქონე პრეპარატებს შორის ურთიერთქმედება სრულად არ არის შეფასებული. (იხილეთ ნაწილი 4.5. სხვა სამკურნალო პრეპარატებთან ურთიერთქმედება და ურთიერთქმედების სხვა ფორმები).</w:t>
      </w:r>
    </w:p>
    <w:p w14:paraId="743F9B96" w14:textId="77777777" w:rsidR="008B1423" w:rsidRPr="00BE4F57" w:rsidRDefault="008B1423" w:rsidP="00A14CA6">
      <w:pPr>
        <w:spacing w:after="0" w:line="240" w:lineRule="auto"/>
        <w:jc w:val="both"/>
        <w:rPr>
          <w:rFonts w:ascii="Sylfaen" w:hAnsi="Sylfaen"/>
          <w:i/>
          <w:sz w:val="24"/>
          <w:szCs w:val="24"/>
          <w:u w:val="single"/>
          <w:lang w:val="ka-GE"/>
        </w:rPr>
      </w:pPr>
    </w:p>
    <w:p w14:paraId="4740BEE8"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ბიოტრანსფორმაცია</w:t>
      </w:r>
    </w:p>
    <w:p w14:paraId="19E8960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კომბინირებული თერაპიის შედეგად ნორფლუოქსეტინის წონასწორული კონცენტრაციები თერაპიული დოზების დიაპაზონში ფლუოქსეტინის მსგავსია.</w:t>
      </w:r>
    </w:p>
    <w:p w14:paraId="0AD0A34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ოლანზაპინი კლინიკურ დოზირების დიაპაზონში ავლენს წრფივ ფარმაკოკინეტიკას. მისი ნახევარგამოყოფის პერიოდი მერყეობს 21-დან 54 საათამდე (მე-5-დან 95-ე პროცენტილამდე; საშუალოდ 30 საათი), ხოლო პლაზმური კლირენსი მერყეობს 12-დან 47 ლ/სთ-მდე (მე-5-დან 95-ე პროცენტილამდე; საშუალოდ 25 ლ/სთ). ოლანზაპინის დღეში ერთხელ მიღება დაახლოებით 1 კვირაში იწვევს წონასწორული კონცენტრაციების მიღწევას, რაც დაახლოებით ორჯერ აღემატება ერთჯერადი დოზების მიღების შემდეგ კონცენტრაციებს. პლაზმური კონცენტრაციები, ნახევარგამოყოფის პერიოდი და ოლანზაპინის კლირენსი შეიძლება განსხვავდებოდეს ინდივიდებს შორის მწეველობის სტატუსის, სქესისა და ასაკის მიხედვით. (იხილეთ ნაწილი 4.2 დოზირება და გამოყენების მეთოდი და ნაწილი 5. ფარმაკოლოგიური თვისებები). </w:t>
      </w:r>
    </w:p>
    <w:p w14:paraId="011388C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14C-ით მარკირებული ოლანზაპინის ერთჯერადი პერორალური დოზის შემდეგ, ოლანზაპინის დოზის 7% შარდში უცვლელი სახით აღმოჩენილ იქნა, რაც მიუთითებს ოლანზაპინის მაღალ მეტაბოლიზმზე. დოზის დაახლოებით 57% და 30% შარდსა და განავალში განისაზღვრა, შესაბამისად. პლაზმაში ოლანზაპინი შეადგენდა საერთო რადიოაქტიურობის AUC-ის მხოლოდ 12%-ს, რაც მიუთითებს მეტაბოლიტების მნიშვნელოვან ზემოქმედებაზე. მრავალჯერადი დოზირების შემდეგ, ძირითადი მოცირკულირე მეტაბოლიტები იყო 10-N-გლუკურონიდი, რომელიც წონასწორულ მდგომარეობაშია ოლანზაპინის 44% კონცენტრაციისას და 4′-N-დესმეთილ ოლანზაპინი, რომელიც წონასწორულ მდგომარეობაშია ოლანზაპინის კონცენტრაციის </w:t>
      </w:r>
      <w:r w:rsidRPr="00BE4F57">
        <w:rPr>
          <w:rFonts w:ascii="Sylfaen" w:hAnsi="Sylfaen"/>
          <w:sz w:val="24"/>
          <w:szCs w:val="24"/>
          <w:lang w:val="ka-GE"/>
        </w:rPr>
        <w:lastRenderedPageBreak/>
        <w:t>31% დონეზე. ორივე მეტაბოლიტს არ გააჩნია ფარმაკოლოგიური აქტივობა დაკვირვებული კონცენტრაციებისას.</w:t>
      </w:r>
    </w:p>
    <w:p w14:paraId="6572C215" w14:textId="77777777" w:rsidR="008B1423" w:rsidRPr="00BE4F57" w:rsidRDefault="008B1423" w:rsidP="00A14CA6">
      <w:pPr>
        <w:spacing w:after="0" w:line="240" w:lineRule="auto"/>
        <w:jc w:val="both"/>
        <w:rPr>
          <w:rFonts w:ascii="Sylfaen" w:hAnsi="Sylfaen"/>
          <w:sz w:val="24"/>
          <w:szCs w:val="24"/>
          <w:lang w:val="ka-GE"/>
        </w:rPr>
      </w:pPr>
    </w:p>
    <w:p w14:paraId="7E8C9BA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ოლანზაპინის ძირითადი მეტაბოლური გზებია პირდაპირი გლუკურონიდაცია და CYP450-ით განპირობებული დაჟანგვა. </w:t>
      </w:r>
      <w:r w:rsidRPr="00BE4F57">
        <w:rPr>
          <w:rFonts w:ascii="Sylfaen" w:hAnsi="Sylfaen"/>
          <w:i/>
          <w:sz w:val="24"/>
          <w:szCs w:val="24"/>
          <w:lang w:val="ka-GE"/>
        </w:rPr>
        <w:t xml:space="preserve">In vitro </w:t>
      </w:r>
      <w:r w:rsidRPr="00BE4F57">
        <w:rPr>
          <w:rFonts w:ascii="Sylfaen" w:hAnsi="Sylfaen"/>
          <w:sz w:val="24"/>
          <w:szCs w:val="24"/>
          <w:lang w:val="ka-GE"/>
        </w:rPr>
        <w:t xml:space="preserve">კვლევები აჩვენებს, რომ ოლანზაპინის დაჟანგვაში მონაწილეობენ CYP1A2, CYP2D6 და ფლავინის შემცველი მონოოქსიგენაზას სისტემა. CYP2D6-ით განპირობებული დაჟანგვა, როგორც ჩანს, არის მცირე მეტაბოლური გზა </w:t>
      </w:r>
      <w:r w:rsidRPr="00BE4F57">
        <w:rPr>
          <w:rFonts w:ascii="Sylfaen" w:hAnsi="Sylfaen"/>
          <w:i/>
          <w:sz w:val="24"/>
          <w:szCs w:val="24"/>
          <w:lang w:val="ka-GE"/>
        </w:rPr>
        <w:t>in vivo</w:t>
      </w:r>
      <w:r w:rsidRPr="00BE4F57">
        <w:rPr>
          <w:rFonts w:ascii="Sylfaen" w:hAnsi="Sylfaen"/>
          <w:sz w:val="24"/>
          <w:szCs w:val="24"/>
          <w:lang w:val="ka-GE"/>
        </w:rPr>
        <w:t>, რადგან ოლანზაპინის კლირენსი არ მცირდება იმ პირებში, რომლებსაც ამ ფერმენტის დეფიციტი აქვთ.</w:t>
      </w:r>
    </w:p>
    <w:p w14:paraId="733B92C1" w14:textId="77777777" w:rsidR="008B1423" w:rsidRPr="00BE4F57" w:rsidRDefault="008B1423" w:rsidP="00A14CA6">
      <w:pPr>
        <w:spacing w:after="0" w:line="240" w:lineRule="auto"/>
        <w:jc w:val="both"/>
        <w:rPr>
          <w:rFonts w:ascii="Sylfaen" w:hAnsi="Sylfaen"/>
          <w:i/>
          <w:sz w:val="24"/>
          <w:szCs w:val="24"/>
          <w:u w:val="single"/>
          <w:lang w:val="ka-GE"/>
        </w:rPr>
      </w:pPr>
    </w:p>
    <w:p w14:paraId="4F79EE8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ფლუოქსეტინი წარმოადგენს </w:t>
      </w:r>
      <w:r w:rsidRPr="00BE4F57">
        <w:rPr>
          <w:rFonts w:ascii="Sylfaen" w:hAnsi="Sylfaen"/>
          <w:i/>
          <w:sz w:val="24"/>
          <w:szCs w:val="24"/>
          <w:lang w:val="ka-GE"/>
        </w:rPr>
        <w:t>R</w:t>
      </w:r>
      <w:r w:rsidRPr="00BE4F57">
        <w:rPr>
          <w:rFonts w:ascii="Sylfaen" w:hAnsi="Sylfaen"/>
          <w:sz w:val="24"/>
          <w:szCs w:val="24"/>
          <w:lang w:val="ka-GE"/>
        </w:rPr>
        <w:t xml:space="preserve">-ფლუოქსეტინის და </w:t>
      </w:r>
      <w:r w:rsidRPr="00BE4F57">
        <w:rPr>
          <w:rFonts w:ascii="Sylfaen" w:hAnsi="Sylfaen"/>
          <w:i/>
          <w:sz w:val="24"/>
          <w:szCs w:val="24"/>
          <w:lang w:val="ka-GE"/>
        </w:rPr>
        <w:t>S</w:t>
      </w:r>
      <w:r w:rsidRPr="00BE4F57">
        <w:rPr>
          <w:rFonts w:ascii="Sylfaen" w:hAnsi="Sylfaen"/>
          <w:sz w:val="24"/>
          <w:szCs w:val="24"/>
          <w:lang w:val="ka-GE"/>
        </w:rPr>
        <w:t xml:space="preserve">-ფლუოქსეტინის ენანტიომერების რაცემულ ნარევს (50/50). ცხოველების მოდელებში, ორივე ენანტიომერი წარმოადგენს სეროტონინის მიტაცების სპეციფიკურ და ძლიერ ინჰიბიტორებს, რომლებსაც არსებითად ექვივალენტური ფარმაკოლოგიური აქტივობა აქვთ. </w:t>
      </w:r>
      <w:r w:rsidRPr="00BE4F57">
        <w:rPr>
          <w:rFonts w:ascii="Sylfaen" w:hAnsi="Sylfaen"/>
          <w:i/>
          <w:sz w:val="24"/>
          <w:szCs w:val="24"/>
          <w:lang w:val="ka-GE"/>
        </w:rPr>
        <w:t>S</w:t>
      </w:r>
      <w:r w:rsidRPr="00BE4F57">
        <w:rPr>
          <w:rFonts w:ascii="Sylfaen" w:hAnsi="Sylfaen"/>
          <w:sz w:val="24"/>
          <w:szCs w:val="24"/>
          <w:lang w:val="ka-GE"/>
        </w:rPr>
        <w:t>-ფლუოქსეტინის ენანტიომერი უფრო ნელა ელიმინირდება და წარმოადგენს პლაზმაში პრედომინანტურ ენანტიომერს წონასწორულ მდგომარეობაში.</w:t>
      </w:r>
    </w:p>
    <w:p w14:paraId="13C060A0" w14:textId="77777777" w:rsidR="008B1423" w:rsidRPr="00BE4F57" w:rsidRDefault="008B1423" w:rsidP="00A14CA6">
      <w:pPr>
        <w:spacing w:after="0" w:line="240" w:lineRule="auto"/>
        <w:jc w:val="both"/>
        <w:rPr>
          <w:rFonts w:ascii="Sylfaen" w:hAnsi="Sylfaen"/>
          <w:sz w:val="24"/>
          <w:szCs w:val="24"/>
          <w:lang w:val="ka-GE"/>
        </w:rPr>
      </w:pPr>
    </w:p>
    <w:p w14:paraId="56479AB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 ინტენსიურად მეტაბოლიზდება ღვიძლში CYP2D6 გზით მის ერთადერთ იდენტიფიცირებულ აქტიურ მეტაბოლიტად, ნორფლუოქსეტინად. არსებობს არაერთი დაუდგენელი მეტაბოლიტი.</w:t>
      </w:r>
    </w:p>
    <w:p w14:paraId="140727FD" w14:textId="77777777" w:rsidR="008B1423" w:rsidRPr="00BE4F57" w:rsidRDefault="008B1423" w:rsidP="00A14CA6">
      <w:pPr>
        <w:spacing w:after="0" w:line="240" w:lineRule="auto"/>
        <w:jc w:val="both"/>
        <w:rPr>
          <w:rFonts w:ascii="Sylfaen" w:hAnsi="Sylfaen"/>
          <w:sz w:val="24"/>
          <w:szCs w:val="24"/>
          <w:lang w:val="ka-GE"/>
        </w:rPr>
      </w:pPr>
    </w:p>
    <w:p w14:paraId="7195CFA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ცხოველებზე ჩატარებულ ექსპერიმენტებში, S-ნორფლუოქსეტინი წარმოადგენს სეროტონინის მიტაცების ძლიერ და სელექტიურ ინჰიბიტორს და აქვს აქტივობა, რომელიც არსებითად ექვივალენტურია </w:t>
      </w:r>
      <w:r w:rsidRPr="00BE4F57">
        <w:rPr>
          <w:rFonts w:ascii="Sylfaen" w:hAnsi="Sylfaen"/>
          <w:i/>
          <w:sz w:val="24"/>
          <w:szCs w:val="24"/>
          <w:lang w:val="ka-GE"/>
        </w:rPr>
        <w:t>R-</w:t>
      </w:r>
      <w:r w:rsidRPr="00BE4F57">
        <w:rPr>
          <w:rFonts w:ascii="Sylfaen" w:hAnsi="Sylfaen"/>
          <w:sz w:val="24"/>
          <w:szCs w:val="24"/>
          <w:lang w:val="ka-GE"/>
        </w:rPr>
        <w:t xml:space="preserve"> ან </w:t>
      </w:r>
      <w:r w:rsidRPr="00BE4F57">
        <w:rPr>
          <w:rFonts w:ascii="Sylfaen" w:hAnsi="Sylfaen"/>
          <w:i/>
          <w:sz w:val="24"/>
          <w:szCs w:val="24"/>
          <w:lang w:val="ka-GE"/>
        </w:rPr>
        <w:t>S</w:t>
      </w:r>
      <w:r w:rsidRPr="00BE4F57">
        <w:rPr>
          <w:rFonts w:ascii="Sylfaen" w:hAnsi="Sylfaen"/>
          <w:sz w:val="24"/>
          <w:szCs w:val="24"/>
          <w:lang w:val="ka-GE"/>
        </w:rPr>
        <w:t xml:space="preserve">-ფლუოქსეტინისა. </w:t>
      </w:r>
      <w:r w:rsidRPr="00BE4F57">
        <w:rPr>
          <w:rFonts w:ascii="Sylfaen" w:hAnsi="Sylfaen"/>
          <w:i/>
          <w:sz w:val="24"/>
          <w:szCs w:val="24"/>
          <w:lang w:val="ka-GE"/>
        </w:rPr>
        <w:t>R</w:t>
      </w:r>
      <w:r w:rsidRPr="00BE4F57">
        <w:rPr>
          <w:rFonts w:ascii="Sylfaen" w:hAnsi="Sylfaen"/>
          <w:sz w:val="24"/>
          <w:szCs w:val="24"/>
          <w:lang w:val="ka-GE"/>
        </w:rPr>
        <w:t>-ნორფლუოქსეტინი მნიშვნელოვნად ნაკლებად ძლიერია, ვიდრე საწყისი პრეპარატი სეროტონინის მიტაცების ინჰიბირების თვალსაზრისით. ელიმინაციის ძირითადი გზა, როგორც ჩანს, ღვიძლისმიერ მეტაბოლიზმს წარმოადგენს თირკმლებით გამოყოფილი არააქტიური მეტაბოლიტების წარმოქმნით.</w:t>
      </w:r>
    </w:p>
    <w:p w14:paraId="1B4C2318" w14:textId="77777777" w:rsidR="008B1423" w:rsidRPr="00BE4F57" w:rsidRDefault="008B1423" w:rsidP="00A14CA6">
      <w:pPr>
        <w:spacing w:after="0" w:line="240" w:lineRule="auto"/>
        <w:jc w:val="both"/>
        <w:rPr>
          <w:rFonts w:ascii="Sylfaen" w:hAnsi="Sylfaen"/>
          <w:sz w:val="24"/>
          <w:szCs w:val="24"/>
          <w:lang w:val="ka-GE"/>
        </w:rPr>
      </w:pPr>
    </w:p>
    <w:p w14:paraId="52EB1913"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ბიოტრანსფორმაციასთან დაკავშირებული კლინიკური საკითხები</w:t>
      </w:r>
    </w:p>
    <w:p w14:paraId="202DC11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ფლუოქსეტინის მეტაბოლიზმის სირთულეს რამდენიმე შედეგი აქვს, რამაც შესაძლოა პოტენციურად იმოქმედოს რექსეპი კომბის კლინიკურ გამოყენებაზე. </w:t>
      </w:r>
    </w:p>
    <w:p w14:paraId="1654C13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i/>
          <w:sz w:val="24"/>
          <w:szCs w:val="24"/>
          <w:lang w:val="ka-GE"/>
        </w:rPr>
        <w:t>მეტაბოლიზმის ცვალებადობა</w:t>
      </w:r>
      <w:r w:rsidRPr="00BE4F57">
        <w:rPr>
          <w:rFonts w:ascii="Sylfaen" w:hAnsi="Sylfaen"/>
          <w:sz w:val="24"/>
          <w:szCs w:val="24"/>
          <w:lang w:val="ka-GE"/>
        </w:rPr>
        <w:t xml:space="preserve"> – პოპულაციის ქვეჯგუფს (დაახლოებით 7%) აქვს წამლის მეტაბოლიზმზე პასუხისმგებელი ფერმენტის, CYP2D6-ის, შემცირებული აქტივობა. ასეთ პირებს მოიხსენიებენ, როგორც „სუსტ მეტაბოლიზატორებს“ ისეთი პრეპარატების, როგორიცაა დებრიზოქინი, დექსტრომეტორფანი და ტრიციკლური ანტიდეპრესანტები (TCA). კვლევაში, რომელიც მოიცავდა რაცემატის სახით მიღებულ მარკირებულ და არამარკირებულ ენანტიომერებს, ამ პირებმა </w:t>
      </w:r>
      <w:r w:rsidRPr="00BE4F57">
        <w:rPr>
          <w:rFonts w:ascii="Sylfaen" w:hAnsi="Sylfaen"/>
          <w:i/>
          <w:sz w:val="24"/>
          <w:szCs w:val="24"/>
          <w:lang w:val="ka-GE"/>
        </w:rPr>
        <w:t>S-</w:t>
      </w:r>
      <w:r w:rsidRPr="00BE4F57">
        <w:rPr>
          <w:rFonts w:ascii="Sylfaen" w:hAnsi="Sylfaen"/>
          <w:sz w:val="24"/>
          <w:szCs w:val="24"/>
          <w:lang w:val="ka-GE"/>
        </w:rPr>
        <w:t xml:space="preserve">ფლუოქსეტინის უფრო ნელი ტემპით  მეტაბოლიზება მოახდინეს და ამით მიაღწიეს </w:t>
      </w:r>
      <w:r w:rsidRPr="00BE4F57">
        <w:rPr>
          <w:rFonts w:ascii="Sylfaen" w:hAnsi="Sylfaen"/>
          <w:i/>
          <w:sz w:val="24"/>
          <w:szCs w:val="24"/>
          <w:lang w:val="ka-GE"/>
        </w:rPr>
        <w:t>S-</w:t>
      </w:r>
      <w:r w:rsidRPr="00BE4F57">
        <w:rPr>
          <w:rFonts w:ascii="Sylfaen" w:hAnsi="Sylfaen"/>
          <w:sz w:val="24"/>
          <w:szCs w:val="24"/>
          <w:lang w:val="ka-GE"/>
        </w:rPr>
        <w:t xml:space="preserve">ფლუოქსეტინის უფრო მაღალ კონცენტრაციებს. შესაბამისად, </w:t>
      </w:r>
      <w:r w:rsidRPr="00BE4F57">
        <w:rPr>
          <w:rFonts w:ascii="Sylfaen" w:hAnsi="Sylfaen"/>
          <w:i/>
          <w:sz w:val="24"/>
          <w:szCs w:val="24"/>
          <w:lang w:val="ka-GE"/>
        </w:rPr>
        <w:t>S</w:t>
      </w:r>
      <w:r w:rsidRPr="00BE4F57">
        <w:rPr>
          <w:rFonts w:ascii="Sylfaen" w:hAnsi="Sylfaen"/>
          <w:sz w:val="24"/>
          <w:szCs w:val="24"/>
          <w:lang w:val="ka-GE"/>
        </w:rPr>
        <w:t xml:space="preserve">-ნორფლუოქსეტინის კონცენტრაციები წონასწორულ მდგომარეობაში უფრო დაბალი იყო. </w:t>
      </w:r>
      <w:r w:rsidRPr="00BE4F57">
        <w:rPr>
          <w:rFonts w:ascii="Sylfaen" w:hAnsi="Sylfaen"/>
          <w:i/>
          <w:sz w:val="24"/>
          <w:szCs w:val="24"/>
          <w:lang w:val="ka-GE"/>
        </w:rPr>
        <w:t>R-</w:t>
      </w:r>
      <w:r w:rsidRPr="00BE4F57">
        <w:rPr>
          <w:rFonts w:ascii="Sylfaen" w:hAnsi="Sylfaen"/>
          <w:sz w:val="24"/>
          <w:szCs w:val="24"/>
          <w:lang w:val="ka-GE"/>
        </w:rPr>
        <w:t xml:space="preserve">ფლუოქსეტინის მეტაბოლიზმი ამ სუსტ მეტაბოლიზატორებში, როგორც ჩანს, ნორმალურია. ნორმალურ მეტაბოლიზატორებთან შედარებით, 4 ენანტიომერის პლაზმური კონცენტრაციების საერთო ჯამი წონასწორულ მდგომარეობაში არ იყო მნიშვნელოვნად უფრო მაღალი სუსტ მეტაბოლიზატორებში. ამრიგად, ჯამში ფარმაკოდინამიკური აქტივობები არსებითად ერთი და იგივე იყო. ალტერნატიული არაგაჯერებული გზები (არა-CYP2D6) ასევე ხელს უწყობენ ფლუოქსეტინის მეტაბოლიზმს. ეს ხსნის, თუ როგორ აღწევს ფლუოქსეტინი წონასწორული მდგომარეობის კონცენტრაციას შეუზღუდავად გაზრდის ნაცვლად. </w:t>
      </w:r>
    </w:p>
    <w:p w14:paraId="4C84D6C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რადგან ფლუოქსეტინის, ისევე როგორც სხვა ნაერთების, მათ შორის TCA–ების და სხვა სეროტონინის სელექტიური ანტიდეპრესანტების, მეტაბოლიზმი მონაწილეობს CYP2D6 </w:t>
      </w:r>
      <w:r w:rsidRPr="00BE4F57">
        <w:rPr>
          <w:rFonts w:ascii="Sylfaen" w:hAnsi="Sylfaen"/>
          <w:sz w:val="24"/>
          <w:szCs w:val="24"/>
          <w:lang w:val="ka-GE"/>
        </w:rPr>
        <w:lastRenderedPageBreak/>
        <w:t>სისტემაში, ამ ფერმენტული სისტემით მეტაბოლიზებულ პრეპარატებთან (მაგალითად, ტრიციკლური ანტიდეპრესანტები) თანმხლებმა თერაპიამ შეიძლება გამოიწვიოს წამლისმიერი ურთიერთქმედება (იხილეთ ნაწილი 4.5 „ურთიერთქმედება სხვა სამკურნალო პრეპარატებთან და ურთიერთქმედების სხვა ფორმები“).</w:t>
      </w:r>
    </w:p>
    <w:p w14:paraId="1F30B044" w14:textId="77777777" w:rsidR="008B1423" w:rsidRPr="00BE4F57" w:rsidRDefault="008B1423" w:rsidP="00A14CA6">
      <w:pPr>
        <w:spacing w:after="0" w:line="240" w:lineRule="auto"/>
        <w:jc w:val="both"/>
        <w:rPr>
          <w:rFonts w:ascii="Sylfaen" w:hAnsi="Sylfaen"/>
          <w:sz w:val="24"/>
          <w:szCs w:val="24"/>
          <w:u w:val="single"/>
          <w:lang w:val="ka-GE"/>
        </w:rPr>
      </w:pPr>
      <w:r w:rsidRPr="00BE4F57">
        <w:rPr>
          <w:rFonts w:ascii="Sylfaen" w:hAnsi="Sylfaen"/>
          <w:sz w:val="24"/>
          <w:szCs w:val="24"/>
          <w:u w:val="single"/>
          <w:lang w:val="ka-GE"/>
        </w:rPr>
        <w:t>ელიმინაცია</w:t>
      </w:r>
    </w:p>
    <w:p w14:paraId="29E6F2F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ფლუოქსეტინის (ნახევარგამოყოფის პერიოდი მწვავე მიღების შემდეგ 1-დან 3 დღემდე და ქრონიკული მიღების შემდეგ 4-დან 6 დღემდე) და მისი აქტიური მეტაბოლიტის, ნორფლუოქსეტინის (ნახევარგამოყოფის პერიოდი მწვავე და ქრონიკული მიღებიდან 4-დან 16 დღემდე) შედარებით ნელი ელიმინაცია იწვევს ამ აქტიური ნივთიერებების მნიშვნელოვან კუმულირებას ქრონიკული გამოყენებისას და წონასწორული მდგომარეობის დაგვიანებულ მიღწევას, მაშინაც კი, როდესაც გამოიყენება ფიქსირებული დოზა. 30 დღის განმავლობაში 40 მგ/დღეში დოზირების შემდეგ, დაფიქსირდა ფლუოქსეტინის პლაზმური კონცენტრაციები 91-დან 302 ნგ/მლ-მდე დიაპაზონში და ნორფლუოქსეტინის 72-დან 258 ნგ/მლ-მდე დიაპაზონში. ფლუოქსეტინის პლაზმური კონცენტრაციები უფრო მაღალი იყო, ვიდრე ერთჯერადი დოზის კვლევებით იყო პროგნოზირებული, რადგან ფლუოქსეტინის მეტაბოლიზმი დოზის პროპორციული არ არის. თუმცა, როგორც ჩანს, ნორფლუოქსეტინს აქვს ხაზოვანი ფარმაკოკინეტიკა. მისი საშუალო ტერმინალური ნახევარგამოყოფის პერიოდი ერთჯერადი დოზის შემდეგ იყო 8.6 დღე, ხოლო მრავალჯერადი დოზირების შემდეგ - 9.3 დღე. ხანგრძლივი დოზირების შემდეგ წონასწორული დონეები მსგავსია 4-დან 5 კვირამდე დოზირებისას დაფიქსირებული დონეებისა. </w:t>
      </w:r>
    </w:p>
    <w:p w14:paraId="1C04253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ფლუოქსეტინისა და ნორფლუოქსეტინის ხანგრძლივი ნახევარგამოყოფის პერიოდი უზრუნველყოფს, რომ დოზირების შეწყვეტის შემდეგაც კი, აქტიური ნივთიერება ორგანიზმში კვირების განმავლობაში შენარჩუნდება (ძირითადად პაციენტის ინდივიდუალური მახასიათებლების, წინა დოზირების რეჟიმის და შეწყვეტის დროს წინა თერაპიის ხანგრძლივობის მიხედვით). ამას შეიძლება ჰქონდეს მნიშვნელობა, როდესაც საჭიროა პრეპარატის შეწყვეტა ან როდესაც ინიშნება ისეთი პრეპარატები, რომლებმაც შეიძლება ურთიერთქმედება მოახდინონ ფლუოქსეტინთან და ნორფლუოქსეტინთან ფლუოქსეტინის შეწყვეტის შემდეგ.</w:t>
      </w:r>
    </w:p>
    <w:p w14:paraId="66151C0D" w14:textId="77777777" w:rsidR="008B1423" w:rsidRPr="00BE4F57" w:rsidRDefault="008B1423" w:rsidP="00A14CA6">
      <w:pPr>
        <w:spacing w:after="0" w:line="240" w:lineRule="auto"/>
        <w:jc w:val="both"/>
        <w:rPr>
          <w:rFonts w:ascii="Sylfaen" w:hAnsi="Sylfaen"/>
          <w:i/>
          <w:sz w:val="24"/>
          <w:szCs w:val="24"/>
          <w:u w:val="single"/>
          <w:lang w:val="ka-GE"/>
        </w:rPr>
      </w:pPr>
    </w:p>
    <w:p w14:paraId="52E213D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დამახასიათებელი თვისებები პაციენტებში</w:t>
      </w:r>
    </w:p>
    <w:p w14:paraId="461FCEE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ხანდაზმულები</w:t>
      </w:r>
      <w:r w:rsidRPr="00BE4F57">
        <w:rPr>
          <w:rFonts w:ascii="Sylfaen" w:hAnsi="Sylfaen"/>
          <w:sz w:val="24"/>
          <w:szCs w:val="24"/>
          <w:lang w:val="ka-GE"/>
        </w:rPr>
        <w:t xml:space="preserve"> – ოლანზაპინისა და ფლუოქსეტინის ინდივიდუალური ფარმაკოკინეტიკური პროფილების საფუძველზე, რექსეპი კომბის ფარმაკოკინეტიკა შეიძლება შეიცვალოს ხანდაზმულ პაციენტებში. ხანდაზმულებში დოზირებისას სიფრთხილეა საჭირო, განსაკუთრებით თუ არსებობს სხვა ფაქტორები, რომლებმაც შეიძლება დამატებით იმოქმედონ პრეპარატის მეტაბოლიზმზე და/ან ფარმაკოდინამიკურ მგრძნობელობაზე.</w:t>
      </w:r>
    </w:p>
    <w:p w14:paraId="4D51962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24 ჯანმრთელი სუბიექტის მონაწილეობით ჩატარებულ კვლევაში, ოლანზაპინის საშუალო ნახევარგამოყოფის პერიოდი ხანდაზმულ სუბიექტებში (≥ 65 წლის) დაახლოებით 1.5-ჯერ მეტი იყო, ვიდრე არახანდაზმულ სუბიექტებში (&lt; 65 წლის ასაკის).</w:t>
      </w:r>
    </w:p>
    <w:p w14:paraId="4DF9A03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ჯანმრთელ ხანდაზმულ სუბიექტებში (≥ 65 წლის ასაკის) ფლუოქსეტინის ერთჯერადი დოზების განაწილება მნიშვნელოვნად არ განსხვავდებოდა ახალგაზრდა ჯანმრთელ სუბიექტებში არსებულისგან. თუმცა, პრეპარატის ხანგრძლივი ნახევარგამოყოფის პერიოდისა და არაწრფივი განაწილების გათვალისწინებით, ერთჯერადი დოზის კვლევა არ არის საკმარისი ხანდაზმულებში ფარმაკოკინეტიკის ცვლილების შესაძლებლობის გამოსარიცხად, განსაკუთრებით თუ მათ აქვთ სისტემური დაავადება ან იღებენ მრავალ პრეპარატს თანმხლები დაავადებების გამო. ასაკის გავლენა ფლუოქსეტინის მეტაბოლიზმზე გამოკვლეული იქნა 260 ხანდაზმულ, მაგრამ სხვაგვარად ჯანმრთელ დეპრესიულ პაციენტში (≥ 60 წლის), რომლებიც იღებდნენ 20 მგ ფლუოქსეტინს 6 კვირის განმავლობაში. ფლუოქსეტინისა და ნორფლუოქსეტინის კომბინირებული პლაზმური კონცენტრაციები იყო 209.3 ± 85.7 ნგ/მლ რექსეპი კომბის შესწავლის 6 </w:t>
      </w:r>
      <w:r w:rsidRPr="00BE4F57">
        <w:rPr>
          <w:rFonts w:ascii="Sylfaen" w:hAnsi="Sylfaen"/>
          <w:sz w:val="24"/>
          <w:szCs w:val="24"/>
          <w:lang w:val="ka-GE"/>
        </w:rPr>
        <w:lastRenderedPageBreak/>
        <w:t>კვირის ბოლოს. ამ ხანდაზმულ პაციენტებში ასაკთან დაკავშირებული არასასურველი რეაქციების უჩვეულო სურათი არ დაფიქსირებულა.</w:t>
      </w:r>
    </w:p>
    <w:p w14:paraId="7C846692" w14:textId="77777777" w:rsidR="008B1423" w:rsidRPr="00BE4F57" w:rsidRDefault="008B1423" w:rsidP="00A14CA6">
      <w:pPr>
        <w:spacing w:after="0" w:line="240" w:lineRule="auto"/>
        <w:jc w:val="both"/>
        <w:rPr>
          <w:rFonts w:ascii="Sylfaen" w:hAnsi="Sylfaen"/>
          <w:sz w:val="24"/>
          <w:szCs w:val="24"/>
          <w:lang w:val="ka-GE"/>
        </w:rPr>
      </w:pPr>
    </w:p>
    <w:p w14:paraId="7E5FF44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თირკმლის ფუნქციის დარღვევა</w:t>
      </w:r>
      <w:r w:rsidRPr="00BE4F57">
        <w:rPr>
          <w:rFonts w:ascii="Sylfaen" w:hAnsi="Sylfaen"/>
          <w:sz w:val="24"/>
          <w:szCs w:val="24"/>
          <w:lang w:val="ka-GE"/>
        </w:rPr>
        <w:t xml:space="preserve"> - ოლაზაპინისა და ფლუოქსეტინის კომბინაციის ფარმაკოკინეტიკა არ არის შესწავლილი თირკმლის ფუნქციის დარღვევის მქონე პაციენტებში. თუმცა, ოლანზაპინისა და ფლუოქსეტინის ინდივიდუალური ფარმაკოკინეტიკა მნიშვნელოვნად არ განსხვავდება თირკმლის ფუნქციის დარღვევის მქონე პაციენტებში. თირკმლის უკმარისობის გამო რექსეპი კომბის რეგულარული დოზის კორექცია საჭირო არ არის.</w:t>
      </w:r>
    </w:p>
    <w:p w14:paraId="422A86A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რადგან ოლანზაპინი ექსკრეციამდე მაღალ მეტაბოლიზმს განიცდის და პრეპარატის მხოლოდ 7% გამოიყოფა უცვლელი სახით, ნაკლებად სავარაუდოა, რომ მხოლოდ თირკმლის დისფუნქციას ჰქონდეს მნიშვნელოვანი გავლენა ოლანზაპინის ფარმაკოკინეტიკაზე. ოლანზაპინის ფარმაკოკინეტიკური მახასიათებლები მსგავსი იყო თირკმლის მძიმე უკმარისობის მქონე პაციენტებში და ჯანმრთელ სუბიექტებში, რაც მიუთითებს, რომ დოზის კორექცია თირკმლის უკმარისობის ხარისხის მიხედვით არ არის საჭირო. გარდა ამისა, ოლანზაპინი არ გამოიყოფა დიალიზით. თირკმლის უკმარისობის გავლენა ოლანზაპინის მეტაბოლიტების ელიმინაციაზე არ არის შესწავლილი.</w:t>
      </w:r>
    </w:p>
    <w:p w14:paraId="747DA10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დიალიზზე მყოფ დეპრესიის მქონე პაციენტებში (N=12), ფლუოქსეტინის 20 მგ დღეში ერთხელ 2 თვის განმავლობაში მიღებისას, ფლუოქსეტინისა და ნორფლუოქსეტინის პლაზმური კონცენტრაციები წონასწორულ მდგომარეობაში იყო, რაც შედარებადი იყო თირკმლის ნორმალური ფუნქციის მქონე პაციენტებში დაფიქსირებულ კონცენტრაციებთან. მიუხედავად იმისა, რომ არსებობს შესაძლებლობა, რომ თირკმლის მძიმე დისფუნქციის მქონე პაციენტებში ფლუოქსეტინის თირკმელებით გამოყოფილი მეტაბოლიტები დაგროვდეს უფრო მაღალ დონეზე, თირკმლის უკმარისობის მქონე პაციენტებში რუტინულად არ არის საჭირო უფრო დაბალი ან ნაკლებად ხშირი დოზის გამოყენება.</w:t>
      </w:r>
    </w:p>
    <w:p w14:paraId="1298090D" w14:textId="77777777" w:rsidR="008B1423" w:rsidRPr="00BE4F57" w:rsidRDefault="008B1423" w:rsidP="00A14CA6">
      <w:pPr>
        <w:spacing w:after="0" w:line="240" w:lineRule="auto"/>
        <w:jc w:val="both"/>
        <w:rPr>
          <w:rFonts w:ascii="Sylfaen" w:hAnsi="Sylfaen"/>
          <w:sz w:val="24"/>
          <w:szCs w:val="24"/>
          <w:lang w:val="ka-GE"/>
        </w:rPr>
      </w:pPr>
    </w:p>
    <w:p w14:paraId="6D9FFA7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ღვიძლის ფუნქციის დარღვევა</w:t>
      </w:r>
      <w:r w:rsidRPr="00BE4F57">
        <w:rPr>
          <w:rFonts w:ascii="Sylfaen" w:hAnsi="Sylfaen"/>
          <w:sz w:val="24"/>
          <w:szCs w:val="24"/>
          <w:lang w:val="ka-GE"/>
        </w:rPr>
        <w:t xml:space="preserve"> – ოლანზაპინისა და ფლუოქსეტინის ინდივიდუალური ფარმაკოკინეტიკური პროფილების მიხედვით, რექსეპი კომბის ფარმაკოკინეტიკა შეიძლება შეიცვალოს ღვიძლის ფუნქციის დარღვევის მქონე პაციენტებში. ღვიძლის ფუნქციის დარღვევის მქონე პაციენტებისთვის გასათვალისწინებელია ყველაზე დაბალი საწყისი დოზა. (იხილეთ ნაწილი 4.2 დოზირება და გამოყენების მეთოდი და ნაწილი 4.4. განსაკუთრებული გაფრთხილებები გამოყენებისას და უსაფრთხოების ზომები).</w:t>
      </w:r>
    </w:p>
    <w:p w14:paraId="2D593AD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მიუხედავად იმისა, რომ ღვიძლის ფუნქციის დარღვევამ შეიძლება შეამციროს ოლანზაპინის კლირენსი, კლინიკურად მნიშვნელოვანი ციროზის მქონე სუბიექტებში (N=6) ღვიძლის ფუნქციის დარღვევის ეფექტის კვლევამ (ჩაილდ-პიუს კლასიფიკაცია A და B) მცირე გავლენა მოახდინა ოლანზაპინის ფარმაკოკინეტიკაზე.</w:t>
      </w:r>
    </w:p>
    <w:p w14:paraId="533240C3"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როგორც მისი ძირითადი მეტაბოლიზმის ადგილიდან შეიძლება ვივარაუდოთ, ღვიძლის ფუნქციის დარღვევამ შეიძლება გავლენა მოახდინოს ფლუოქსეტინის გამოყოფაზე. ფლუოქსეტინის ნახევარგამოყოფის პერიოდი გახანგრძლივდა ციროზით დაავადებულ პაციენტებში ჩატარებულ კვლევაში, საშუალოდ 7.6 დღით, 2-დან 3 დღემდე დიაპაზონთან შედარებით ღვიძლის დაავადების არმქონე სუბიექტებში; ნორფლუოქსეტინის ელიმინაცია ასევე შეფერხდა, საშუალოდ 12 დღით ციროზით დაავადებულ პაციენტებში, ნორმალურ სუბიექტებში 7-დან 9 დღემდე დიაპაზონთან შედარებით.</w:t>
      </w:r>
    </w:p>
    <w:p w14:paraId="49EB54B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სქესი</w:t>
      </w:r>
      <w:r w:rsidRPr="00BE4F57">
        <w:rPr>
          <w:rFonts w:ascii="Sylfaen" w:hAnsi="Sylfaen"/>
          <w:sz w:val="24"/>
          <w:szCs w:val="24"/>
          <w:lang w:val="ka-GE"/>
        </w:rPr>
        <w:t xml:space="preserve"> - ოლანზაპინის კლირენსი ქალებში დაახლოებით 30%-ით დაბალია, ვიდრე მამაკაცებში. თუმცა, მამაკაცებსა და ქალებს შორის ეფექტურობის ან გვერდითი მოვლენების მხრივ აშკარა განსხვავებები არ დაფიქსირებულა. სქესის მიხედვით დოზის მოდიფიკაცია საჭირო არ უნდა იყოს.</w:t>
      </w:r>
    </w:p>
    <w:p w14:paraId="641D4B64" w14:textId="77777777" w:rsidR="008B1423" w:rsidRPr="00BE4F57" w:rsidRDefault="008B1423" w:rsidP="00A14CA6">
      <w:pPr>
        <w:spacing w:after="0" w:line="240" w:lineRule="auto"/>
        <w:jc w:val="both"/>
        <w:rPr>
          <w:rFonts w:ascii="Sylfaen" w:hAnsi="Sylfaen"/>
          <w:sz w:val="24"/>
          <w:szCs w:val="24"/>
          <w:lang w:val="ka-GE"/>
        </w:rPr>
      </w:pPr>
    </w:p>
    <w:p w14:paraId="52E2188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lastRenderedPageBreak/>
        <w:t>მწეველობის სტატუსი</w:t>
      </w:r>
      <w:r w:rsidRPr="00BE4F57">
        <w:rPr>
          <w:rFonts w:ascii="Sylfaen" w:hAnsi="Sylfaen"/>
          <w:sz w:val="24"/>
          <w:szCs w:val="24"/>
          <w:lang w:val="ka-GE"/>
        </w:rPr>
        <w:t xml:space="preserve"> - ოლანზაპინის კლირენსი მწეველებში დაახლოებით 40%-ით მაღალია, ვიდრე არამწეველებში, თუმცა დოზის მოდიფიკაცია რუტინულად არ არის საჭირო.</w:t>
      </w:r>
    </w:p>
    <w:p w14:paraId="46D43E79" w14:textId="77777777" w:rsidR="008B1423" w:rsidRPr="00BE4F57" w:rsidRDefault="008B1423" w:rsidP="00A14CA6">
      <w:pPr>
        <w:spacing w:after="0" w:line="240" w:lineRule="auto"/>
        <w:jc w:val="both"/>
        <w:rPr>
          <w:rFonts w:ascii="Sylfaen" w:hAnsi="Sylfaen"/>
          <w:sz w:val="24"/>
          <w:szCs w:val="24"/>
          <w:lang w:val="ka-GE"/>
        </w:rPr>
      </w:pPr>
    </w:p>
    <w:p w14:paraId="576D87B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კომბინირებული ეფექტები</w:t>
      </w:r>
      <w:r w:rsidRPr="00BE4F57">
        <w:rPr>
          <w:rFonts w:ascii="Sylfaen" w:hAnsi="Sylfaen"/>
          <w:sz w:val="24"/>
          <w:szCs w:val="24"/>
          <w:lang w:val="ka-GE"/>
        </w:rPr>
        <w:t xml:space="preserve"> - ასაკის, მოწევისა და სქესის კომბინირებულმა ეფექტებმა შეიძლება გამოიწვიოს მნიშვნელოვანი ფარმაკოკინეტიკური განსხვავებები პოპულაციებში. მაგალითად, ახალგაზრდა მწეველ მამაკაცებში ოლანზაპინის კლირენსი შეიძლება 3-ჯერ მაღალი იყოს, ვიდრე ხანდაზმულ არამწეველ ქალებში. რექსეპი კომბის დოზირების მოდიფიკაცია შეიძლება საჭირო გახდეს იმ პაციენტებში, რომლებსაც აღენიშნებათ ფაქტორების კომბინაცია, რამაც შეიძლება გამოიწვიოს ოლანზაპინის კომპონენტის მეტაბოლიზმის შენელება. (იხილეთ ნაწილი 4.2 დოზირება და გამოყენების მეთოდი).</w:t>
      </w:r>
    </w:p>
    <w:p w14:paraId="1FFC5691" w14:textId="77777777" w:rsidR="008B1423" w:rsidRPr="00BE4F57" w:rsidRDefault="008B1423" w:rsidP="00A14CA6">
      <w:pPr>
        <w:spacing w:after="0" w:line="240" w:lineRule="auto"/>
        <w:jc w:val="both"/>
        <w:rPr>
          <w:rFonts w:ascii="Sylfaen" w:hAnsi="Sylfaen"/>
          <w:sz w:val="24"/>
          <w:szCs w:val="24"/>
          <w:lang w:val="ka-GE"/>
        </w:rPr>
      </w:pPr>
    </w:p>
    <w:p w14:paraId="2E91BF6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ბავშვები და მოზარდები (10-დან 17 წლამდე)</w:t>
      </w:r>
      <w:r w:rsidRPr="00BE4F57">
        <w:rPr>
          <w:rFonts w:ascii="Sylfaen" w:hAnsi="Sylfaen"/>
          <w:sz w:val="24"/>
          <w:szCs w:val="24"/>
          <w:lang w:val="ka-GE"/>
        </w:rPr>
        <w:t xml:space="preserve"> </w:t>
      </w:r>
    </w:p>
    <w:p w14:paraId="2868E49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ბავშვებში ოლანზაპინისა და ფლუოქსეტინის კომბინაციის კვლევის მიხედვით, ოლანზაპინის, ფლუოქსეტინისა და ნორფლუოქსეტინის წონასწორული პლაზმური კონცენტრაციები დაახლოებით 31%-ით, 76%-ით და 38%-ით მაღალი იყო, შესაბამისად,  დაბალი წონის პედიატრიულ პაციენტებში (50 კგ-ზე ნაკლები) მაღალი წონის პედიატრიულ პაციენტებთან შედარებით (52 კგ–ზე მეტი ან ტოლი). მაღალი წონის მქონე პედიატრიულ პაციენტებში ექსპოზიცია მსგავსი იყო მოზრდილებში ადრე დაფიქსირებული მაჩვენებლებისა. დოზის შეცვლა სხეულის წონის მიხედვით საჭირო არ არის.</w:t>
      </w:r>
    </w:p>
    <w:p w14:paraId="5B16D065" w14:textId="77777777" w:rsidR="008B1423" w:rsidRPr="00BE4F57" w:rsidRDefault="008B1423" w:rsidP="00A14CA6">
      <w:pPr>
        <w:spacing w:after="0" w:line="240" w:lineRule="auto"/>
        <w:jc w:val="both"/>
        <w:rPr>
          <w:rFonts w:ascii="Sylfaen" w:hAnsi="Sylfaen"/>
          <w:sz w:val="24"/>
          <w:szCs w:val="24"/>
          <w:lang w:val="ka-GE"/>
        </w:rPr>
      </w:pPr>
    </w:p>
    <w:p w14:paraId="1545947A" w14:textId="77777777" w:rsidR="008B1423" w:rsidRPr="00BE4F57" w:rsidRDefault="008B1423" w:rsidP="00A14CA6">
      <w:pPr>
        <w:spacing w:after="0" w:line="240" w:lineRule="auto"/>
        <w:jc w:val="both"/>
        <w:rPr>
          <w:rFonts w:ascii="Sylfaen" w:hAnsi="Sylfaen"/>
          <w:sz w:val="24"/>
          <w:szCs w:val="24"/>
          <w:lang w:val="ka-GE"/>
        </w:rPr>
      </w:pPr>
    </w:p>
    <w:p w14:paraId="295DC15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5.3 პრეკლინიკური უსაფრთხოების მონაცემები</w:t>
      </w:r>
    </w:p>
    <w:p w14:paraId="0CD02412" w14:textId="77777777" w:rsidR="008B1423" w:rsidRPr="00BE4F57" w:rsidRDefault="008B1423" w:rsidP="00A14CA6">
      <w:pPr>
        <w:spacing w:after="0" w:line="240" w:lineRule="auto"/>
        <w:jc w:val="both"/>
        <w:rPr>
          <w:rFonts w:ascii="Sylfaen" w:hAnsi="Sylfaen"/>
          <w:sz w:val="24"/>
          <w:szCs w:val="24"/>
          <w:lang w:val="ka-GE"/>
        </w:rPr>
      </w:pPr>
    </w:p>
    <w:p w14:paraId="28046FC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ოლანზაპინისა და ფლუოქსეტინის კომბინაციის კანცეროგენურობის, მუტაგენურობის ან ფერტილობის კვლევები არ ჩატარებულა. ქვემოთ მოცემული მონაცემები ეფუძნება ცალკეული კომპონენტების გამოყენებით ჩატარებული კვლევების შედეგებს და ყველა დოზის ჯერადი (სხეულის ზედაპირის ფართობის მიხედვით) ასახავს მაქსიმალურ რეკომენდებულ დოზას (MRHD) ადამიანისთვის, რომელიც შეადგენს 12 მგ ოლანზაპინს ან 50 მგ ფლუოქსეტინს ოლანზაპინთან და ფლუოქსეტინთან კომბინაციაში.</w:t>
      </w:r>
    </w:p>
    <w:p w14:paraId="4D3FEED8" w14:textId="77777777" w:rsidR="008B1423" w:rsidRPr="00BE4F57" w:rsidRDefault="008B1423" w:rsidP="00A14CA6">
      <w:pPr>
        <w:spacing w:after="0" w:line="240" w:lineRule="auto"/>
        <w:jc w:val="both"/>
        <w:rPr>
          <w:rFonts w:ascii="Sylfaen" w:hAnsi="Sylfaen"/>
          <w:sz w:val="24"/>
          <w:szCs w:val="24"/>
          <w:lang w:val="ka-GE"/>
        </w:rPr>
      </w:pPr>
    </w:p>
    <w:p w14:paraId="28BAA2FF" w14:textId="77777777" w:rsidR="008B1423" w:rsidRPr="00BE4F57" w:rsidRDefault="008B1423" w:rsidP="00A14CA6">
      <w:pPr>
        <w:spacing w:after="0" w:line="240" w:lineRule="auto"/>
        <w:jc w:val="both"/>
        <w:rPr>
          <w:rFonts w:ascii="Sylfaen" w:hAnsi="Sylfaen"/>
          <w:b/>
          <w:i/>
          <w:sz w:val="24"/>
          <w:szCs w:val="24"/>
          <w:u w:val="single"/>
          <w:lang w:val="ka-GE"/>
        </w:rPr>
      </w:pPr>
      <w:r w:rsidRPr="00BE4F57">
        <w:rPr>
          <w:rFonts w:ascii="Sylfaen" w:hAnsi="Sylfaen"/>
          <w:b/>
          <w:i/>
          <w:sz w:val="24"/>
          <w:szCs w:val="24"/>
          <w:u w:val="single"/>
          <w:lang w:val="ka-GE"/>
        </w:rPr>
        <w:t>კანცეროგენეზი</w:t>
      </w:r>
    </w:p>
    <w:p w14:paraId="1B0BD1E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პერორალური კანცეროგენურობის კვლევები ჩატარდა თაგვებსა და ვირთაგვებზე. თაგვებს ეძლეოდათ ოლანზაპინი 3, 10 და 30/20 მგ/კგ/დღეში დოზებით [რაც ექვივალენტურია 1-12-ჯერადი ადამიანისთვის რეკომენდებული მაქსიმალური დოზის (MRHD)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და 0.25, 2, და 8 მგ/კგ/დღეში დოზებით (რაც ექვივალენტურია 3–ჯერადი ადამიანისთვის რეკომენდებული მაქსიმალური დოზისა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ვირთაგვებს 2 წლის განმავლობაში აძლევდნენ დოზებს 0.25, 1, 2.5 და 4 მგ/კგ/დღეში (მამრები) და 0.25, 1, 4 და 8 მგ/კგ/დღეში დოზებს (დედლები) (რაც ადამიანისთვის მაქსიმალურ რეკომენდებულ დოზას 3 და 7-ჯერ აღემატება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შესაბამისად). ღვიძლის ჰემანგიომების და ჰემანგიოსარკომების რაოდენობა მნიშვნელოვნად გაიზარდა დედლებში (რაც ადამიანისთვის მაქსიმალურ რეკომენდებულ დოზას 2-ჯერ აღემატება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თაგვებზე ჩატარებულ 1 კვლევაში. თაგვებზე ჩატარებულ სხვა კვლევაში ეს სიმსივნეები არ გაიზარდა დედლებში (რაც ადამიანისთვის მაქსიმალურ რეკომენდებულ დოზას 12-ჯერ აღემატება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ამ კვლევაში 30/20 მგ/კგ/დღეში ჯგუფში მამრებში ადრეული სიკვდილიანობის მაღალი მაჩვენებელი იყო. სარძევე ჯირკვლის ადენომების და ადენოკარცინომების სიხშირე მნიშვნელოვნად გაიზარდა ≥2 მგ/კგ/დღეში დოზებისას მდედრ თაგვებში და ≥4 მგ/კგ/დღეში დოზებისას მდედრ ვირთაგვებში (ადამიანებისთვის მაქსიმალურ რეკომენდებულ დოზას 1 და 3-ჯერ აღემატება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-ის მიხედვით, </w:t>
      </w:r>
      <w:r w:rsidRPr="00BE4F57">
        <w:rPr>
          <w:rFonts w:ascii="Sylfaen" w:hAnsi="Sylfaen"/>
          <w:sz w:val="24"/>
          <w:szCs w:val="24"/>
          <w:lang w:val="ka-GE"/>
        </w:rPr>
        <w:lastRenderedPageBreak/>
        <w:t>შესაბამისად). ანტიფსიქოზური პრეპარატები მღრღნელებში პროლაქტინის დონის ქრონიკულად მატებას იწვევენ. ოლანზაპინის კანცეროგენურობის კვლევების დროს შრატის პროლაქტინის დონე არ გაზომილა; თუმცა, სუბქრონიკული ტოქსიკურობის კვლევების დროს გაზომვებმა აჩვენა, რომ ოლანზაპინმა ვირთაგვებში შრატის პროლაქტინის დონე 4-ჯერ გაზარდა კანცეროგენურობის კვლევაში გამოყენებული დოზების გამოყენებისას. მღრღნელებში სხვა ანტიფსიქოზური პრეპარატების ქრონიკული მიღების შემდეგ დაფიქსირდა სარძევე ჯირკვლის ნეოპლაზმების რაოდენობის ზრდა და ითვლება პროლაქტინით განპირობებულად. მღრღნელებში პროლაქტინით განპირობებული ენდოკრინული სიმსივნეების აღმოჩენის კავშირი ადამიანებში არსებულ რისკთან უცნობია. (იხილეთ ნაწილი 4.4. განსაკუთრებული გაფრთხილებები გამოყენებისას და სიფრთხილის ზომები).</w:t>
      </w:r>
    </w:p>
    <w:p w14:paraId="2F80466A" w14:textId="77777777" w:rsidR="008B1423" w:rsidRPr="00BE4F57" w:rsidRDefault="008B1423" w:rsidP="00A14CA6">
      <w:pPr>
        <w:spacing w:after="0" w:line="240" w:lineRule="auto"/>
        <w:jc w:val="both"/>
        <w:rPr>
          <w:rFonts w:ascii="Sylfaen" w:hAnsi="Sylfaen"/>
          <w:i/>
          <w:sz w:val="24"/>
          <w:szCs w:val="24"/>
          <w:u w:val="single"/>
          <w:lang w:val="ka-GE"/>
        </w:rPr>
      </w:pPr>
    </w:p>
    <w:p w14:paraId="671A0C86"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ფლუოქსეტინის დიეტური მიღება ვირთაგვებსა და თაგვებში 2 წლის განმავლობაში, შესაბამისად, 10 და 12 მგ–მდე/კგ/დღეში დოზებით (დაახლოებით 2 და 1-ჯერადი ადამიანისთვის რეკომენდებული მაქსიმალური დოზა, შესაბამისად,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 საფუძველზე, 20 მგ დოზის მიცემისას ბავშვებში) არ აჩვენა კანცეროგენურობის გამოვლინება. </w:t>
      </w:r>
    </w:p>
    <w:p w14:paraId="6D5F5D79" w14:textId="77777777" w:rsidR="008B1423" w:rsidRPr="00BE4F57" w:rsidRDefault="008B1423" w:rsidP="00A14CA6">
      <w:pPr>
        <w:spacing w:after="0" w:line="240" w:lineRule="auto"/>
        <w:jc w:val="both"/>
        <w:rPr>
          <w:rFonts w:ascii="Sylfaen" w:hAnsi="Sylfaen"/>
          <w:sz w:val="24"/>
          <w:szCs w:val="24"/>
          <w:lang w:val="ka-GE"/>
        </w:rPr>
      </w:pPr>
    </w:p>
    <w:p w14:paraId="7E91E144" w14:textId="77777777" w:rsidR="008B1423" w:rsidRPr="00BE4F57" w:rsidRDefault="008B1423" w:rsidP="00A14CA6">
      <w:pPr>
        <w:spacing w:after="0" w:line="240" w:lineRule="auto"/>
        <w:jc w:val="both"/>
        <w:rPr>
          <w:rFonts w:ascii="Sylfaen" w:hAnsi="Sylfaen"/>
          <w:b/>
          <w:i/>
          <w:sz w:val="24"/>
          <w:szCs w:val="24"/>
          <w:u w:val="single"/>
          <w:lang w:val="ka-GE"/>
        </w:rPr>
      </w:pPr>
      <w:r w:rsidRPr="00BE4F57">
        <w:rPr>
          <w:rFonts w:ascii="Sylfaen" w:hAnsi="Sylfaen"/>
          <w:b/>
          <w:i/>
          <w:sz w:val="24"/>
          <w:szCs w:val="24"/>
          <w:u w:val="single"/>
          <w:lang w:val="ka-GE"/>
        </w:rPr>
        <w:t>მუტაგენეზი</w:t>
      </w:r>
    </w:p>
    <w:p w14:paraId="3D7BE6B6" w14:textId="77777777" w:rsidR="008B1423" w:rsidRPr="00BE4F57" w:rsidRDefault="008B1423" w:rsidP="00A14CA6">
      <w:pPr>
        <w:spacing w:after="0" w:line="240" w:lineRule="auto"/>
        <w:jc w:val="both"/>
        <w:rPr>
          <w:rFonts w:ascii="Sylfaen" w:hAnsi="Sylfaen"/>
          <w:sz w:val="24"/>
          <w:szCs w:val="24"/>
          <w:lang w:val="ka-GE"/>
        </w:rPr>
      </w:pPr>
    </w:p>
    <w:p w14:paraId="554EBB71"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ოლანზაპინი</w:t>
      </w:r>
      <w:r w:rsidRPr="00BE4F57">
        <w:rPr>
          <w:rFonts w:ascii="Sylfaen" w:hAnsi="Sylfaen"/>
          <w:sz w:val="24"/>
          <w:szCs w:val="24"/>
          <w:lang w:val="ka-GE"/>
        </w:rPr>
        <w:t xml:space="preserve"> – ოლანზაპინის გენოტოქსიკური პოტენციალის მტკიცებულება არ აღმოჩნდა Ames უკუმუტაციის ტესტში, თაგვებში in vivo მიკრობირთვული ტესტში, ჩინური ზაზუნას საკვერცხის უჯრედებში ქრომოსომული აბერაციის ტესტში, ვირთაგვას ჰეპატოციტებში დნმ-ის დაუგეგმავი სინთეზის ტესტში, პირდაპირი მუტაციის ინდუქციის ტესტში თაგვის ლიმფომის უჯრედში, ან in vivo დები ქრომატიდების გაცვლის ტესტში ჩინური ზაზუნების ძვლის ტვინში.</w:t>
      </w:r>
    </w:p>
    <w:p w14:paraId="4879CA66" w14:textId="77777777" w:rsidR="008B1423" w:rsidRPr="00BE4F57" w:rsidRDefault="008B1423" w:rsidP="00A14CA6">
      <w:pPr>
        <w:spacing w:after="0" w:line="240" w:lineRule="auto"/>
        <w:jc w:val="both"/>
        <w:rPr>
          <w:rFonts w:ascii="Sylfaen" w:hAnsi="Sylfaen"/>
          <w:sz w:val="24"/>
          <w:szCs w:val="24"/>
          <w:lang w:val="ka-GE"/>
        </w:rPr>
      </w:pPr>
    </w:p>
    <w:p w14:paraId="0356778F"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ფლუოქსეტინს და ნორფლუოქსეტინს არ აქვთ გენოტოქსიკური ეფექტები შემდეგი ანალიზების საფუძველზე: ბაქტერიული მუტაციის ანალიზი, დნმ-ის აღდგენის ანალიზი კულტივირებული ვირთაგვას ჰეპატოციტებში, თაგვის ლიმფომის ანალიზი და in vivo დები ქრომატიდების გაცვლის ანალიზი ჩინური ზაზუნას ძვლის ტვინის უჯრედებში.</w:t>
      </w:r>
    </w:p>
    <w:p w14:paraId="27356DE3" w14:textId="77777777" w:rsidR="008B1423" w:rsidRPr="00BE4F57" w:rsidRDefault="008B1423" w:rsidP="00A14CA6">
      <w:pPr>
        <w:spacing w:after="0" w:line="240" w:lineRule="auto"/>
        <w:jc w:val="both"/>
        <w:rPr>
          <w:rFonts w:ascii="Sylfaen" w:hAnsi="Sylfaen"/>
          <w:sz w:val="24"/>
          <w:szCs w:val="24"/>
          <w:lang w:val="ka-GE"/>
        </w:rPr>
      </w:pPr>
    </w:p>
    <w:p w14:paraId="47C55523" w14:textId="77777777" w:rsidR="008B1423" w:rsidRPr="00BE4F57" w:rsidRDefault="008B1423" w:rsidP="00A14CA6">
      <w:pPr>
        <w:spacing w:after="0" w:line="240" w:lineRule="auto"/>
        <w:jc w:val="both"/>
        <w:rPr>
          <w:rFonts w:ascii="Sylfaen" w:hAnsi="Sylfaen"/>
          <w:b/>
          <w:i/>
          <w:sz w:val="24"/>
          <w:szCs w:val="24"/>
          <w:lang w:val="ka-GE"/>
        </w:rPr>
      </w:pPr>
      <w:r w:rsidRPr="00BE4F57">
        <w:rPr>
          <w:rFonts w:ascii="Sylfaen" w:hAnsi="Sylfaen"/>
          <w:b/>
          <w:i/>
          <w:sz w:val="24"/>
          <w:szCs w:val="24"/>
          <w:lang w:val="ka-GE"/>
        </w:rPr>
        <w:t>ფერტილობის დარღვევა</w:t>
      </w:r>
    </w:p>
    <w:p w14:paraId="785FF7F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ფერტილობის კვლევები არ ჩატარებულა ოლანზაპინისა და ფლუოქსეტინის კომბინაციით. თუმცა, 3-თვიანი განმეორებითი დოზის ტოქსიკოლოგიური კვლევისას, საკვერცხეების წონა შემცირდა მდედრებში, რომლებიც იღებდნენ ოლანზაპინისა და ფლუოქსეტინის კომბინაციის დაბალ დოზას [2 და 4 მგ/კგ/დღეში (2 და 1-ჯერადი ადამიანებისთვის რეკომენდებული მაქსიმალური დოზა 12 მგ (ოლანზაპინი) და 50 მგ (ფლუოქსეტინი)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 საფუძველზე, შესაბამისად) და მაღალ დოზას [4 და 8 მგ/კგ/დღეში (3 და 2-ჯერადი ადამიანებისთვის რეკომენდებული მაქსიმალური დოზა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 საფუძველზე, შესაბამისად)]. საკვერცხეების წონის შემცირება, ლუტეინური სხეულების გამოფიტვა და საშვილოსნოს ატროფია უფრო მეტად დაფიქსირდა მდედრებში, რომლებიც იღებდნენ მაღალ–დოზიან კომბინაციას, ვიდრე მდედრებში, რომლებიც იღებდნენ მხოლოდ ოლანზაპინს ან ფლუოქსეტინს. 3-თვიანი განმეორებითი დოზის ტოქსიკოლოგიური კვლევის დროს, დაფიქსირდა ეპიდიდიმური სპერმის შემცირება და სათესლე ჯირკვლების და პროსტატის წონის შემცირება ოლანზაპინისა და ფლუოქსეტინის მაღალ–დოზიანი კომბინაციისას (5 და 5 მგ/კგ/დღეში (14 და 3–ჯერადი ადამიანებისთვის რეკომენდებული მაქსიმალური დოზა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 საფუძველზე, შესაბამისად) და მხოლოდ ოლანზაპინის მიღებისას (5 მგ/კგ/დღეში ან ადამიანისთვის რეკომენდებულ მაქსიმალურ დოზაზე 14-ჯერ მეტი მგ/მ</w:t>
      </w:r>
      <w:r w:rsidRPr="00BE4F57">
        <w:rPr>
          <w:rFonts w:ascii="Sylfaen" w:hAnsi="Sylfaen"/>
          <w:sz w:val="24"/>
          <w:szCs w:val="24"/>
          <w:vertAlign w:val="superscript"/>
          <w:lang w:val="ka-GE"/>
        </w:rPr>
        <w:t>2</w:t>
      </w:r>
      <w:r w:rsidRPr="00BE4F57">
        <w:rPr>
          <w:rFonts w:ascii="Sylfaen" w:hAnsi="Sylfaen"/>
          <w:sz w:val="24"/>
          <w:szCs w:val="24"/>
          <w:lang w:val="ka-GE"/>
        </w:rPr>
        <w:t>-ის საფუძველზე).</w:t>
      </w:r>
    </w:p>
    <w:p w14:paraId="14B930FA" w14:textId="77777777" w:rsidR="008B1423" w:rsidRPr="00BE4F57" w:rsidRDefault="008B1423" w:rsidP="00A14CA6">
      <w:pPr>
        <w:spacing w:after="0" w:line="240" w:lineRule="auto"/>
        <w:jc w:val="both"/>
        <w:rPr>
          <w:rFonts w:ascii="Sylfaen" w:hAnsi="Sylfaen"/>
          <w:sz w:val="24"/>
          <w:szCs w:val="24"/>
          <w:lang w:val="ka-GE"/>
        </w:rPr>
      </w:pPr>
    </w:p>
    <w:p w14:paraId="1F98A3BD"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lastRenderedPageBreak/>
        <w:t>ოლანზაპინი</w:t>
      </w:r>
      <w:r w:rsidRPr="00BE4F57">
        <w:rPr>
          <w:rFonts w:ascii="Sylfaen" w:hAnsi="Sylfaen"/>
          <w:sz w:val="24"/>
          <w:szCs w:val="24"/>
          <w:lang w:val="ka-GE"/>
        </w:rPr>
        <w:t xml:space="preserve"> – ვირთაგვებში ჩატარებულ ფერტილობისა და რეპროდუქციული შესაძლებლობების პერორალურ კვლევაში, მამრების შეჯვარების უნარი, მაგრამ არა ფერტილობა, დაქვეითდა 22.4 მგ/კგ/დღეში დოზის მიღებისას, ხოლო მდედრის ფერტილობა შემცირდა 3 მგ/კგ/დღეში დოზის მიღებისას (18 და 2–ჯერადი ადამიანებისთვის რეკომენდებული მაქსიმალური დოზა 12 მგ, მგ/მ</w:t>
      </w:r>
      <w:r w:rsidRPr="00BE4F57">
        <w:rPr>
          <w:rFonts w:ascii="Sylfaen" w:hAnsi="Sylfaen"/>
          <w:sz w:val="24"/>
          <w:szCs w:val="24"/>
          <w:vertAlign w:val="superscript"/>
          <w:lang w:val="ka-GE"/>
        </w:rPr>
        <w:t>2</w:t>
      </w:r>
      <w:r w:rsidRPr="00BE4F57">
        <w:rPr>
          <w:rFonts w:ascii="Sylfaen" w:hAnsi="Sylfaen"/>
          <w:sz w:val="24"/>
          <w:szCs w:val="24"/>
          <w:lang w:val="ka-GE"/>
        </w:rPr>
        <w:t xml:space="preserve"> საფუძველზე, შესაბამისად). ოლანზაპინის მოხსნამ შეამსუბუქა მამრების შეჯვარების უნარზე ზემოქმედება. მდედრ ვირთაგვებში, პრეკოიტალური პერიოდი გახანგრძლივდა და შეჯვარების ინდექსი შემცირდა 5 მგ/კგ/დღეში დოზის მიღებისას (4-ჯერ მეტი ადამიანისთვის რეკომენდებულ მაქსიმალურ დოზაზე მგ/მ</w:t>
      </w:r>
      <w:r w:rsidRPr="00BE4F57">
        <w:rPr>
          <w:rFonts w:ascii="Sylfaen" w:hAnsi="Sylfaen"/>
          <w:sz w:val="24"/>
          <w:szCs w:val="24"/>
          <w:vertAlign w:val="superscript"/>
          <w:lang w:val="ka-GE"/>
        </w:rPr>
        <w:t>2</w:t>
      </w:r>
      <w:r w:rsidRPr="00BE4F57">
        <w:rPr>
          <w:rFonts w:ascii="Sylfaen" w:hAnsi="Sylfaen"/>
          <w:sz w:val="24"/>
          <w:szCs w:val="24"/>
          <w:lang w:val="ka-GE"/>
        </w:rPr>
        <w:t>-ის საფუძველზე). 1.1 მგ/კგ/დღეში დოზის მიღებისას (1-ჯერ მეტი ადამიანისთვის რეკომენდებულ მაქსიმალურ დოზაზე მგ/მ</w:t>
      </w:r>
      <w:r w:rsidRPr="00BE4F57">
        <w:rPr>
          <w:rFonts w:ascii="Sylfaen" w:hAnsi="Sylfaen"/>
          <w:sz w:val="24"/>
          <w:szCs w:val="24"/>
          <w:vertAlign w:val="superscript"/>
          <w:lang w:val="ka-GE"/>
        </w:rPr>
        <w:t>2</w:t>
      </w:r>
      <w:r w:rsidRPr="00BE4F57">
        <w:rPr>
          <w:rFonts w:ascii="Sylfaen" w:hAnsi="Sylfaen"/>
          <w:sz w:val="24"/>
          <w:szCs w:val="24"/>
          <w:lang w:val="ka-GE"/>
        </w:rPr>
        <w:t>-ის საფუძველზე) დიესტრუსი გახანგრძლივდა და ესტრუსი გადაიდო; ამიტომ ოლანზაპინმა შეიძლება გამოიწვიოს ოვულაციის დაგვიანება.</w:t>
      </w:r>
    </w:p>
    <w:p w14:paraId="3DCE56FD" w14:textId="77777777" w:rsidR="008B1423" w:rsidRPr="00BE4F57" w:rsidRDefault="008B1423" w:rsidP="00A14CA6">
      <w:pPr>
        <w:spacing w:after="0" w:line="240" w:lineRule="auto"/>
        <w:jc w:val="both"/>
        <w:rPr>
          <w:rFonts w:ascii="Sylfaen" w:hAnsi="Sylfaen"/>
          <w:sz w:val="24"/>
          <w:szCs w:val="24"/>
          <w:lang w:val="ka-GE"/>
        </w:rPr>
      </w:pPr>
    </w:p>
    <w:p w14:paraId="2FEBECC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 xml:space="preserve">ფლუოქსეტინი </w:t>
      </w:r>
      <w:r w:rsidRPr="00BE4F57">
        <w:rPr>
          <w:rFonts w:ascii="Sylfaen" w:hAnsi="Sylfaen"/>
          <w:sz w:val="24"/>
          <w:szCs w:val="24"/>
          <w:lang w:val="ka-GE"/>
        </w:rPr>
        <w:t>— ფერტილობის ორი კვლევა ჩატარდა ზრდასრულ ვირთაგვებში დოზებით 7.5 და 12.5 მგ–მდე/კგ/დღეში (დაახლოებით 1 და 2-ჯერ მეტი ადამიანისთვის რეკომენდებულ მაქსიმალურ დოზაზე 50 მგ, რომელიც მოზარდებში გამოიყენება,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აჩვენა, რომ ფლუოქსეტინმა არ გამოავლინა გვერდითი ეფექტები  ფერტილობაზე (დაახლოებით 1 და 2-ჯერ მეტი ადამიანისთვის რეკომენდებულ მაქსიმალურ დოზაზე 50 მგ, რომელიც მოზარდებში გამოიყენება,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w:t>
      </w:r>
    </w:p>
    <w:p w14:paraId="08E718A3" w14:textId="77777777" w:rsidR="008B1423" w:rsidRPr="00BE4F57" w:rsidRDefault="008B1423" w:rsidP="00A14CA6">
      <w:pPr>
        <w:spacing w:after="0" w:line="240" w:lineRule="auto"/>
        <w:jc w:val="both"/>
        <w:rPr>
          <w:rFonts w:ascii="Sylfaen" w:hAnsi="Sylfaen"/>
          <w:b/>
          <w:sz w:val="24"/>
          <w:szCs w:val="24"/>
          <w:lang w:val="ka-GE"/>
        </w:rPr>
      </w:pPr>
    </w:p>
    <w:p w14:paraId="24A8DB3D"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ახალგაზრდა ცხოველების ტოქსიკურობის მონაცემები</w:t>
      </w:r>
    </w:p>
    <w:p w14:paraId="7CEF8B9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b/>
          <w:sz w:val="24"/>
          <w:szCs w:val="24"/>
          <w:lang w:val="ka-GE"/>
        </w:rPr>
        <w:t>ფლუოქსეტინი</w:t>
      </w:r>
      <w:r w:rsidRPr="00BE4F57">
        <w:rPr>
          <w:rFonts w:ascii="Sylfaen" w:hAnsi="Sylfaen"/>
          <w:sz w:val="24"/>
          <w:szCs w:val="24"/>
          <w:lang w:val="ka-GE"/>
        </w:rPr>
        <w:t xml:space="preserve"> - ახალგაზრდა ცხოველებზე ჩატარდა მხოლოდ ფლუოქსეტინის ტოქსიკურობის კვლევები. ახალგაზრდა ვირთაგვებში ფლუოქსეტინის ზემოქმედების შემდეგ, ძუძუთი კვების შეწყვეტიდან მომწიფებამდე, მნიშვნელოვანი ტოქსიკურობა აღინიშნა კუნთოვან ქსოვილზე, ნეიროქცევაზე, რეპროდუქციულ ორგანოებზე და ძვლების განვითარებაზე. ფლუოქსეტინის პერორალური მიღება 3, 10 ან 30 მგ/კგ/დღეში დოზით ვირთაგვებში ძუძუთი კვების შეწყვეტის შემდეგ 21-ე დღიდან ზრდასრულ ასაკამდე (90-ე დღე) ასოცირდებოდა სათესლე ჯირკვლების დეგენერაციასთან და ნეკროზთან, ეპიდიდიმურ ვაკუოლიზაციასთან და ჰიპოსპერმიასთან (30 მგ/კგ/დღეში, რაც შეესაბამება პედიატრიულ პაციენტებში 20 მგ/დღეში MRHD-ის საშუალო სისტემური ექსპოზიციის [AUC] დაახლოებით 5-10-ჯერ მეტ მაჩვენებელს), შრატის კრეატინკინაზას დონის მატებასთან (AUC-ის დაბალი მნიშვნელობების დროს, რაც შეესაბამება პედიატრიულ პაციენტებში საშუალო AUC–ზე 1-2-ჯერ მეტს 20 მგ/დღეში MRHD-ის მიღებისას), ჩონჩხის კუნთების დეგენერაციასთან და ნეკროზთან და ბარძაყის ძვლის სიგრძის/ზრდის შემცირებასთან და წონის ზრდასთან (პედიატრიულ პაციენტებში 20 მგ/დღეში MRHD-ზე საშუალო AUC-ის 5-10-ჯერ მეტი მაჩვენებლით). 30 მგ/კგ/დღეში მაღალი დოზა აღემატებოდა მაქსიმალურ ასატან დოზას. როდესაც ცხოველები შეფასდნენ პრეპარატის მიღების შეწყვეტის შემდეგ (დოზის შეწყვეტიდან 11 კვირამდე), ფლუოქსეტინი ასოცირდებოდა ნეიროქცევით დარღვევებთან (რეაქტიულობის შემცირება AUC-ზე, რომელიც დაახლოებით 0.1-0.2-ჯერ მეტი იყო საშუალო AUC-ზე პედიატრიულ პაციენტებში MRHD-ის და სწავლის დეფიციტის დროს მაღალი დოზით) და რეპროდუქციულ დარღვევასთან (შემცირებული კოპულაცია ყველა დოზის მიღებისას და ფერტილობის დარღვევა მაღალი დოზის მიღებისას). მაღალი დოზის ჯგუფში ასევე დაფიქსირდა სათესლე ჯირკვლისა და დანამატის მიკროსკოპული დაზიანებები და სპერმის კონცენტრაციის შემცირება, რაც მიუთითებს, რომ პრეპარატის გავლენა რეპროდუქციულ ორგანოებზე შეუქცევადია. ფლუოქსეტინით გამოწვეული კუნთების დაზიანების შექცევადობა არ არის შეფასებული. </w:t>
      </w:r>
    </w:p>
    <w:p w14:paraId="0CCA6D2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ახალგაზრდა ვირთაგვებში ფლუოქსეტინის ეს ტოქსიკურობა არ დაფიქსირებულა ზრდასრულ ცხოველებში. ამ კვლევაში, ახალგაზრდა ვირთაგვებში, რომლებიც იღებდნენ 3, 10 ან 30 მგ/კგ ფლუოქსეტინის დოზებს ყოველდღიურად, პლაზმური ექსპოზიცია (AUC) დაახლოებით 0.1–0.2, </w:t>
      </w:r>
      <w:r w:rsidRPr="00BE4F57">
        <w:rPr>
          <w:rFonts w:ascii="Sylfaen" w:hAnsi="Sylfaen"/>
          <w:sz w:val="24"/>
          <w:szCs w:val="24"/>
          <w:lang w:val="ka-GE"/>
        </w:rPr>
        <w:lastRenderedPageBreak/>
        <w:t>1–2 და 5–10-ჯერ აღემატებოდა პედიატრიულ პაციენტებში საშუალო ექსპოზიციას, რომლებიც იღებდნენ 20 მგ MRHD-ს ყოველდღიურად, შესაბამისად. ვირთაგვებში ძირითადი მეტაბოლიტის, ნორფლუოქსეტინის, ექსპოზიცია დაახლოებით 0.3–0.8, 1–8 და 3–20-ჯერ აღემატებოდა პედიატრიულ ექსპოზიციას MRHD-სას, შესაბამისად.</w:t>
      </w:r>
    </w:p>
    <w:p w14:paraId="4CC96607" w14:textId="77777777" w:rsidR="008B1423" w:rsidRPr="00BE4F57" w:rsidRDefault="008B1423" w:rsidP="00A14CA6">
      <w:pPr>
        <w:spacing w:after="0" w:line="240" w:lineRule="auto"/>
        <w:jc w:val="both"/>
        <w:rPr>
          <w:rFonts w:ascii="Sylfaen" w:hAnsi="Sylfaen"/>
          <w:i/>
          <w:sz w:val="24"/>
          <w:szCs w:val="24"/>
          <w:u w:val="single"/>
          <w:lang w:val="ka-GE"/>
        </w:rPr>
      </w:pPr>
      <w:r w:rsidRPr="00BE4F57">
        <w:rPr>
          <w:rFonts w:ascii="Sylfaen" w:hAnsi="Sylfaen"/>
          <w:sz w:val="24"/>
          <w:szCs w:val="24"/>
          <w:lang w:val="ka-GE"/>
        </w:rPr>
        <w:t>ახალგაზრდა თაგვებში ძვლის განვითარებაზე სპეციფიკური ეფექტი დაფიქსირდა ფლუოქსეტინის ინტრაპერიტონეალური მიღების 4 კვირის შემდეგ, პერორალური MRHD-ზე 0.5 და 2-ჯერ მეტი დოზით 20 მგ/დღეში, მგ/მ</w:t>
      </w:r>
      <w:r w:rsidRPr="00BE4F57">
        <w:rPr>
          <w:rFonts w:ascii="Sylfaen" w:hAnsi="Sylfaen"/>
          <w:sz w:val="24"/>
          <w:szCs w:val="24"/>
          <w:vertAlign w:val="superscript"/>
          <w:lang w:val="ka-GE"/>
        </w:rPr>
        <w:t>2</w:t>
      </w:r>
      <w:r w:rsidRPr="00BE4F57">
        <w:rPr>
          <w:rFonts w:ascii="Sylfaen" w:hAnsi="Sylfaen"/>
          <w:sz w:val="24"/>
          <w:szCs w:val="24"/>
          <w:lang w:val="ka-GE"/>
        </w:rPr>
        <w:t>-ის მიხედვით, 4 კვირის განმავლობაში. ორივე დოზამ აჩვენა ძვლის მინერალიზაციისა და სიმკვრივის შემცირება, მაგრამ საერთო ზრდაზე (სხეულის წონის მატება ან ბარძაყის ძვლის სიგრძე) გავლენა არ მოუხდენია.</w:t>
      </w:r>
    </w:p>
    <w:p w14:paraId="655BE89E" w14:textId="77777777" w:rsidR="008B1423" w:rsidRPr="00BE4F57" w:rsidRDefault="008B1423" w:rsidP="00A14CA6">
      <w:pPr>
        <w:spacing w:after="0" w:line="240" w:lineRule="auto"/>
        <w:jc w:val="both"/>
        <w:rPr>
          <w:rFonts w:ascii="Sylfaen" w:hAnsi="Sylfaen"/>
          <w:sz w:val="24"/>
          <w:szCs w:val="24"/>
          <w:lang w:val="ka-GE"/>
        </w:rPr>
      </w:pPr>
    </w:p>
    <w:p w14:paraId="11F7D995" w14:textId="77777777" w:rsidR="008B1423" w:rsidRPr="00BE4F57" w:rsidRDefault="008B1423" w:rsidP="00A14CA6">
      <w:pPr>
        <w:spacing w:after="0" w:line="240" w:lineRule="auto"/>
        <w:jc w:val="both"/>
        <w:rPr>
          <w:rFonts w:ascii="Sylfaen" w:hAnsi="Sylfaen"/>
          <w:sz w:val="24"/>
          <w:szCs w:val="24"/>
          <w:lang w:val="ka-GE"/>
        </w:rPr>
      </w:pPr>
    </w:p>
    <w:p w14:paraId="6C62D6FC"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 ფარმაცევტული მახასიათებლები</w:t>
      </w:r>
    </w:p>
    <w:p w14:paraId="26DE61AF" w14:textId="77777777" w:rsidR="008B1423" w:rsidRPr="00BE4F57" w:rsidRDefault="008B1423" w:rsidP="00A14CA6">
      <w:pPr>
        <w:spacing w:after="0" w:line="240" w:lineRule="auto"/>
        <w:jc w:val="both"/>
        <w:rPr>
          <w:rFonts w:ascii="Sylfaen" w:hAnsi="Sylfaen"/>
          <w:sz w:val="24"/>
          <w:szCs w:val="24"/>
          <w:lang w:val="ka-GE"/>
        </w:rPr>
      </w:pPr>
    </w:p>
    <w:p w14:paraId="3C562BD9"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6.1 დამხმარე ნივთიერებების ჩამონათვალი</w:t>
      </w:r>
    </w:p>
    <w:p w14:paraId="50DD034A" w14:textId="77777777" w:rsidR="008B1423" w:rsidRPr="00BE4F57" w:rsidRDefault="008B1423" w:rsidP="00A14CA6">
      <w:pPr>
        <w:spacing w:after="0" w:line="240" w:lineRule="auto"/>
        <w:jc w:val="both"/>
        <w:rPr>
          <w:rFonts w:ascii="Sylfaen" w:hAnsi="Sylfaen"/>
          <w:sz w:val="24"/>
          <w:szCs w:val="24"/>
          <w:lang w:val="ka-GE"/>
        </w:rPr>
      </w:pPr>
    </w:p>
    <w:p w14:paraId="49D41775"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xml:space="preserve">პრეჟელატინიზირებული სახამებელი (1500) </w:t>
      </w:r>
    </w:p>
    <w:p w14:paraId="6894BAB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დიმეთიკონი (350 CS)</w:t>
      </w:r>
    </w:p>
    <w:p w14:paraId="2CCC0F2B" w14:textId="77777777" w:rsidR="008B1423" w:rsidRPr="00BE4F57" w:rsidRDefault="008B1423" w:rsidP="00A14CA6">
      <w:pPr>
        <w:spacing w:after="0" w:line="240" w:lineRule="auto"/>
        <w:jc w:val="both"/>
        <w:rPr>
          <w:rFonts w:ascii="Sylfaen" w:hAnsi="Sylfaen"/>
          <w:sz w:val="24"/>
          <w:szCs w:val="24"/>
          <w:lang w:val="ka-GE"/>
        </w:rPr>
      </w:pPr>
    </w:p>
    <w:p w14:paraId="2B6EB4C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კაფსულის გარსის კომპონენტი: Qu</w:t>
      </w:r>
      <w:r w:rsidRPr="00BE4F57">
        <w:rPr>
          <w:rFonts w:ascii="Times New Roman" w:hAnsi="Times New Roman"/>
          <w:sz w:val="24"/>
          <w:szCs w:val="24"/>
          <w:lang w:val="ka-GE"/>
        </w:rPr>
        <w:t>uinoline</w:t>
      </w:r>
      <w:r w:rsidRPr="00BE4F57">
        <w:rPr>
          <w:rFonts w:ascii="Times New Roman" w:hAnsi="Times New Roman"/>
          <w:spacing w:val="8"/>
          <w:sz w:val="24"/>
          <w:szCs w:val="24"/>
          <w:lang w:val="ka-GE"/>
        </w:rPr>
        <w:t xml:space="preserve"> </w:t>
      </w:r>
      <w:r w:rsidRPr="00BE4F57">
        <w:rPr>
          <w:rFonts w:ascii="Times New Roman" w:hAnsi="Times New Roman"/>
          <w:sz w:val="24"/>
          <w:szCs w:val="24"/>
          <w:lang w:val="ka-GE"/>
        </w:rPr>
        <w:t>yellow,</w:t>
      </w:r>
      <w:r w:rsidRPr="00BE4F57">
        <w:rPr>
          <w:rFonts w:ascii="Times New Roman" w:hAnsi="Times New Roman"/>
          <w:spacing w:val="10"/>
          <w:sz w:val="24"/>
          <w:szCs w:val="24"/>
          <w:lang w:val="ka-GE"/>
        </w:rPr>
        <w:t xml:space="preserve"> </w:t>
      </w:r>
      <w:r w:rsidRPr="00BE4F57">
        <w:rPr>
          <w:rFonts w:ascii="Times New Roman" w:hAnsi="Times New Roman"/>
          <w:sz w:val="24"/>
          <w:szCs w:val="24"/>
          <w:lang w:val="ka-GE"/>
        </w:rPr>
        <w:t>sunset</w:t>
      </w:r>
      <w:r w:rsidRPr="00BE4F57">
        <w:rPr>
          <w:rFonts w:ascii="Times New Roman" w:hAnsi="Times New Roman"/>
          <w:spacing w:val="9"/>
          <w:sz w:val="24"/>
          <w:szCs w:val="24"/>
          <w:lang w:val="ka-GE"/>
        </w:rPr>
        <w:t xml:space="preserve"> </w:t>
      </w:r>
      <w:r w:rsidRPr="00BE4F57">
        <w:rPr>
          <w:rFonts w:ascii="Times New Roman" w:hAnsi="Times New Roman"/>
          <w:sz w:val="24"/>
          <w:szCs w:val="24"/>
          <w:lang w:val="ka-GE"/>
        </w:rPr>
        <w:t>yellow</w:t>
      </w:r>
      <w:r w:rsidRPr="00BE4F57">
        <w:rPr>
          <w:rFonts w:ascii="Times New Roman" w:hAnsi="Times New Roman"/>
          <w:spacing w:val="6"/>
          <w:sz w:val="24"/>
          <w:szCs w:val="24"/>
          <w:lang w:val="ka-GE"/>
        </w:rPr>
        <w:t xml:space="preserve"> </w:t>
      </w:r>
      <w:r w:rsidRPr="00BE4F57">
        <w:rPr>
          <w:rFonts w:ascii="Times New Roman" w:hAnsi="Times New Roman"/>
          <w:sz w:val="24"/>
          <w:szCs w:val="24"/>
          <w:lang w:val="ka-GE"/>
        </w:rPr>
        <w:t>FCF,</w:t>
      </w:r>
      <w:r w:rsidRPr="00BE4F57">
        <w:rPr>
          <w:rFonts w:ascii="Times New Roman" w:hAnsi="Times New Roman"/>
          <w:spacing w:val="6"/>
          <w:sz w:val="24"/>
          <w:szCs w:val="24"/>
          <w:lang w:val="ka-GE"/>
        </w:rPr>
        <w:t xml:space="preserve"> </w:t>
      </w:r>
      <w:r w:rsidRPr="00BE4F57">
        <w:rPr>
          <w:rFonts w:ascii="Times New Roman" w:hAnsi="Times New Roman"/>
          <w:sz w:val="24"/>
          <w:szCs w:val="24"/>
          <w:lang w:val="ka-GE"/>
        </w:rPr>
        <w:t>erythrocine</w:t>
      </w:r>
      <w:r w:rsidRPr="00BE4F57">
        <w:rPr>
          <w:rFonts w:ascii="Times New Roman" w:hAnsi="Times New Roman"/>
          <w:spacing w:val="6"/>
          <w:sz w:val="24"/>
          <w:szCs w:val="24"/>
          <w:lang w:val="ka-GE"/>
        </w:rPr>
        <w:t xml:space="preserve"> </w:t>
      </w:r>
      <w:r w:rsidRPr="00BE4F57">
        <w:rPr>
          <w:rFonts w:ascii="Times New Roman" w:hAnsi="Times New Roman"/>
          <w:sz w:val="24"/>
          <w:szCs w:val="24"/>
          <w:lang w:val="ka-GE"/>
        </w:rPr>
        <w:t>– FD&amp;C</w:t>
      </w:r>
      <w:r w:rsidRPr="00BE4F57">
        <w:rPr>
          <w:rFonts w:ascii="Times New Roman" w:hAnsi="Times New Roman"/>
          <w:spacing w:val="7"/>
          <w:sz w:val="24"/>
          <w:szCs w:val="24"/>
          <w:lang w:val="ka-GE"/>
        </w:rPr>
        <w:t xml:space="preserve"> </w:t>
      </w:r>
      <w:r w:rsidRPr="00BE4F57">
        <w:rPr>
          <w:rFonts w:ascii="Times New Roman" w:hAnsi="Times New Roman"/>
          <w:sz w:val="24"/>
          <w:szCs w:val="24"/>
          <w:lang w:val="ka-GE"/>
        </w:rPr>
        <w:t>Red</w:t>
      </w:r>
      <w:r w:rsidRPr="00BE4F57">
        <w:rPr>
          <w:rFonts w:ascii="Times New Roman" w:hAnsi="Times New Roman"/>
          <w:spacing w:val="-57"/>
          <w:sz w:val="24"/>
          <w:szCs w:val="24"/>
          <w:lang w:val="ka-GE"/>
        </w:rPr>
        <w:t xml:space="preserve">  </w:t>
      </w:r>
      <w:r w:rsidRPr="00BE4F57">
        <w:rPr>
          <w:rFonts w:ascii="Times New Roman" w:hAnsi="Times New Roman"/>
          <w:sz w:val="24"/>
          <w:szCs w:val="24"/>
          <w:lang w:val="ka-GE"/>
        </w:rPr>
        <w:t xml:space="preserve"> No. 3</w:t>
      </w:r>
      <w:r w:rsidRPr="00BE4F57">
        <w:rPr>
          <w:rFonts w:ascii="Sylfaen" w:hAnsi="Sylfaen"/>
          <w:sz w:val="24"/>
          <w:szCs w:val="24"/>
          <w:lang w:val="ka-GE"/>
        </w:rPr>
        <w:t>, ტიტანის დიოქსიდი, ჟელატინი (მსხვილფეხა რქოსანი პირუტყვის).</w:t>
      </w:r>
    </w:p>
    <w:p w14:paraId="511AB739" w14:textId="77777777" w:rsidR="008B1423" w:rsidRPr="00BE4F57" w:rsidRDefault="008B1423" w:rsidP="00A14CA6">
      <w:pPr>
        <w:spacing w:after="0" w:line="240" w:lineRule="auto"/>
        <w:jc w:val="both"/>
        <w:rPr>
          <w:rFonts w:ascii="Sylfaen" w:hAnsi="Sylfaen"/>
          <w:sz w:val="24"/>
          <w:szCs w:val="24"/>
          <w:lang w:val="ka-GE"/>
        </w:rPr>
      </w:pPr>
    </w:p>
    <w:p w14:paraId="08F3D9A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6.2 შეუთავსებლობა</w:t>
      </w:r>
    </w:p>
    <w:p w14:paraId="0DF0B9C0"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არ არის წარმოდგენილი</w:t>
      </w:r>
    </w:p>
    <w:p w14:paraId="6712C06E" w14:textId="77777777" w:rsidR="008B1423" w:rsidRPr="00BE4F57" w:rsidRDefault="008B1423" w:rsidP="00A14CA6">
      <w:pPr>
        <w:spacing w:after="0" w:line="240" w:lineRule="auto"/>
        <w:jc w:val="both"/>
        <w:rPr>
          <w:rFonts w:ascii="Sylfaen" w:hAnsi="Sylfaen"/>
          <w:sz w:val="24"/>
          <w:szCs w:val="24"/>
          <w:lang w:val="ka-GE"/>
        </w:rPr>
      </w:pPr>
    </w:p>
    <w:p w14:paraId="556D3951"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6.3. ვარგისობის ვადა</w:t>
      </w:r>
    </w:p>
    <w:p w14:paraId="5A3CADD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36 თვე</w:t>
      </w:r>
    </w:p>
    <w:p w14:paraId="64E61401" w14:textId="77777777" w:rsidR="008B1423" w:rsidRPr="00BE4F57" w:rsidRDefault="008B1423" w:rsidP="00A14CA6">
      <w:pPr>
        <w:spacing w:after="0" w:line="240" w:lineRule="auto"/>
        <w:jc w:val="both"/>
        <w:rPr>
          <w:rFonts w:ascii="Sylfaen" w:hAnsi="Sylfaen"/>
          <w:sz w:val="24"/>
          <w:szCs w:val="24"/>
          <w:lang w:val="ka-GE"/>
        </w:rPr>
      </w:pPr>
    </w:p>
    <w:p w14:paraId="699A50B7" w14:textId="77777777" w:rsidR="008B1423" w:rsidRPr="00BE4F57" w:rsidRDefault="008B1423" w:rsidP="00A14CA6">
      <w:pPr>
        <w:spacing w:after="0" w:line="240" w:lineRule="auto"/>
        <w:rPr>
          <w:rFonts w:ascii="Sylfaen" w:hAnsi="Sylfaen"/>
          <w:b/>
          <w:sz w:val="24"/>
          <w:szCs w:val="24"/>
          <w:lang w:val="ka-GE" w:eastAsia="es-ES"/>
        </w:rPr>
      </w:pPr>
      <w:r w:rsidRPr="00BE4F57">
        <w:rPr>
          <w:rFonts w:ascii="Sylfaen" w:hAnsi="Sylfaen"/>
          <w:b/>
          <w:sz w:val="24"/>
          <w:szCs w:val="24"/>
          <w:lang w:val="ka-GE" w:eastAsia="es-ES"/>
        </w:rPr>
        <w:t>6.4.  სიფრთხილის განსაკუთრებული ზომები შენახვისას</w:t>
      </w:r>
    </w:p>
    <w:p w14:paraId="60175AF7"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უნდა ინახებოდეს 25ºC-ზე დაბალ ოთახის ტემპერატურაზე.</w:t>
      </w:r>
    </w:p>
    <w:p w14:paraId="7B099170" w14:textId="77777777" w:rsidR="008B1423" w:rsidRPr="00BE4F57" w:rsidRDefault="008B1423" w:rsidP="00A14CA6">
      <w:pPr>
        <w:spacing w:after="0" w:line="240" w:lineRule="auto"/>
        <w:jc w:val="both"/>
        <w:rPr>
          <w:rFonts w:ascii="Sylfaen" w:hAnsi="Sylfaen"/>
          <w:sz w:val="24"/>
          <w:szCs w:val="24"/>
          <w:lang w:val="ka-GE"/>
        </w:rPr>
      </w:pPr>
    </w:p>
    <w:p w14:paraId="391D827A"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6.5. კონტეინერის სახეობა და შიგთავსი</w:t>
      </w:r>
    </w:p>
    <w:p w14:paraId="3C2367D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ალუმინის/ალუმინის ბლისტერული შეფუთვა 10 ტაბლეტით. 3 ასეთი ბლისტერი მუყაოს კოლოფში.</w:t>
      </w:r>
    </w:p>
    <w:p w14:paraId="3553CE64" w14:textId="77777777" w:rsidR="008B1423" w:rsidRPr="00BE4F57" w:rsidRDefault="008B1423" w:rsidP="00A14CA6">
      <w:pPr>
        <w:spacing w:after="0" w:line="240" w:lineRule="auto"/>
        <w:jc w:val="both"/>
        <w:rPr>
          <w:rFonts w:ascii="Sylfaen" w:hAnsi="Sylfaen"/>
          <w:sz w:val="24"/>
          <w:szCs w:val="24"/>
          <w:lang w:val="ka-GE"/>
        </w:rPr>
      </w:pPr>
    </w:p>
    <w:p w14:paraId="6B21B502"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6.6. გამოყენებული სამკურნალო პროდუქტის განადგურებისა და პროდუქტის სხვა დამუშავების განსაკუთრებული სიფრთხილის ზომები</w:t>
      </w:r>
    </w:p>
    <w:p w14:paraId="0729F009"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განადგურეთ „სამედიცინო ნარჩენების კონტროლის შესახებ რეგულაციის“ და „შეფუთვის ნარჩენების კონტროლის შესახებ რეგულაციის“ შესაბამისად.</w:t>
      </w:r>
    </w:p>
    <w:p w14:paraId="6EEA48BB" w14:textId="77777777" w:rsidR="008B1423" w:rsidRDefault="008B1423" w:rsidP="00A14CA6">
      <w:pPr>
        <w:spacing w:after="0" w:line="240" w:lineRule="auto"/>
        <w:jc w:val="both"/>
        <w:rPr>
          <w:rFonts w:ascii="Sylfaen" w:hAnsi="Sylfaen"/>
          <w:b/>
          <w:sz w:val="24"/>
          <w:szCs w:val="24"/>
          <w:lang w:val="ka-GE"/>
        </w:rPr>
      </w:pPr>
    </w:p>
    <w:p w14:paraId="42493351" w14:textId="77777777" w:rsidR="00BE4F57" w:rsidRDefault="00BE4F57" w:rsidP="00BE4F57">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0D42894A" w14:textId="77777777" w:rsidR="00BE4F57" w:rsidRPr="000F4D22" w:rsidRDefault="00BE4F57" w:rsidP="00BE4F57">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050F980F" w14:textId="77777777" w:rsidR="00BE4F57" w:rsidRPr="00BE4F57" w:rsidRDefault="00BE4F57" w:rsidP="00A14CA6">
      <w:pPr>
        <w:spacing w:after="0" w:line="240" w:lineRule="auto"/>
        <w:jc w:val="both"/>
        <w:rPr>
          <w:rFonts w:ascii="Sylfaen" w:hAnsi="Sylfaen"/>
          <w:b/>
          <w:sz w:val="24"/>
          <w:szCs w:val="24"/>
          <w:lang w:val="ka-GE"/>
        </w:rPr>
      </w:pPr>
    </w:p>
    <w:p w14:paraId="2CF5285E"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7. მარკეტინგული ავტორიზაციის მფლობელი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6050"/>
      </w:tblGrid>
      <w:tr w:rsidR="008B1423" w:rsidRPr="00BE4F57" w14:paraId="4C742E74" w14:textId="77777777" w:rsidTr="001D43CA">
        <w:tc>
          <w:tcPr>
            <w:tcW w:w="2518" w:type="dxa"/>
          </w:tcPr>
          <w:p w14:paraId="541A707E"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სახელწოდება</w:t>
            </w:r>
          </w:p>
        </w:tc>
        <w:tc>
          <w:tcPr>
            <w:tcW w:w="6050" w:type="dxa"/>
          </w:tcPr>
          <w:p w14:paraId="155A838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w:t>
            </w:r>
            <w:r w:rsidRPr="00BE4F57">
              <w:rPr>
                <w:rFonts w:ascii="Sylfaen" w:hAnsi="Sylfaen"/>
                <w:sz w:val="24"/>
                <w:szCs w:val="24"/>
              </w:rPr>
              <w:t xml:space="preserve"> Abdi İbrahim İlaç</w:t>
            </w:r>
            <w:r w:rsidRPr="00BE4F57">
              <w:rPr>
                <w:rFonts w:ascii="Sylfaen" w:hAnsi="Sylfaen"/>
                <w:spacing w:val="-2"/>
                <w:sz w:val="24"/>
                <w:szCs w:val="24"/>
              </w:rPr>
              <w:t xml:space="preserve"> </w:t>
            </w:r>
            <w:r w:rsidRPr="00BE4F57">
              <w:rPr>
                <w:rFonts w:ascii="Sylfaen" w:hAnsi="Sylfaen"/>
                <w:sz w:val="24"/>
                <w:szCs w:val="24"/>
              </w:rPr>
              <w:t>San. ve</w:t>
            </w:r>
            <w:r w:rsidRPr="00BE4F57">
              <w:rPr>
                <w:rFonts w:ascii="Sylfaen" w:hAnsi="Sylfaen"/>
                <w:spacing w:val="-3"/>
                <w:sz w:val="24"/>
                <w:szCs w:val="24"/>
              </w:rPr>
              <w:t xml:space="preserve"> </w:t>
            </w:r>
            <w:r w:rsidRPr="00BE4F57">
              <w:rPr>
                <w:rFonts w:ascii="Sylfaen" w:hAnsi="Sylfaen"/>
                <w:sz w:val="24"/>
                <w:szCs w:val="24"/>
              </w:rPr>
              <w:t>Tic.</w:t>
            </w:r>
            <w:r w:rsidRPr="00BE4F57">
              <w:rPr>
                <w:rFonts w:ascii="Sylfaen" w:hAnsi="Sylfaen"/>
                <w:sz w:val="24"/>
                <w:szCs w:val="24"/>
                <w:lang w:val="ka-GE"/>
              </w:rPr>
              <w:t xml:space="preserve"> A.Ş.</w:t>
            </w:r>
          </w:p>
        </w:tc>
      </w:tr>
      <w:tr w:rsidR="008B1423" w:rsidRPr="00BE4F57" w14:paraId="2CFEB396" w14:textId="77777777" w:rsidTr="001D43CA">
        <w:trPr>
          <w:trHeight w:val="259"/>
        </w:trPr>
        <w:tc>
          <w:tcPr>
            <w:tcW w:w="2518" w:type="dxa"/>
          </w:tcPr>
          <w:p w14:paraId="2026E744" w14:textId="77777777" w:rsidR="008B1423" w:rsidRPr="00BE4F57" w:rsidRDefault="008B1423" w:rsidP="00A14CA6">
            <w:pPr>
              <w:spacing w:after="0" w:line="240" w:lineRule="auto"/>
              <w:jc w:val="both"/>
              <w:rPr>
                <w:rFonts w:ascii="Sylfaen" w:hAnsi="Sylfaen"/>
                <w:sz w:val="24"/>
                <w:szCs w:val="24"/>
                <w:lang w:val="ka-GE"/>
              </w:rPr>
            </w:pPr>
          </w:p>
        </w:tc>
        <w:tc>
          <w:tcPr>
            <w:tcW w:w="6050" w:type="dxa"/>
          </w:tcPr>
          <w:p w14:paraId="0F82EE5A" w14:textId="77777777" w:rsidR="008B1423" w:rsidRPr="00BE4F57" w:rsidRDefault="008B1423" w:rsidP="00A14CA6">
            <w:pPr>
              <w:spacing w:after="0" w:line="240" w:lineRule="auto"/>
              <w:jc w:val="both"/>
              <w:rPr>
                <w:rFonts w:ascii="Sylfaen" w:hAnsi="Sylfaen"/>
                <w:sz w:val="24"/>
                <w:szCs w:val="24"/>
                <w:lang w:val="ka-GE"/>
              </w:rPr>
            </w:pPr>
          </w:p>
        </w:tc>
      </w:tr>
      <w:tr w:rsidR="008B1423" w:rsidRPr="00BE4F57" w14:paraId="7D98EEC0" w14:textId="77777777" w:rsidTr="001D43CA">
        <w:tc>
          <w:tcPr>
            <w:tcW w:w="2518" w:type="dxa"/>
          </w:tcPr>
          <w:p w14:paraId="423C4082"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მისამართი</w:t>
            </w:r>
          </w:p>
        </w:tc>
        <w:tc>
          <w:tcPr>
            <w:tcW w:w="6050" w:type="dxa"/>
          </w:tcPr>
          <w:p w14:paraId="1C838BDA"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:Reşitpaşa Mah. Eski Büyükdere Cad.No:4</w:t>
            </w:r>
            <w:r w:rsidRPr="00BE4F57">
              <w:rPr>
                <w:rFonts w:ascii="Sylfaen" w:hAnsi="Sylfaen"/>
                <w:spacing w:val="1"/>
                <w:sz w:val="24"/>
                <w:szCs w:val="24"/>
                <w:lang w:val="ka-GE"/>
              </w:rPr>
              <w:t xml:space="preserve"> </w:t>
            </w:r>
            <w:r w:rsidRPr="00BE4F57">
              <w:rPr>
                <w:rFonts w:ascii="Sylfaen" w:hAnsi="Sylfaen"/>
                <w:sz w:val="24"/>
                <w:szCs w:val="24"/>
                <w:lang w:val="ka-GE"/>
              </w:rPr>
              <w:t>34467</w:t>
            </w:r>
            <w:r w:rsidRPr="00BE4F57">
              <w:rPr>
                <w:rFonts w:ascii="Sylfaen" w:hAnsi="Sylfaen"/>
                <w:spacing w:val="-57"/>
                <w:sz w:val="24"/>
                <w:szCs w:val="24"/>
                <w:lang w:val="ka-GE"/>
              </w:rPr>
              <w:t xml:space="preserve"> </w:t>
            </w:r>
            <w:r w:rsidRPr="00BE4F57">
              <w:rPr>
                <w:rFonts w:ascii="Sylfaen" w:hAnsi="Sylfaen"/>
                <w:sz w:val="24"/>
                <w:szCs w:val="24"/>
                <w:lang w:val="ka-GE"/>
              </w:rPr>
              <w:lastRenderedPageBreak/>
              <w:t>Maslak/Sarıyer/სტამბოლი/თურქეთი</w:t>
            </w:r>
          </w:p>
        </w:tc>
      </w:tr>
      <w:tr w:rsidR="008B1423" w:rsidRPr="00BE4F57" w14:paraId="6C191E01" w14:textId="77777777" w:rsidTr="001D43CA">
        <w:tc>
          <w:tcPr>
            <w:tcW w:w="2518" w:type="dxa"/>
          </w:tcPr>
          <w:p w14:paraId="6F0C43A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lastRenderedPageBreak/>
              <w:t>ტელეფონის  ნომერი</w:t>
            </w:r>
          </w:p>
        </w:tc>
        <w:tc>
          <w:tcPr>
            <w:tcW w:w="6050" w:type="dxa"/>
          </w:tcPr>
          <w:p w14:paraId="448CE424"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0212 366 84 00</w:t>
            </w:r>
          </w:p>
        </w:tc>
      </w:tr>
      <w:tr w:rsidR="008B1423" w:rsidRPr="00BE4F57" w14:paraId="0D474FF2" w14:textId="77777777" w:rsidTr="001D43CA">
        <w:tc>
          <w:tcPr>
            <w:tcW w:w="2518" w:type="dxa"/>
          </w:tcPr>
          <w:p w14:paraId="1AA0FFE8"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ფაქსის ნომერი</w:t>
            </w:r>
          </w:p>
        </w:tc>
        <w:tc>
          <w:tcPr>
            <w:tcW w:w="6050" w:type="dxa"/>
          </w:tcPr>
          <w:p w14:paraId="2D861E5B"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 0212 276 20 20</w:t>
            </w:r>
          </w:p>
        </w:tc>
      </w:tr>
    </w:tbl>
    <w:p w14:paraId="03D2A3F3" w14:textId="77777777" w:rsidR="008B1423" w:rsidRPr="00BE4F57" w:rsidRDefault="008B1423" w:rsidP="00A14CA6">
      <w:pPr>
        <w:spacing w:after="0" w:line="240" w:lineRule="auto"/>
        <w:jc w:val="both"/>
        <w:rPr>
          <w:rFonts w:ascii="Sylfaen" w:hAnsi="Sylfaen"/>
          <w:sz w:val="24"/>
          <w:szCs w:val="24"/>
          <w:lang w:val="ka-GE"/>
        </w:rPr>
      </w:pPr>
    </w:p>
    <w:p w14:paraId="42E85B1F"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8. მარკეტინგული ავტორიზაციის ნომერი</w:t>
      </w:r>
    </w:p>
    <w:p w14:paraId="66FC96CA" w14:textId="77777777" w:rsidR="008B1423" w:rsidRPr="00BE4F57" w:rsidRDefault="008B1423" w:rsidP="00A14CA6">
      <w:pPr>
        <w:spacing w:after="0" w:line="240" w:lineRule="auto"/>
        <w:jc w:val="both"/>
        <w:rPr>
          <w:rFonts w:ascii="Sylfaen" w:hAnsi="Sylfaen"/>
          <w:sz w:val="24"/>
          <w:szCs w:val="24"/>
          <w:lang w:val="ka-GE"/>
        </w:rPr>
      </w:pPr>
    </w:p>
    <w:p w14:paraId="0331BE1F" w14:textId="77777777" w:rsidR="008B1423" w:rsidRPr="00BE4F57" w:rsidRDefault="008B1423" w:rsidP="00A14CA6">
      <w:pPr>
        <w:spacing w:after="0" w:line="240" w:lineRule="auto"/>
        <w:jc w:val="both"/>
        <w:rPr>
          <w:rFonts w:ascii="Sylfaen" w:hAnsi="Sylfaen"/>
          <w:sz w:val="24"/>
          <w:szCs w:val="24"/>
          <w:lang w:val="ka-GE"/>
        </w:rPr>
      </w:pPr>
    </w:p>
    <w:p w14:paraId="26574C9B"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9. პირველი ავტორიზაციის/ავტორიზაციის განახლების თარიღი</w:t>
      </w:r>
    </w:p>
    <w:p w14:paraId="7E22A9A1" w14:textId="77777777" w:rsidR="008B1423" w:rsidRPr="00BE4F57" w:rsidRDefault="008B1423" w:rsidP="00A14CA6">
      <w:pPr>
        <w:spacing w:after="0" w:line="240" w:lineRule="auto"/>
        <w:jc w:val="both"/>
        <w:rPr>
          <w:rFonts w:ascii="Sylfaen" w:hAnsi="Sylfaen"/>
          <w:sz w:val="24"/>
          <w:szCs w:val="24"/>
          <w:lang w:val="ka-GE"/>
        </w:rPr>
      </w:pPr>
    </w:p>
    <w:p w14:paraId="12D275B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პირველი ავტორიზაციის თარიღი:</w:t>
      </w:r>
    </w:p>
    <w:p w14:paraId="2EFB64AC" w14:textId="77777777" w:rsidR="008B1423" w:rsidRPr="00BE4F57" w:rsidRDefault="008B1423" w:rsidP="00A14CA6">
      <w:pPr>
        <w:spacing w:after="0" w:line="240" w:lineRule="auto"/>
        <w:jc w:val="both"/>
        <w:rPr>
          <w:rFonts w:ascii="Sylfaen" w:hAnsi="Sylfaen"/>
          <w:sz w:val="24"/>
          <w:szCs w:val="24"/>
          <w:lang w:val="ka-GE"/>
        </w:rPr>
      </w:pPr>
      <w:r w:rsidRPr="00BE4F57">
        <w:rPr>
          <w:rFonts w:ascii="Sylfaen" w:hAnsi="Sylfaen"/>
          <w:sz w:val="24"/>
          <w:szCs w:val="24"/>
          <w:lang w:val="ka-GE"/>
        </w:rPr>
        <w:t>ავტორიზაციის განახლების თარიღი:</w:t>
      </w:r>
    </w:p>
    <w:p w14:paraId="7D51D6E0" w14:textId="77777777" w:rsidR="008B1423" w:rsidRPr="00BE4F57" w:rsidRDefault="008B1423" w:rsidP="00A14CA6">
      <w:pPr>
        <w:spacing w:after="0" w:line="240" w:lineRule="auto"/>
        <w:jc w:val="both"/>
        <w:rPr>
          <w:rFonts w:ascii="Sylfaen" w:hAnsi="Sylfaen"/>
          <w:sz w:val="24"/>
          <w:szCs w:val="24"/>
          <w:lang w:val="ka-GE"/>
        </w:rPr>
      </w:pPr>
    </w:p>
    <w:p w14:paraId="47AD38A6" w14:textId="77777777" w:rsidR="008B1423" w:rsidRPr="00BE4F57" w:rsidRDefault="008B1423" w:rsidP="00A14CA6">
      <w:pPr>
        <w:spacing w:after="0" w:line="240" w:lineRule="auto"/>
        <w:jc w:val="both"/>
        <w:rPr>
          <w:rFonts w:ascii="Sylfaen" w:hAnsi="Sylfaen"/>
          <w:b/>
          <w:sz w:val="24"/>
          <w:szCs w:val="24"/>
          <w:lang w:val="ka-GE"/>
        </w:rPr>
      </w:pPr>
      <w:r w:rsidRPr="00BE4F57">
        <w:rPr>
          <w:rFonts w:ascii="Sylfaen" w:hAnsi="Sylfaen"/>
          <w:b/>
          <w:sz w:val="24"/>
          <w:szCs w:val="24"/>
          <w:lang w:val="ka-GE"/>
        </w:rPr>
        <w:t xml:space="preserve">10. </w:t>
      </w:r>
      <w:r w:rsidRPr="00BE4F57">
        <w:rPr>
          <w:rFonts w:ascii="Sylfaen" w:hAnsi="Sylfaen" w:cs="Sylfaen"/>
          <w:b/>
          <w:sz w:val="24"/>
          <w:szCs w:val="24"/>
          <w:lang w:val="ka-GE"/>
        </w:rPr>
        <w:t>პროდუქტის</w:t>
      </w:r>
      <w:r w:rsidRPr="00BE4F57">
        <w:rPr>
          <w:rFonts w:ascii="Sylfaen" w:hAnsi="Sylfaen"/>
          <w:b/>
          <w:sz w:val="24"/>
          <w:szCs w:val="24"/>
          <w:lang w:val="ka-GE"/>
        </w:rPr>
        <w:t xml:space="preserve"> ზოგადი დახასიათების გადახედვის თარიღი</w:t>
      </w:r>
    </w:p>
    <w:p w14:paraId="5B631A16" w14:textId="77777777" w:rsidR="008B1423" w:rsidRPr="00BE4F57" w:rsidRDefault="008B1423" w:rsidP="00A14CA6">
      <w:pPr>
        <w:tabs>
          <w:tab w:val="left" w:pos="1590"/>
        </w:tabs>
        <w:spacing w:after="0" w:line="240" w:lineRule="auto"/>
        <w:rPr>
          <w:bCs/>
          <w:sz w:val="24"/>
          <w:szCs w:val="24"/>
        </w:rPr>
      </w:pPr>
      <w:r w:rsidRPr="00BE4F57">
        <w:rPr>
          <w:bCs/>
          <w:sz w:val="24"/>
          <w:szCs w:val="24"/>
        </w:rPr>
        <w:t>28.10.2025</w:t>
      </w:r>
    </w:p>
    <w:p w14:paraId="03EC9969" w14:textId="77777777" w:rsidR="008B1423" w:rsidRPr="00BE4F57" w:rsidRDefault="008B1423" w:rsidP="00A14CA6">
      <w:pPr>
        <w:spacing w:after="0" w:line="240" w:lineRule="auto"/>
        <w:jc w:val="both"/>
        <w:rPr>
          <w:rFonts w:ascii="Sylfaen" w:hAnsi="Sylfaen"/>
          <w:sz w:val="24"/>
          <w:szCs w:val="24"/>
          <w:u w:val="single"/>
          <w:lang w:val="ka-GE"/>
        </w:rPr>
      </w:pPr>
    </w:p>
    <w:sectPr w:rsidR="008B1423" w:rsidRPr="00BE4F57" w:rsidSect="00A14CA6">
      <w:pgSz w:w="12240" w:h="15840"/>
      <w:pgMar w:top="360" w:right="720" w:bottom="54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E6BA3" w14:textId="77777777" w:rsidR="00AC5D7A" w:rsidRDefault="00AC5D7A" w:rsidP="000A62E5">
      <w:pPr>
        <w:spacing w:after="0" w:line="240" w:lineRule="auto"/>
      </w:pPr>
      <w:r>
        <w:separator/>
      </w:r>
    </w:p>
  </w:endnote>
  <w:endnote w:type="continuationSeparator" w:id="0">
    <w:p w14:paraId="007B81D1" w14:textId="77777777" w:rsidR="00AC5D7A" w:rsidRDefault="00AC5D7A" w:rsidP="000A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t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1B8AC" w14:textId="77777777" w:rsidR="00AC5D7A" w:rsidRDefault="00AC5D7A" w:rsidP="000A62E5">
      <w:pPr>
        <w:spacing w:after="0" w:line="240" w:lineRule="auto"/>
      </w:pPr>
      <w:r>
        <w:separator/>
      </w:r>
    </w:p>
  </w:footnote>
  <w:footnote w:type="continuationSeparator" w:id="0">
    <w:p w14:paraId="1F62066D" w14:textId="77777777" w:rsidR="00AC5D7A" w:rsidRDefault="00AC5D7A" w:rsidP="000A6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385E"/>
    <w:multiLevelType w:val="hybridMultilevel"/>
    <w:tmpl w:val="79506FB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E446A"/>
    <w:multiLevelType w:val="hybridMultilevel"/>
    <w:tmpl w:val="AA54E860"/>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52367"/>
    <w:multiLevelType w:val="hybridMultilevel"/>
    <w:tmpl w:val="A50A22B0"/>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76C3F"/>
    <w:multiLevelType w:val="hybridMultilevel"/>
    <w:tmpl w:val="F5E4D5F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C21DD"/>
    <w:multiLevelType w:val="hybridMultilevel"/>
    <w:tmpl w:val="C86A32B4"/>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D689A"/>
    <w:multiLevelType w:val="hybridMultilevel"/>
    <w:tmpl w:val="778CBA62"/>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9D4941"/>
    <w:multiLevelType w:val="hybridMultilevel"/>
    <w:tmpl w:val="2D322CDA"/>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6594E"/>
    <w:multiLevelType w:val="hybridMultilevel"/>
    <w:tmpl w:val="8AEAB2A8"/>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6163D9"/>
    <w:multiLevelType w:val="hybridMultilevel"/>
    <w:tmpl w:val="2480D042"/>
    <w:lvl w:ilvl="0" w:tplc="3678E274">
      <w:start w:val="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2C234C"/>
    <w:multiLevelType w:val="hybridMultilevel"/>
    <w:tmpl w:val="C89230EC"/>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946279"/>
    <w:multiLevelType w:val="hybridMultilevel"/>
    <w:tmpl w:val="248EC0B2"/>
    <w:lvl w:ilvl="0" w:tplc="7C0C548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83E11"/>
    <w:multiLevelType w:val="hybridMultilevel"/>
    <w:tmpl w:val="90CEB77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E4A12"/>
    <w:multiLevelType w:val="hybridMultilevel"/>
    <w:tmpl w:val="933AB13A"/>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2704D"/>
    <w:multiLevelType w:val="hybridMultilevel"/>
    <w:tmpl w:val="07C20FB4"/>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ED2D76"/>
    <w:multiLevelType w:val="hybridMultilevel"/>
    <w:tmpl w:val="99BEA48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790E87"/>
    <w:multiLevelType w:val="hybridMultilevel"/>
    <w:tmpl w:val="0804C62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93C28"/>
    <w:multiLevelType w:val="hybridMultilevel"/>
    <w:tmpl w:val="1A2C5FF4"/>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FD039E"/>
    <w:multiLevelType w:val="hybridMultilevel"/>
    <w:tmpl w:val="D286E26A"/>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8F719A"/>
    <w:multiLevelType w:val="hybridMultilevel"/>
    <w:tmpl w:val="D4125AA0"/>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3D17D0"/>
    <w:multiLevelType w:val="hybridMultilevel"/>
    <w:tmpl w:val="3EBC4754"/>
    <w:lvl w:ilvl="0" w:tplc="22602816">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E3CDE"/>
    <w:multiLevelType w:val="hybridMultilevel"/>
    <w:tmpl w:val="872C276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84A25"/>
    <w:multiLevelType w:val="hybridMultilevel"/>
    <w:tmpl w:val="7722DF9C"/>
    <w:lvl w:ilvl="0" w:tplc="7FA0A8BE">
      <w:start w:val="150"/>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87108"/>
    <w:multiLevelType w:val="hybridMultilevel"/>
    <w:tmpl w:val="296A2A3A"/>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946273"/>
    <w:multiLevelType w:val="hybridMultilevel"/>
    <w:tmpl w:val="48DA2CE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C4F57"/>
    <w:multiLevelType w:val="hybridMultilevel"/>
    <w:tmpl w:val="F154B962"/>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955FA"/>
    <w:multiLevelType w:val="hybridMultilevel"/>
    <w:tmpl w:val="5BD466D8"/>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801A4D"/>
    <w:multiLevelType w:val="hybridMultilevel"/>
    <w:tmpl w:val="861A314C"/>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A6AE3"/>
    <w:multiLevelType w:val="hybridMultilevel"/>
    <w:tmpl w:val="88F6C102"/>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E125F2"/>
    <w:multiLevelType w:val="hybridMultilevel"/>
    <w:tmpl w:val="EA42A752"/>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42426"/>
    <w:multiLevelType w:val="hybridMultilevel"/>
    <w:tmpl w:val="09E6003A"/>
    <w:lvl w:ilvl="0" w:tplc="7636859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7E09F6"/>
    <w:multiLevelType w:val="hybridMultilevel"/>
    <w:tmpl w:val="A6EAC736"/>
    <w:lvl w:ilvl="0" w:tplc="F4EA4C3C">
      <w:start w:val="38"/>
      <w:numFmt w:val="bullet"/>
      <w:lvlText w:val="-"/>
      <w:lvlJc w:val="left"/>
      <w:pPr>
        <w:ind w:left="720" w:hanging="360"/>
      </w:pPr>
      <w:rPr>
        <w:rFonts w:ascii="LitNusx" w:eastAsia="Times New Roman" w:hAnsi="LitNusx"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5D7488"/>
    <w:multiLevelType w:val="hybridMultilevel"/>
    <w:tmpl w:val="9DB46B74"/>
    <w:lvl w:ilvl="0" w:tplc="6B0AECA8">
      <w:start w:val="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410958">
    <w:abstractNumId w:val="26"/>
  </w:num>
  <w:num w:numId="2" w16cid:durableId="1181316954">
    <w:abstractNumId w:val="2"/>
  </w:num>
  <w:num w:numId="3" w16cid:durableId="289678079">
    <w:abstractNumId w:val="24"/>
  </w:num>
  <w:num w:numId="4" w16cid:durableId="1978802511">
    <w:abstractNumId w:val="21"/>
  </w:num>
  <w:num w:numId="5" w16cid:durableId="367142105">
    <w:abstractNumId w:val="13"/>
  </w:num>
  <w:num w:numId="6" w16cid:durableId="900559639">
    <w:abstractNumId w:val="12"/>
  </w:num>
  <w:num w:numId="7" w16cid:durableId="1299334085">
    <w:abstractNumId w:val="8"/>
  </w:num>
  <w:num w:numId="8" w16cid:durableId="654451872">
    <w:abstractNumId w:val="18"/>
  </w:num>
  <w:num w:numId="9" w16cid:durableId="2051298732">
    <w:abstractNumId w:val="22"/>
  </w:num>
  <w:num w:numId="10" w16cid:durableId="838542734">
    <w:abstractNumId w:val="17"/>
  </w:num>
  <w:num w:numId="11" w16cid:durableId="569925532">
    <w:abstractNumId w:val="15"/>
  </w:num>
  <w:num w:numId="12" w16cid:durableId="640112863">
    <w:abstractNumId w:val="6"/>
  </w:num>
  <w:num w:numId="13" w16cid:durableId="366835892">
    <w:abstractNumId w:val="11"/>
  </w:num>
  <w:num w:numId="14" w16cid:durableId="413547928">
    <w:abstractNumId w:val="9"/>
  </w:num>
  <w:num w:numId="15" w16cid:durableId="1366561665">
    <w:abstractNumId w:val="25"/>
  </w:num>
  <w:num w:numId="16" w16cid:durableId="1759402195">
    <w:abstractNumId w:val="14"/>
  </w:num>
  <w:num w:numId="17" w16cid:durableId="877744684">
    <w:abstractNumId w:val="7"/>
  </w:num>
  <w:num w:numId="18" w16cid:durableId="1941989592">
    <w:abstractNumId w:val="5"/>
  </w:num>
  <w:num w:numId="19" w16cid:durableId="1640767209">
    <w:abstractNumId w:val="27"/>
  </w:num>
  <w:num w:numId="20" w16cid:durableId="681131191">
    <w:abstractNumId w:val="30"/>
  </w:num>
  <w:num w:numId="21" w16cid:durableId="1334256400">
    <w:abstractNumId w:val="31"/>
  </w:num>
  <w:num w:numId="22" w16cid:durableId="405421157">
    <w:abstractNumId w:val="4"/>
  </w:num>
  <w:num w:numId="23" w16cid:durableId="186257506">
    <w:abstractNumId w:val="23"/>
  </w:num>
  <w:num w:numId="24" w16cid:durableId="38745752">
    <w:abstractNumId w:val="3"/>
  </w:num>
  <w:num w:numId="25" w16cid:durableId="1110320213">
    <w:abstractNumId w:val="16"/>
  </w:num>
  <w:num w:numId="26" w16cid:durableId="665979790">
    <w:abstractNumId w:val="1"/>
  </w:num>
  <w:num w:numId="27" w16cid:durableId="1848247987">
    <w:abstractNumId w:val="20"/>
  </w:num>
  <w:num w:numId="28" w16cid:durableId="1167553562">
    <w:abstractNumId w:val="0"/>
  </w:num>
  <w:num w:numId="29" w16cid:durableId="682895554">
    <w:abstractNumId w:val="28"/>
  </w:num>
  <w:num w:numId="30" w16cid:durableId="1451125807">
    <w:abstractNumId w:val="19"/>
  </w:num>
  <w:num w:numId="31" w16cid:durableId="440488981">
    <w:abstractNumId w:val="10"/>
  </w:num>
  <w:num w:numId="32" w16cid:durableId="214122230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62E5"/>
    <w:rsid w:val="00010F58"/>
    <w:rsid w:val="0001203E"/>
    <w:rsid w:val="000152A5"/>
    <w:rsid w:val="00017DA7"/>
    <w:rsid w:val="00022191"/>
    <w:rsid w:val="000222E7"/>
    <w:rsid w:val="000226AA"/>
    <w:rsid w:val="00023731"/>
    <w:rsid w:val="000239C3"/>
    <w:rsid w:val="00024A1A"/>
    <w:rsid w:val="00027857"/>
    <w:rsid w:val="0003390E"/>
    <w:rsid w:val="000344B7"/>
    <w:rsid w:val="00036BA2"/>
    <w:rsid w:val="00037DD3"/>
    <w:rsid w:val="00040563"/>
    <w:rsid w:val="00042AFE"/>
    <w:rsid w:val="00042DB2"/>
    <w:rsid w:val="000464B4"/>
    <w:rsid w:val="0004760F"/>
    <w:rsid w:val="00055F61"/>
    <w:rsid w:val="0006317E"/>
    <w:rsid w:val="00063450"/>
    <w:rsid w:val="00065E7A"/>
    <w:rsid w:val="00073333"/>
    <w:rsid w:val="00074A54"/>
    <w:rsid w:val="0007734A"/>
    <w:rsid w:val="00082FDB"/>
    <w:rsid w:val="0009216C"/>
    <w:rsid w:val="000961D8"/>
    <w:rsid w:val="000A0E6D"/>
    <w:rsid w:val="000A4F30"/>
    <w:rsid w:val="000A5CEE"/>
    <w:rsid w:val="000A62E5"/>
    <w:rsid w:val="000A6AF5"/>
    <w:rsid w:val="000A77AB"/>
    <w:rsid w:val="000B1451"/>
    <w:rsid w:val="000B3BCF"/>
    <w:rsid w:val="000B3FE5"/>
    <w:rsid w:val="000B536D"/>
    <w:rsid w:val="000C2DA2"/>
    <w:rsid w:val="000C5DAF"/>
    <w:rsid w:val="000C72E1"/>
    <w:rsid w:val="000D5D47"/>
    <w:rsid w:val="000D62D9"/>
    <w:rsid w:val="000E09DE"/>
    <w:rsid w:val="000E0B15"/>
    <w:rsid w:val="000E5DB3"/>
    <w:rsid w:val="000F085D"/>
    <w:rsid w:val="000F6700"/>
    <w:rsid w:val="00106929"/>
    <w:rsid w:val="00110B8C"/>
    <w:rsid w:val="00112B46"/>
    <w:rsid w:val="00113F1B"/>
    <w:rsid w:val="001146F5"/>
    <w:rsid w:val="00115311"/>
    <w:rsid w:val="001158F6"/>
    <w:rsid w:val="00120CC5"/>
    <w:rsid w:val="00121ED4"/>
    <w:rsid w:val="0012316F"/>
    <w:rsid w:val="00123767"/>
    <w:rsid w:val="00127F9F"/>
    <w:rsid w:val="00132723"/>
    <w:rsid w:val="00134356"/>
    <w:rsid w:val="001346EE"/>
    <w:rsid w:val="00134CEF"/>
    <w:rsid w:val="00143C4E"/>
    <w:rsid w:val="00144041"/>
    <w:rsid w:val="00145626"/>
    <w:rsid w:val="00153AE8"/>
    <w:rsid w:val="00156B4D"/>
    <w:rsid w:val="00157569"/>
    <w:rsid w:val="0016064B"/>
    <w:rsid w:val="00164148"/>
    <w:rsid w:val="00170C4F"/>
    <w:rsid w:val="00171478"/>
    <w:rsid w:val="00171548"/>
    <w:rsid w:val="001742ED"/>
    <w:rsid w:val="00176735"/>
    <w:rsid w:val="00190B0A"/>
    <w:rsid w:val="00191996"/>
    <w:rsid w:val="001932C8"/>
    <w:rsid w:val="001935B9"/>
    <w:rsid w:val="00194CCB"/>
    <w:rsid w:val="001B4FA8"/>
    <w:rsid w:val="001B62A5"/>
    <w:rsid w:val="001C18AF"/>
    <w:rsid w:val="001C3139"/>
    <w:rsid w:val="001C7A19"/>
    <w:rsid w:val="001D2981"/>
    <w:rsid w:val="001D43CA"/>
    <w:rsid w:val="001D4BAD"/>
    <w:rsid w:val="001D64B6"/>
    <w:rsid w:val="001D6512"/>
    <w:rsid w:val="001E18EB"/>
    <w:rsid w:val="001E1B69"/>
    <w:rsid w:val="001E3B7E"/>
    <w:rsid w:val="001E6424"/>
    <w:rsid w:val="001F20AD"/>
    <w:rsid w:val="001F26E3"/>
    <w:rsid w:val="001F3532"/>
    <w:rsid w:val="001F3726"/>
    <w:rsid w:val="001F569E"/>
    <w:rsid w:val="0020183D"/>
    <w:rsid w:val="0020210D"/>
    <w:rsid w:val="00203B76"/>
    <w:rsid w:val="00204A35"/>
    <w:rsid w:val="002134C1"/>
    <w:rsid w:val="002148CB"/>
    <w:rsid w:val="0021701A"/>
    <w:rsid w:val="0021721F"/>
    <w:rsid w:val="002230FA"/>
    <w:rsid w:val="0022310B"/>
    <w:rsid w:val="00227D4D"/>
    <w:rsid w:val="00230240"/>
    <w:rsid w:val="002338F7"/>
    <w:rsid w:val="00233964"/>
    <w:rsid w:val="0023399A"/>
    <w:rsid w:val="002351D5"/>
    <w:rsid w:val="0023585C"/>
    <w:rsid w:val="00236FD1"/>
    <w:rsid w:val="0023779A"/>
    <w:rsid w:val="002416D7"/>
    <w:rsid w:val="00241CAE"/>
    <w:rsid w:val="002448BE"/>
    <w:rsid w:val="00246EE1"/>
    <w:rsid w:val="00251590"/>
    <w:rsid w:val="00251A02"/>
    <w:rsid w:val="0025314B"/>
    <w:rsid w:val="0025747A"/>
    <w:rsid w:val="00257E93"/>
    <w:rsid w:val="00260488"/>
    <w:rsid w:val="002608C5"/>
    <w:rsid w:val="00260A28"/>
    <w:rsid w:val="00265CE3"/>
    <w:rsid w:val="00266F19"/>
    <w:rsid w:val="0027279D"/>
    <w:rsid w:val="00274EA5"/>
    <w:rsid w:val="0027777A"/>
    <w:rsid w:val="00283CB1"/>
    <w:rsid w:val="00285093"/>
    <w:rsid w:val="002870CC"/>
    <w:rsid w:val="0029137D"/>
    <w:rsid w:val="00294012"/>
    <w:rsid w:val="002A3383"/>
    <w:rsid w:val="002A38A8"/>
    <w:rsid w:val="002A4FE3"/>
    <w:rsid w:val="002A598C"/>
    <w:rsid w:val="002B0539"/>
    <w:rsid w:val="002B0C13"/>
    <w:rsid w:val="002B1A2F"/>
    <w:rsid w:val="002B25E3"/>
    <w:rsid w:val="002B2FB7"/>
    <w:rsid w:val="002B344F"/>
    <w:rsid w:val="002B6ADF"/>
    <w:rsid w:val="002B754E"/>
    <w:rsid w:val="002D02D9"/>
    <w:rsid w:val="002D0DDC"/>
    <w:rsid w:val="002D2AF4"/>
    <w:rsid w:val="002D4B52"/>
    <w:rsid w:val="002E19C9"/>
    <w:rsid w:val="002E58F4"/>
    <w:rsid w:val="002E61F5"/>
    <w:rsid w:val="002F0231"/>
    <w:rsid w:val="002F1ED8"/>
    <w:rsid w:val="002F677E"/>
    <w:rsid w:val="00306C3D"/>
    <w:rsid w:val="00307422"/>
    <w:rsid w:val="00314AE8"/>
    <w:rsid w:val="00327865"/>
    <w:rsid w:val="00327D2A"/>
    <w:rsid w:val="00327D50"/>
    <w:rsid w:val="00342C6B"/>
    <w:rsid w:val="00350D23"/>
    <w:rsid w:val="0035313D"/>
    <w:rsid w:val="0035697E"/>
    <w:rsid w:val="00362481"/>
    <w:rsid w:val="00365EEF"/>
    <w:rsid w:val="00371020"/>
    <w:rsid w:val="0037327E"/>
    <w:rsid w:val="0037679C"/>
    <w:rsid w:val="00377444"/>
    <w:rsid w:val="00377C41"/>
    <w:rsid w:val="0038248B"/>
    <w:rsid w:val="0038347F"/>
    <w:rsid w:val="00392EC9"/>
    <w:rsid w:val="00394804"/>
    <w:rsid w:val="003966DF"/>
    <w:rsid w:val="00396D2C"/>
    <w:rsid w:val="003A057B"/>
    <w:rsid w:val="003A1A2D"/>
    <w:rsid w:val="003B3CC4"/>
    <w:rsid w:val="003B55FE"/>
    <w:rsid w:val="003B6E86"/>
    <w:rsid w:val="003C3065"/>
    <w:rsid w:val="003C3353"/>
    <w:rsid w:val="003C52D0"/>
    <w:rsid w:val="003D04B4"/>
    <w:rsid w:val="003D1517"/>
    <w:rsid w:val="003D35B3"/>
    <w:rsid w:val="003D42AD"/>
    <w:rsid w:val="003D6E09"/>
    <w:rsid w:val="003E3D21"/>
    <w:rsid w:val="003E7628"/>
    <w:rsid w:val="003F15DB"/>
    <w:rsid w:val="003F2E6E"/>
    <w:rsid w:val="003F3D84"/>
    <w:rsid w:val="003F3D9F"/>
    <w:rsid w:val="00406E23"/>
    <w:rsid w:val="004107EC"/>
    <w:rsid w:val="0041336A"/>
    <w:rsid w:val="00413E8E"/>
    <w:rsid w:val="00420FA3"/>
    <w:rsid w:val="00422CE1"/>
    <w:rsid w:val="00423FD8"/>
    <w:rsid w:val="00426704"/>
    <w:rsid w:val="0043361C"/>
    <w:rsid w:val="00433ACD"/>
    <w:rsid w:val="00434DF9"/>
    <w:rsid w:val="00436E2A"/>
    <w:rsid w:val="00437EC1"/>
    <w:rsid w:val="00440111"/>
    <w:rsid w:val="00444B3E"/>
    <w:rsid w:val="004528D0"/>
    <w:rsid w:val="00454AAA"/>
    <w:rsid w:val="00455FE0"/>
    <w:rsid w:val="00460C91"/>
    <w:rsid w:val="00466D90"/>
    <w:rsid w:val="00471DFF"/>
    <w:rsid w:val="004729D1"/>
    <w:rsid w:val="00473FA9"/>
    <w:rsid w:val="00475A2F"/>
    <w:rsid w:val="00483018"/>
    <w:rsid w:val="00485718"/>
    <w:rsid w:val="00486CEE"/>
    <w:rsid w:val="00487B5D"/>
    <w:rsid w:val="00495D01"/>
    <w:rsid w:val="00496DA7"/>
    <w:rsid w:val="00496FDA"/>
    <w:rsid w:val="0049773C"/>
    <w:rsid w:val="004A12AE"/>
    <w:rsid w:val="004A13DA"/>
    <w:rsid w:val="004A4320"/>
    <w:rsid w:val="004A5B77"/>
    <w:rsid w:val="004B0480"/>
    <w:rsid w:val="004B256E"/>
    <w:rsid w:val="004B4299"/>
    <w:rsid w:val="004B60F5"/>
    <w:rsid w:val="004C24C8"/>
    <w:rsid w:val="004C3341"/>
    <w:rsid w:val="004C338D"/>
    <w:rsid w:val="004C348E"/>
    <w:rsid w:val="004C5699"/>
    <w:rsid w:val="004C6DF5"/>
    <w:rsid w:val="004D0AC8"/>
    <w:rsid w:val="004D0E50"/>
    <w:rsid w:val="004D2EC2"/>
    <w:rsid w:val="004D375C"/>
    <w:rsid w:val="004D4902"/>
    <w:rsid w:val="004D584A"/>
    <w:rsid w:val="004E0731"/>
    <w:rsid w:val="004E454F"/>
    <w:rsid w:val="004E4B61"/>
    <w:rsid w:val="004F1637"/>
    <w:rsid w:val="004F3144"/>
    <w:rsid w:val="004F389B"/>
    <w:rsid w:val="004F463A"/>
    <w:rsid w:val="004F4A8D"/>
    <w:rsid w:val="004F5D7D"/>
    <w:rsid w:val="0050430D"/>
    <w:rsid w:val="005046EA"/>
    <w:rsid w:val="00505AB8"/>
    <w:rsid w:val="00510108"/>
    <w:rsid w:val="00511FB1"/>
    <w:rsid w:val="00513C4A"/>
    <w:rsid w:val="00514161"/>
    <w:rsid w:val="00514536"/>
    <w:rsid w:val="00521679"/>
    <w:rsid w:val="0052234A"/>
    <w:rsid w:val="00527147"/>
    <w:rsid w:val="00534ED6"/>
    <w:rsid w:val="005375CB"/>
    <w:rsid w:val="00545A3A"/>
    <w:rsid w:val="00546FDB"/>
    <w:rsid w:val="00553703"/>
    <w:rsid w:val="00557518"/>
    <w:rsid w:val="005575B3"/>
    <w:rsid w:val="00563D02"/>
    <w:rsid w:val="00566763"/>
    <w:rsid w:val="00567379"/>
    <w:rsid w:val="0058061B"/>
    <w:rsid w:val="0058309B"/>
    <w:rsid w:val="005830A2"/>
    <w:rsid w:val="005857F6"/>
    <w:rsid w:val="005922B8"/>
    <w:rsid w:val="005944C2"/>
    <w:rsid w:val="0059518C"/>
    <w:rsid w:val="005A04E2"/>
    <w:rsid w:val="005A55A5"/>
    <w:rsid w:val="005A62E9"/>
    <w:rsid w:val="005B0F0E"/>
    <w:rsid w:val="005B1737"/>
    <w:rsid w:val="005B504E"/>
    <w:rsid w:val="005B7A47"/>
    <w:rsid w:val="005C14AE"/>
    <w:rsid w:val="005C4515"/>
    <w:rsid w:val="005C743A"/>
    <w:rsid w:val="005C7E38"/>
    <w:rsid w:val="005D668A"/>
    <w:rsid w:val="005E2CBD"/>
    <w:rsid w:val="005E61FC"/>
    <w:rsid w:val="005E665C"/>
    <w:rsid w:val="005F2909"/>
    <w:rsid w:val="005F58FB"/>
    <w:rsid w:val="005F5F80"/>
    <w:rsid w:val="005F762D"/>
    <w:rsid w:val="00600053"/>
    <w:rsid w:val="00601357"/>
    <w:rsid w:val="00601CDC"/>
    <w:rsid w:val="00601EF1"/>
    <w:rsid w:val="00604776"/>
    <w:rsid w:val="00606C3E"/>
    <w:rsid w:val="006071E4"/>
    <w:rsid w:val="0060747A"/>
    <w:rsid w:val="006136DE"/>
    <w:rsid w:val="00614BBC"/>
    <w:rsid w:val="00615C80"/>
    <w:rsid w:val="00621D75"/>
    <w:rsid w:val="0062396C"/>
    <w:rsid w:val="006269BB"/>
    <w:rsid w:val="00633580"/>
    <w:rsid w:val="00634C7A"/>
    <w:rsid w:val="006350D9"/>
    <w:rsid w:val="0063566C"/>
    <w:rsid w:val="0063738F"/>
    <w:rsid w:val="00637C23"/>
    <w:rsid w:val="00642AD4"/>
    <w:rsid w:val="00643BC4"/>
    <w:rsid w:val="00645156"/>
    <w:rsid w:val="006467F1"/>
    <w:rsid w:val="006473E7"/>
    <w:rsid w:val="00652D3D"/>
    <w:rsid w:val="00653200"/>
    <w:rsid w:val="00653304"/>
    <w:rsid w:val="00657CEF"/>
    <w:rsid w:val="006623B5"/>
    <w:rsid w:val="006632B4"/>
    <w:rsid w:val="00663A9A"/>
    <w:rsid w:val="00666019"/>
    <w:rsid w:val="00667EC9"/>
    <w:rsid w:val="00677914"/>
    <w:rsid w:val="006821CC"/>
    <w:rsid w:val="006870B9"/>
    <w:rsid w:val="0069322E"/>
    <w:rsid w:val="00696297"/>
    <w:rsid w:val="006A227B"/>
    <w:rsid w:val="006B3607"/>
    <w:rsid w:val="006B40FA"/>
    <w:rsid w:val="006B47E6"/>
    <w:rsid w:val="006B5611"/>
    <w:rsid w:val="006C1D16"/>
    <w:rsid w:val="006C2013"/>
    <w:rsid w:val="006C2EDD"/>
    <w:rsid w:val="006C3799"/>
    <w:rsid w:val="006C50ED"/>
    <w:rsid w:val="006D7302"/>
    <w:rsid w:val="006D7FB8"/>
    <w:rsid w:val="006E0689"/>
    <w:rsid w:val="006E120C"/>
    <w:rsid w:val="006E1AA0"/>
    <w:rsid w:val="006F2D9B"/>
    <w:rsid w:val="00702F6D"/>
    <w:rsid w:val="00704EF1"/>
    <w:rsid w:val="00713887"/>
    <w:rsid w:val="0071502A"/>
    <w:rsid w:val="0071549F"/>
    <w:rsid w:val="007162EB"/>
    <w:rsid w:val="00720E20"/>
    <w:rsid w:val="0072167F"/>
    <w:rsid w:val="007232FD"/>
    <w:rsid w:val="00723C54"/>
    <w:rsid w:val="00725021"/>
    <w:rsid w:val="00730046"/>
    <w:rsid w:val="00730CE7"/>
    <w:rsid w:val="00736CAF"/>
    <w:rsid w:val="00737204"/>
    <w:rsid w:val="007375AF"/>
    <w:rsid w:val="007448A1"/>
    <w:rsid w:val="00744A97"/>
    <w:rsid w:val="007473E9"/>
    <w:rsid w:val="00754070"/>
    <w:rsid w:val="00756B71"/>
    <w:rsid w:val="00760456"/>
    <w:rsid w:val="00760F3E"/>
    <w:rsid w:val="00765A57"/>
    <w:rsid w:val="00770DD3"/>
    <w:rsid w:val="00773AE0"/>
    <w:rsid w:val="00774134"/>
    <w:rsid w:val="00776FDB"/>
    <w:rsid w:val="00784BCB"/>
    <w:rsid w:val="00790471"/>
    <w:rsid w:val="007927DD"/>
    <w:rsid w:val="00796CAF"/>
    <w:rsid w:val="007A49A2"/>
    <w:rsid w:val="007B0BC3"/>
    <w:rsid w:val="007B17A6"/>
    <w:rsid w:val="007B50FB"/>
    <w:rsid w:val="007B77B8"/>
    <w:rsid w:val="007B7D7F"/>
    <w:rsid w:val="007C02D0"/>
    <w:rsid w:val="007C0CE3"/>
    <w:rsid w:val="007C59B1"/>
    <w:rsid w:val="007C5A98"/>
    <w:rsid w:val="007C600F"/>
    <w:rsid w:val="007C75A9"/>
    <w:rsid w:val="007D015F"/>
    <w:rsid w:val="007D328A"/>
    <w:rsid w:val="007D4CDD"/>
    <w:rsid w:val="007D5FD7"/>
    <w:rsid w:val="007D74AE"/>
    <w:rsid w:val="007E1D6E"/>
    <w:rsid w:val="007E2B14"/>
    <w:rsid w:val="007E2FE5"/>
    <w:rsid w:val="007E4470"/>
    <w:rsid w:val="007E63BF"/>
    <w:rsid w:val="007F0027"/>
    <w:rsid w:val="007F1163"/>
    <w:rsid w:val="007F18FE"/>
    <w:rsid w:val="007F5236"/>
    <w:rsid w:val="008012B9"/>
    <w:rsid w:val="00801479"/>
    <w:rsid w:val="00802C75"/>
    <w:rsid w:val="008034B6"/>
    <w:rsid w:val="008048C4"/>
    <w:rsid w:val="0080556D"/>
    <w:rsid w:val="00811A51"/>
    <w:rsid w:val="00816B71"/>
    <w:rsid w:val="00817A7A"/>
    <w:rsid w:val="00821BB5"/>
    <w:rsid w:val="00823A2F"/>
    <w:rsid w:val="00831AFD"/>
    <w:rsid w:val="008321C2"/>
    <w:rsid w:val="00846BD8"/>
    <w:rsid w:val="0085142E"/>
    <w:rsid w:val="00852934"/>
    <w:rsid w:val="00857F1B"/>
    <w:rsid w:val="00864A46"/>
    <w:rsid w:val="00865678"/>
    <w:rsid w:val="00865FE5"/>
    <w:rsid w:val="00870CA6"/>
    <w:rsid w:val="00871301"/>
    <w:rsid w:val="008735BE"/>
    <w:rsid w:val="00877EF9"/>
    <w:rsid w:val="008819DD"/>
    <w:rsid w:val="00882253"/>
    <w:rsid w:val="00882F5F"/>
    <w:rsid w:val="008961CD"/>
    <w:rsid w:val="0089667C"/>
    <w:rsid w:val="0089780D"/>
    <w:rsid w:val="00897F02"/>
    <w:rsid w:val="008A412F"/>
    <w:rsid w:val="008A419F"/>
    <w:rsid w:val="008A7AF9"/>
    <w:rsid w:val="008B1423"/>
    <w:rsid w:val="008B588A"/>
    <w:rsid w:val="008B707F"/>
    <w:rsid w:val="008B7C93"/>
    <w:rsid w:val="008C1571"/>
    <w:rsid w:val="008C27C2"/>
    <w:rsid w:val="008C2DD3"/>
    <w:rsid w:val="008C471E"/>
    <w:rsid w:val="008D04F3"/>
    <w:rsid w:val="008D0D2E"/>
    <w:rsid w:val="008D4EE8"/>
    <w:rsid w:val="008E18AD"/>
    <w:rsid w:val="008E23E7"/>
    <w:rsid w:val="008E6EDC"/>
    <w:rsid w:val="008E7975"/>
    <w:rsid w:val="008F18C8"/>
    <w:rsid w:val="008F2D2F"/>
    <w:rsid w:val="008F3343"/>
    <w:rsid w:val="008F505E"/>
    <w:rsid w:val="009004FC"/>
    <w:rsid w:val="00900A5C"/>
    <w:rsid w:val="00906340"/>
    <w:rsid w:val="00907CE3"/>
    <w:rsid w:val="00910FA7"/>
    <w:rsid w:val="00912D6F"/>
    <w:rsid w:val="00914571"/>
    <w:rsid w:val="00916BF3"/>
    <w:rsid w:val="009175B6"/>
    <w:rsid w:val="0092185C"/>
    <w:rsid w:val="00922634"/>
    <w:rsid w:val="00923E3A"/>
    <w:rsid w:val="00924916"/>
    <w:rsid w:val="0093007D"/>
    <w:rsid w:val="009335FC"/>
    <w:rsid w:val="009355D2"/>
    <w:rsid w:val="0093689F"/>
    <w:rsid w:val="00937FB0"/>
    <w:rsid w:val="00941738"/>
    <w:rsid w:val="00941DDA"/>
    <w:rsid w:val="00943C24"/>
    <w:rsid w:val="00946820"/>
    <w:rsid w:val="00946879"/>
    <w:rsid w:val="009501EE"/>
    <w:rsid w:val="00960C71"/>
    <w:rsid w:val="00964B47"/>
    <w:rsid w:val="00970956"/>
    <w:rsid w:val="009716A5"/>
    <w:rsid w:val="00971A72"/>
    <w:rsid w:val="00973F39"/>
    <w:rsid w:val="00976AF0"/>
    <w:rsid w:val="00976E2A"/>
    <w:rsid w:val="009817AB"/>
    <w:rsid w:val="00981C43"/>
    <w:rsid w:val="009910E2"/>
    <w:rsid w:val="00991147"/>
    <w:rsid w:val="0099516D"/>
    <w:rsid w:val="0099593B"/>
    <w:rsid w:val="00996FF9"/>
    <w:rsid w:val="009A4520"/>
    <w:rsid w:val="009A5DA4"/>
    <w:rsid w:val="009B0809"/>
    <w:rsid w:val="009B49CD"/>
    <w:rsid w:val="009B651E"/>
    <w:rsid w:val="009B7C74"/>
    <w:rsid w:val="009C1A24"/>
    <w:rsid w:val="009C7B6B"/>
    <w:rsid w:val="009D0439"/>
    <w:rsid w:val="009D06BA"/>
    <w:rsid w:val="009D3D8D"/>
    <w:rsid w:val="009D4A3B"/>
    <w:rsid w:val="009E2439"/>
    <w:rsid w:val="009E3023"/>
    <w:rsid w:val="009E4BA1"/>
    <w:rsid w:val="009E6FCB"/>
    <w:rsid w:val="009E7CF6"/>
    <w:rsid w:val="009F199A"/>
    <w:rsid w:val="009F2002"/>
    <w:rsid w:val="009F536B"/>
    <w:rsid w:val="009F5A12"/>
    <w:rsid w:val="00A02800"/>
    <w:rsid w:val="00A05CEE"/>
    <w:rsid w:val="00A07E1A"/>
    <w:rsid w:val="00A12562"/>
    <w:rsid w:val="00A126CC"/>
    <w:rsid w:val="00A14CA6"/>
    <w:rsid w:val="00A16093"/>
    <w:rsid w:val="00A16F1E"/>
    <w:rsid w:val="00A20E39"/>
    <w:rsid w:val="00A2217D"/>
    <w:rsid w:val="00A2350C"/>
    <w:rsid w:val="00A24B7E"/>
    <w:rsid w:val="00A300BF"/>
    <w:rsid w:val="00A33CCC"/>
    <w:rsid w:val="00A3601B"/>
    <w:rsid w:val="00A365B7"/>
    <w:rsid w:val="00A36DAB"/>
    <w:rsid w:val="00A427CE"/>
    <w:rsid w:val="00A43BB4"/>
    <w:rsid w:val="00A4497D"/>
    <w:rsid w:val="00A44D27"/>
    <w:rsid w:val="00A474AB"/>
    <w:rsid w:val="00A527CC"/>
    <w:rsid w:val="00A52A5F"/>
    <w:rsid w:val="00A535D5"/>
    <w:rsid w:val="00A570AA"/>
    <w:rsid w:val="00A64024"/>
    <w:rsid w:val="00A65E42"/>
    <w:rsid w:val="00A67587"/>
    <w:rsid w:val="00A67810"/>
    <w:rsid w:val="00A67FFA"/>
    <w:rsid w:val="00A7246F"/>
    <w:rsid w:val="00A72546"/>
    <w:rsid w:val="00A745D1"/>
    <w:rsid w:val="00A74770"/>
    <w:rsid w:val="00A75E61"/>
    <w:rsid w:val="00A822CF"/>
    <w:rsid w:val="00A8262C"/>
    <w:rsid w:val="00A8623E"/>
    <w:rsid w:val="00A90004"/>
    <w:rsid w:val="00A905D5"/>
    <w:rsid w:val="00A905FF"/>
    <w:rsid w:val="00A908C9"/>
    <w:rsid w:val="00A92535"/>
    <w:rsid w:val="00A92C87"/>
    <w:rsid w:val="00A93A16"/>
    <w:rsid w:val="00A949C4"/>
    <w:rsid w:val="00A952F6"/>
    <w:rsid w:val="00A9742A"/>
    <w:rsid w:val="00AA018F"/>
    <w:rsid w:val="00AA1F4E"/>
    <w:rsid w:val="00AA2587"/>
    <w:rsid w:val="00AA2766"/>
    <w:rsid w:val="00AB1262"/>
    <w:rsid w:val="00AB638D"/>
    <w:rsid w:val="00AB7685"/>
    <w:rsid w:val="00AB79E7"/>
    <w:rsid w:val="00AB7A98"/>
    <w:rsid w:val="00AC5D7A"/>
    <w:rsid w:val="00AC5DD1"/>
    <w:rsid w:val="00AC791A"/>
    <w:rsid w:val="00AD1882"/>
    <w:rsid w:val="00AD25FB"/>
    <w:rsid w:val="00AD51BB"/>
    <w:rsid w:val="00AD55EA"/>
    <w:rsid w:val="00AD7F6B"/>
    <w:rsid w:val="00AE1F17"/>
    <w:rsid w:val="00AE2BF7"/>
    <w:rsid w:val="00AF0548"/>
    <w:rsid w:val="00AF445A"/>
    <w:rsid w:val="00AF6464"/>
    <w:rsid w:val="00B01EB3"/>
    <w:rsid w:val="00B038F4"/>
    <w:rsid w:val="00B13627"/>
    <w:rsid w:val="00B15B5F"/>
    <w:rsid w:val="00B163E9"/>
    <w:rsid w:val="00B16A71"/>
    <w:rsid w:val="00B20836"/>
    <w:rsid w:val="00B24597"/>
    <w:rsid w:val="00B27859"/>
    <w:rsid w:val="00B35F73"/>
    <w:rsid w:val="00B510BD"/>
    <w:rsid w:val="00B52C77"/>
    <w:rsid w:val="00B57228"/>
    <w:rsid w:val="00B57DDA"/>
    <w:rsid w:val="00B60AE1"/>
    <w:rsid w:val="00B620DE"/>
    <w:rsid w:val="00B67638"/>
    <w:rsid w:val="00B70FE4"/>
    <w:rsid w:val="00B71FE0"/>
    <w:rsid w:val="00B73898"/>
    <w:rsid w:val="00B73965"/>
    <w:rsid w:val="00B74BD1"/>
    <w:rsid w:val="00B7741E"/>
    <w:rsid w:val="00B80A6D"/>
    <w:rsid w:val="00B80FE3"/>
    <w:rsid w:val="00B8325C"/>
    <w:rsid w:val="00B83982"/>
    <w:rsid w:val="00B87C3B"/>
    <w:rsid w:val="00B905FC"/>
    <w:rsid w:val="00B9213F"/>
    <w:rsid w:val="00B96799"/>
    <w:rsid w:val="00B97779"/>
    <w:rsid w:val="00BA0CB5"/>
    <w:rsid w:val="00BA2B6D"/>
    <w:rsid w:val="00BA2D52"/>
    <w:rsid w:val="00BA455A"/>
    <w:rsid w:val="00BA526F"/>
    <w:rsid w:val="00BA7D40"/>
    <w:rsid w:val="00BB08B1"/>
    <w:rsid w:val="00BC5BCB"/>
    <w:rsid w:val="00BD1893"/>
    <w:rsid w:val="00BD57DA"/>
    <w:rsid w:val="00BD7CA3"/>
    <w:rsid w:val="00BE0A6A"/>
    <w:rsid w:val="00BE4F57"/>
    <w:rsid w:val="00BE62DC"/>
    <w:rsid w:val="00BF4296"/>
    <w:rsid w:val="00BF4573"/>
    <w:rsid w:val="00BF5ADA"/>
    <w:rsid w:val="00C01335"/>
    <w:rsid w:val="00C043C5"/>
    <w:rsid w:val="00C07BCD"/>
    <w:rsid w:val="00C07F88"/>
    <w:rsid w:val="00C25873"/>
    <w:rsid w:val="00C32E93"/>
    <w:rsid w:val="00C3461F"/>
    <w:rsid w:val="00C41951"/>
    <w:rsid w:val="00C5744E"/>
    <w:rsid w:val="00C60A77"/>
    <w:rsid w:val="00C63958"/>
    <w:rsid w:val="00C6461E"/>
    <w:rsid w:val="00C6784F"/>
    <w:rsid w:val="00C67C8A"/>
    <w:rsid w:val="00C71EC2"/>
    <w:rsid w:val="00C73C12"/>
    <w:rsid w:val="00C76F38"/>
    <w:rsid w:val="00C77FEC"/>
    <w:rsid w:val="00C804E2"/>
    <w:rsid w:val="00C80D1A"/>
    <w:rsid w:val="00C853B0"/>
    <w:rsid w:val="00C8697B"/>
    <w:rsid w:val="00C95D2D"/>
    <w:rsid w:val="00CA2343"/>
    <w:rsid w:val="00CA3E0F"/>
    <w:rsid w:val="00CB09D8"/>
    <w:rsid w:val="00CB2AB9"/>
    <w:rsid w:val="00CB4673"/>
    <w:rsid w:val="00CB5AE4"/>
    <w:rsid w:val="00CC0AAC"/>
    <w:rsid w:val="00CC2BC9"/>
    <w:rsid w:val="00CC322A"/>
    <w:rsid w:val="00CC35FC"/>
    <w:rsid w:val="00CC7356"/>
    <w:rsid w:val="00CC77FA"/>
    <w:rsid w:val="00CC7E12"/>
    <w:rsid w:val="00CD1FCE"/>
    <w:rsid w:val="00CD26E1"/>
    <w:rsid w:val="00CD3687"/>
    <w:rsid w:val="00CD3FB6"/>
    <w:rsid w:val="00CE02BE"/>
    <w:rsid w:val="00CE1524"/>
    <w:rsid w:val="00CE2C78"/>
    <w:rsid w:val="00CF4741"/>
    <w:rsid w:val="00D01B8A"/>
    <w:rsid w:val="00D0619D"/>
    <w:rsid w:val="00D07F47"/>
    <w:rsid w:val="00D108E3"/>
    <w:rsid w:val="00D1195A"/>
    <w:rsid w:val="00D12AA5"/>
    <w:rsid w:val="00D160AC"/>
    <w:rsid w:val="00D16D2E"/>
    <w:rsid w:val="00D21422"/>
    <w:rsid w:val="00D21720"/>
    <w:rsid w:val="00D230E0"/>
    <w:rsid w:val="00D240F0"/>
    <w:rsid w:val="00D25B95"/>
    <w:rsid w:val="00D26B36"/>
    <w:rsid w:val="00D307C6"/>
    <w:rsid w:val="00D3134A"/>
    <w:rsid w:val="00D35BE5"/>
    <w:rsid w:val="00D36E6B"/>
    <w:rsid w:val="00D3732F"/>
    <w:rsid w:val="00D404F3"/>
    <w:rsid w:val="00D44A74"/>
    <w:rsid w:val="00D44FA7"/>
    <w:rsid w:val="00D46F3C"/>
    <w:rsid w:val="00D47439"/>
    <w:rsid w:val="00D47C6C"/>
    <w:rsid w:val="00D50326"/>
    <w:rsid w:val="00D50ADD"/>
    <w:rsid w:val="00D5468B"/>
    <w:rsid w:val="00D54C31"/>
    <w:rsid w:val="00D66C86"/>
    <w:rsid w:val="00D70831"/>
    <w:rsid w:val="00D71D2B"/>
    <w:rsid w:val="00D74999"/>
    <w:rsid w:val="00D75E84"/>
    <w:rsid w:val="00D81966"/>
    <w:rsid w:val="00D83698"/>
    <w:rsid w:val="00D84176"/>
    <w:rsid w:val="00D872F0"/>
    <w:rsid w:val="00D91D02"/>
    <w:rsid w:val="00D979D0"/>
    <w:rsid w:val="00DA5F5E"/>
    <w:rsid w:val="00DA6CA9"/>
    <w:rsid w:val="00DA756B"/>
    <w:rsid w:val="00DB43B3"/>
    <w:rsid w:val="00DB44F5"/>
    <w:rsid w:val="00DB5E60"/>
    <w:rsid w:val="00DC336D"/>
    <w:rsid w:val="00DC403D"/>
    <w:rsid w:val="00DC4CA0"/>
    <w:rsid w:val="00DD1408"/>
    <w:rsid w:val="00DD23D8"/>
    <w:rsid w:val="00DD307C"/>
    <w:rsid w:val="00DD42DA"/>
    <w:rsid w:val="00DD7A0F"/>
    <w:rsid w:val="00DE155C"/>
    <w:rsid w:val="00DE2D21"/>
    <w:rsid w:val="00DE790F"/>
    <w:rsid w:val="00DF0436"/>
    <w:rsid w:val="00DF1D69"/>
    <w:rsid w:val="00DF6DBE"/>
    <w:rsid w:val="00DF7D85"/>
    <w:rsid w:val="00E01DA4"/>
    <w:rsid w:val="00E04DC0"/>
    <w:rsid w:val="00E10F67"/>
    <w:rsid w:val="00E130DE"/>
    <w:rsid w:val="00E13E99"/>
    <w:rsid w:val="00E15E52"/>
    <w:rsid w:val="00E2161E"/>
    <w:rsid w:val="00E26670"/>
    <w:rsid w:val="00E32E0D"/>
    <w:rsid w:val="00E33DFD"/>
    <w:rsid w:val="00E34287"/>
    <w:rsid w:val="00E346BE"/>
    <w:rsid w:val="00E34E7C"/>
    <w:rsid w:val="00E37836"/>
    <w:rsid w:val="00E37FAC"/>
    <w:rsid w:val="00E4070E"/>
    <w:rsid w:val="00E41E69"/>
    <w:rsid w:val="00E47AE7"/>
    <w:rsid w:val="00E53318"/>
    <w:rsid w:val="00E53AE4"/>
    <w:rsid w:val="00E546F4"/>
    <w:rsid w:val="00E56831"/>
    <w:rsid w:val="00E5798D"/>
    <w:rsid w:val="00E622AB"/>
    <w:rsid w:val="00E6620C"/>
    <w:rsid w:val="00E67EA3"/>
    <w:rsid w:val="00E70CAE"/>
    <w:rsid w:val="00E7706B"/>
    <w:rsid w:val="00E80B17"/>
    <w:rsid w:val="00E91404"/>
    <w:rsid w:val="00E940C0"/>
    <w:rsid w:val="00E963E5"/>
    <w:rsid w:val="00E9789C"/>
    <w:rsid w:val="00EA5EED"/>
    <w:rsid w:val="00EA71D5"/>
    <w:rsid w:val="00EA7362"/>
    <w:rsid w:val="00EA7B0A"/>
    <w:rsid w:val="00EB3584"/>
    <w:rsid w:val="00EB7675"/>
    <w:rsid w:val="00EC0278"/>
    <w:rsid w:val="00EC082E"/>
    <w:rsid w:val="00EC1583"/>
    <w:rsid w:val="00EC331E"/>
    <w:rsid w:val="00EC3D82"/>
    <w:rsid w:val="00EC4AD0"/>
    <w:rsid w:val="00EC734B"/>
    <w:rsid w:val="00EC7F13"/>
    <w:rsid w:val="00EE714B"/>
    <w:rsid w:val="00EE7B69"/>
    <w:rsid w:val="00EF413E"/>
    <w:rsid w:val="00EF4B35"/>
    <w:rsid w:val="00EF4BDC"/>
    <w:rsid w:val="00EF55A5"/>
    <w:rsid w:val="00EF59AA"/>
    <w:rsid w:val="00EF61D9"/>
    <w:rsid w:val="00EF792D"/>
    <w:rsid w:val="00F014DD"/>
    <w:rsid w:val="00F01F69"/>
    <w:rsid w:val="00F02276"/>
    <w:rsid w:val="00F0485A"/>
    <w:rsid w:val="00F1088E"/>
    <w:rsid w:val="00F21E4A"/>
    <w:rsid w:val="00F21FE1"/>
    <w:rsid w:val="00F23590"/>
    <w:rsid w:val="00F2569E"/>
    <w:rsid w:val="00F26F3F"/>
    <w:rsid w:val="00F324ED"/>
    <w:rsid w:val="00F34A58"/>
    <w:rsid w:val="00F34E33"/>
    <w:rsid w:val="00F376A1"/>
    <w:rsid w:val="00F4008A"/>
    <w:rsid w:val="00F40398"/>
    <w:rsid w:val="00F420A9"/>
    <w:rsid w:val="00F47ADB"/>
    <w:rsid w:val="00F518DA"/>
    <w:rsid w:val="00F521B0"/>
    <w:rsid w:val="00F535F2"/>
    <w:rsid w:val="00F542C8"/>
    <w:rsid w:val="00F55FBA"/>
    <w:rsid w:val="00F627E2"/>
    <w:rsid w:val="00F70D5E"/>
    <w:rsid w:val="00F73A99"/>
    <w:rsid w:val="00F744CF"/>
    <w:rsid w:val="00F804AE"/>
    <w:rsid w:val="00F91A7E"/>
    <w:rsid w:val="00F91DC9"/>
    <w:rsid w:val="00F92237"/>
    <w:rsid w:val="00F92A19"/>
    <w:rsid w:val="00F96E53"/>
    <w:rsid w:val="00F9727D"/>
    <w:rsid w:val="00FA00B6"/>
    <w:rsid w:val="00FA09E6"/>
    <w:rsid w:val="00FA3EBF"/>
    <w:rsid w:val="00FA6DDD"/>
    <w:rsid w:val="00FA6E91"/>
    <w:rsid w:val="00FB0624"/>
    <w:rsid w:val="00FB1691"/>
    <w:rsid w:val="00FB2E31"/>
    <w:rsid w:val="00FB7F3C"/>
    <w:rsid w:val="00FC0B55"/>
    <w:rsid w:val="00FC220D"/>
    <w:rsid w:val="00FC5C2D"/>
    <w:rsid w:val="00FC6407"/>
    <w:rsid w:val="00FD4D91"/>
    <w:rsid w:val="00FE467F"/>
    <w:rsid w:val="00FE75F9"/>
    <w:rsid w:val="00FE7A4C"/>
    <w:rsid w:val="00FF288C"/>
    <w:rsid w:val="00FF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E04638"/>
  <w15:docId w15:val="{8DFCCF3E-2B3C-46D8-82F8-12FC6FA67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2E5"/>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A62E5"/>
    <w:pPr>
      <w:ind w:left="720"/>
      <w:contextualSpacing/>
    </w:pPr>
  </w:style>
  <w:style w:type="paragraph" w:customStyle="1" w:styleId="ListParagraph1">
    <w:name w:val="List Paragraph1"/>
    <w:basedOn w:val="Normal"/>
    <w:uiPriority w:val="99"/>
    <w:rsid w:val="000A62E5"/>
    <w:pPr>
      <w:spacing w:after="200" w:line="276" w:lineRule="auto"/>
      <w:ind w:left="720"/>
      <w:contextualSpacing/>
    </w:pPr>
    <w:rPr>
      <w:rFonts w:eastAsia="Times New Roman"/>
    </w:rPr>
  </w:style>
  <w:style w:type="character" w:styleId="Hyperlink">
    <w:name w:val="Hyperlink"/>
    <w:uiPriority w:val="99"/>
    <w:semiHidden/>
    <w:rsid w:val="000A62E5"/>
    <w:rPr>
      <w:rFonts w:cs="Times New Roman"/>
      <w:color w:val="0000FF"/>
      <w:u w:val="single"/>
    </w:rPr>
  </w:style>
  <w:style w:type="paragraph" w:customStyle="1" w:styleId="1">
    <w:name w:val="1"/>
    <w:basedOn w:val="Normal"/>
    <w:uiPriority w:val="99"/>
    <w:rsid w:val="000A62E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99"/>
    <w:qFormat/>
    <w:rsid w:val="000A62E5"/>
    <w:rPr>
      <w:rFonts w:cs="Times New Roman"/>
      <w:i/>
      <w:iCs/>
    </w:rPr>
  </w:style>
  <w:style w:type="paragraph" w:styleId="Header">
    <w:name w:val="header"/>
    <w:basedOn w:val="Normal"/>
    <w:link w:val="HeaderChar"/>
    <w:uiPriority w:val="99"/>
    <w:rsid w:val="000A62E5"/>
    <w:pPr>
      <w:tabs>
        <w:tab w:val="center" w:pos="4680"/>
        <w:tab w:val="right" w:pos="9360"/>
      </w:tabs>
      <w:spacing w:after="0" w:line="240" w:lineRule="auto"/>
    </w:pPr>
  </w:style>
  <w:style w:type="character" w:customStyle="1" w:styleId="HeaderChar">
    <w:name w:val="Header Char"/>
    <w:link w:val="Header"/>
    <w:uiPriority w:val="99"/>
    <w:locked/>
    <w:rsid w:val="000A62E5"/>
    <w:rPr>
      <w:rFonts w:cs="Times New Roman"/>
    </w:rPr>
  </w:style>
  <w:style w:type="paragraph" w:styleId="Footer">
    <w:name w:val="footer"/>
    <w:basedOn w:val="Normal"/>
    <w:link w:val="FooterChar"/>
    <w:uiPriority w:val="99"/>
    <w:rsid w:val="000A62E5"/>
    <w:pPr>
      <w:tabs>
        <w:tab w:val="center" w:pos="4680"/>
        <w:tab w:val="right" w:pos="9360"/>
      </w:tabs>
      <w:spacing w:after="0" w:line="240" w:lineRule="auto"/>
    </w:pPr>
  </w:style>
  <w:style w:type="character" w:customStyle="1" w:styleId="FooterChar">
    <w:name w:val="Footer Char"/>
    <w:link w:val="Footer"/>
    <w:uiPriority w:val="99"/>
    <w:locked/>
    <w:rsid w:val="000A62E5"/>
    <w:rPr>
      <w:rFonts w:cs="Times New Roman"/>
    </w:rPr>
  </w:style>
  <w:style w:type="table" w:styleId="TableGrid">
    <w:name w:val="Table Grid"/>
    <w:basedOn w:val="TableNormal"/>
    <w:uiPriority w:val="99"/>
    <w:rsid w:val="000A6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99"/>
    <w:rsid w:val="008F18C8"/>
    <w:rPr>
      <w:rFonts w:eastAsia="Times New Roman"/>
      <w:sz w:val="22"/>
      <w:szCs w:val="22"/>
      <w:lang w:val="en-US" w:eastAsia="en-US"/>
    </w:rPr>
  </w:style>
  <w:style w:type="paragraph" w:styleId="BodyText">
    <w:name w:val="Body Text"/>
    <w:basedOn w:val="Normal"/>
    <w:link w:val="BodyTextChar"/>
    <w:uiPriority w:val="99"/>
    <w:rsid w:val="008F18C8"/>
    <w:pPr>
      <w:spacing w:after="120" w:line="276" w:lineRule="auto"/>
    </w:pPr>
    <w:rPr>
      <w:rFonts w:eastAsia="Times New Roman"/>
    </w:rPr>
  </w:style>
  <w:style w:type="character" w:customStyle="1" w:styleId="BodyTextChar">
    <w:name w:val="Body Text Char"/>
    <w:link w:val="BodyText"/>
    <w:uiPriority w:val="99"/>
    <w:locked/>
    <w:rsid w:val="008F18C8"/>
    <w:rPr>
      <w:rFonts w:ascii="Calibri" w:hAnsi="Calibri" w:cs="Times New Roman"/>
    </w:rPr>
  </w:style>
  <w:style w:type="character" w:customStyle="1" w:styleId="jlqj4b">
    <w:name w:val="jlqj4b"/>
    <w:uiPriority w:val="99"/>
    <w:rsid w:val="00D84176"/>
    <w:rPr>
      <w:rFonts w:cs="Times New Roman"/>
    </w:rPr>
  </w:style>
  <w:style w:type="paragraph" w:customStyle="1" w:styleId="NoSpacing2">
    <w:name w:val="No Spacing2"/>
    <w:uiPriority w:val="99"/>
    <w:rsid w:val="00C76F38"/>
    <w:rPr>
      <w:rFonts w:eastAsia="Times New Roman"/>
      <w:sz w:val="22"/>
      <w:szCs w:val="22"/>
      <w:lang w:val="en-US" w:eastAsia="en-US"/>
    </w:rPr>
  </w:style>
  <w:style w:type="paragraph" w:customStyle="1" w:styleId="Default">
    <w:name w:val="Default"/>
    <w:uiPriority w:val="99"/>
    <w:rsid w:val="00C76F38"/>
    <w:pPr>
      <w:autoSpaceDE w:val="0"/>
      <w:autoSpaceDN w:val="0"/>
      <w:adjustRightInd w:val="0"/>
    </w:pPr>
    <w:rPr>
      <w:rFonts w:ascii="Times New Roman" w:eastAsia="Times New Roman" w:hAnsi="Times New Roman"/>
      <w:color w:val="000000"/>
      <w:sz w:val="24"/>
      <w:szCs w:val="24"/>
      <w:lang w:val="en-US" w:eastAsia="en-US"/>
    </w:rPr>
  </w:style>
  <w:style w:type="paragraph" w:styleId="EndnoteText">
    <w:name w:val="endnote text"/>
    <w:basedOn w:val="Normal"/>
    <w:link w:val="EndnoteTextChar"/>
    <w:uiPriority w:val="99"/>
    <w:semiHidden/>
    <w:rsid w:val="00C76F38"/>
    <w:pPr>
      <w:spacing w:after="0" w:line="240" w:lineRule="auto"/>
    </w:pPr>
    <w:rPr>
      <w:rFonts w:eastAsia="Times New Roman"/>
      <w:sz w:val="20"/>
      <w:szCs w:val="20"/>
    </w:rPr>
  </w:style>
  <w:style w:type="character" w:customStyle="1" w:styleId="EndnoteTextChar">
    <w:name w:val="Endnote Text Char"/>
    <w:link w:val="EndnoteText"/>
    <w:uiPriority w:val="99"/>
    <w:semiHidden/>
    <w:locked/>
    <w:rsid w:val="00C76F38"/>
    <w:rPr>
      <w:rFonts w:ascii="Calibri" w:hAnsi="Calibri" w:cs="Times New Roman"/>
      <w:sz w:val="20"/>
      <w:szCs w:val="20"/>
    </w:rPr>
  </w:style>
  <w:style w:type="character" w:styleId="EndnoteReference">
    <w:name w:val="endnote reference"/>
    <w:uiPriority w:val="99"/>
    <w:semiHidden/>
    <w:rsid w:val="00C76F38"/>
    <w:rPr>
      <w:rFonts w:cs="Times New Roman"/>
      <w:vertAlign w:val="superscript"/>
    </w:rPr>
  </w:style>
  <w:style w:type="character" w:styleId="CommentReference">
    <w:name w:val="annotation reference"/>
    <w:uiPriority w:val="99"/>
    <w:semiHidden/>
    <w:rsid w:val="00E37FAC"/>
    <w:rPr>
      <w:rFonts w:cs="Times New Roman"/>
      <w:sz w:val="16"/>
      <w:szCs w:val="16"/>
    </w:rPr>
  </w:style>
  <w:style w:type="paragraph" w:styleId="CommentText">
    <w:name w:val="annotation text"/>
    <w:basedOn w:val="Normal"/>
    <w:link w:val="CommentTextChar"/>
    <w:uiPriority w:val="99"/>
    <w:semiHidden/>
    <w:rsid w:val="00E37FAC"/>
    <w:pPr>
      <w:spacing w:line="240" w:lineRule="auto"/>
    </w:pPr>
    <w:rPr>
      <w:sz w:val="20"/>
      <w:szCs w:val="20"/>
    </w:rPr>
  </w:style>
  <w:style w:type="character" w:customStyle="1" w:styleId="CommentTextChar">
    <w:name w:val="Comment Text Char"/>
    <w:link w:val="CommentText"/>
    <w:uiPriority w:val="99"/>
    <w:semiHidden/>
    <w:locked/>
    <w:rsid w:val="00E37FAC"/>
    <w:rPr>
      <w:rFonts w:cs="Times New Roman"/>
      <w:sz w:val="20"/>
      <w:szCs w:val="20"/>
    </w:rPr>
  </w:style>
  <w:style w:type="paragraph" w:styleId="CommentSubject">
    <w:name w:val="annotation subject"/>
    <w:basedOn w:val="CommentText"/>
    <w:next w:val="CommentText"/>
    <w:link w:val="CommentSubjectChar"/>
    <w:uiPriority w:val="99"/>
    <w:semiHidden/>
    <w:rsid w:val="00E37FAC"/>
    <w:rPr>
      <w:b/>
      <w:bCs/>
    </w:rPr>
  </w:style>
  <w:style w:type="character" w:customStyle="1" w:styleId="CommentSubjectChar">
    <w:name w:val="Comment Subject Char"/>
    <w:link w:val="CommentSubject"/>
    <w:uiPriority w:val="99"/>
    <w:semiHidden/>
    <w:locked/>
    <w:rsid w:val="00E37FAC"/>
    <w:rPr>
      <w:rFonts w:cs="Times New Roman"/>
      <w:b/>
      <w:bCs/>
      <w:sz w:val="20"/>
      <w:szCs w:val="20"/>
    </w:rPr>
  </w:style>
  <w:style w:type="paragraph" w:styleId="BalloonText">
    <w:name w:val="Balloon Text"/>
    <w:basedOn w:val="Normal"/>
    <w:link w:val="BalloonTextChar"/>
    <w:uiPriority w:val="99"/>
    <w:semiHidden/>
    <w:rsid w:val="00E37FA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E37FAC"/>
    <w:rPr>
      <w:rFonts w:ascii="Segoe UI" w:hAnsi="Segoe UI" w:cs="Segoe UI"/>
      <w:sz w:val="18"/>
      <w:szCs w:val="18"/>
    </w:rPr>
  </w:style>
  <w:style w:type="paragraph" w:customStyle="1" w:styleId="TableParagraph">
    <w:name w:val="Table Paragraph"/>
    <w:basedOn w:val="Normal"/>
    <w:uiPriority w:val="99"/>
    <w:rsid w:val="005B1737"/>
    <w:pPr>
      <w:widowControl w:val="0"/>
      <w:autoSpaceDE w:val="0"/>
      <w:autoSpaceDN w:val="0"/>
      <w:spacing w:after="0" w:line="240" w:lineRule="auto"/>
    </w:pPr>
    <w:rPr>
      <w:rFonts w:ascii="Times New Roman" w:eastAsia="Times New Roman" w:hAnsi="Times New Roman"/>
    </w:rPr>
  </w:style>
  <w:style w:type="paragraph" w:styleId="NormalWeb">
    <w:name w:val="Normal (Web)"/>
    <w:basedOn w:val="Normal"/>
    <w:uiPriority w:val="99"/>
    <w:semiHidden/>
    <w:rsid w:val="007E1D6E"/>
    <w:pPr>
      <w:spacing w:before="100" w:beforeAutospacing="1" w:after="100" w:afterAutospacing="1" w:line="240" w:lineRule="auto"/>
    </w:pPr>
    <w:rPr>
      <w:rFonts w:ascii="Times New Roman" w:eastAsia="Times New Roman" w:hAnsi="Times New Roman"/>
      <w:sz w:val="24"/>
      <w:szCs w:val="24"/>
    </w:rPr>
  </w:style>
  <w:style w:type="character" w:customStyle="1" w:styleId="ypks7kbdpwfgdykd3qb9">
    <w:name w:val="ypks7kbdpwfgdykd3qb9"/>
    <w:uiPriority w:val="99"/>
    <w:rsid w:val="00960C71"/>
    <w:rPr>
      <w:rFonts w:cs="Times New Roman"/>
    </w:rPr>
  </w:style>
  <w:style w:type="character" w:customStyle="1" w:styleId="rynqvb">
    <w:name w:val="rynqvb"/>
    <w:uiPriority w:val="99"/>
    <w:rsid w:val="00D91D0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460074">
      <w:marLeft w:val="0"/>
      <w:marRight w:val="0"/>
      <w:marTop w:val="0"/>
      <w:marBottom w:val="0"/>
      <w:divBdr>
        <w:top w:val="none" w:sz="0" w:space="0" w:color="auto"/>
        <w:left w:val="none" w:sz="0" w:space="0" w:color="auto"/>
        <w:bottom w:val="none" w:sz="0" w:space="0" w:color="auto"/>
        <w:right w:val="none" w:sz="0" w:space="0" w:color="auto"/>
      </w:divBdr>
    </w:div>
    <w:div w:id="998460079">
      <w:marLeft w:val="0"/>
      <w:marRight w:val="0"/>
      <w:marTop w:val="0"/>
      <w:marBottom w:val="0"/>
      <w:divBdr>
        <w:top w:val="none" w:sz="0" w:space="0" w:color="auto"/>
        <w:left w:val="none" w:sz="0" w:space="0" w:color="auto"/>
        <w:bottom w:val="none" w:sz="0" w:space="0" w:color="auto"/>
        <w:right w:val="none" w:sz="0" w:space="0" w:color="auto"/>
      </w:divBdr>
      <w:divsChild>
        <w:div w:id="998460077">
          <w:marLeft w:val="0"/>
          <w:marRight w:val="0"/>
          <w:marTop w:val="0"/>
          <w:marBottom w:val="0"/>
          <w:divBdr>
            <w:top w:val="none" w:sz="0" w:space="0" w:color="auto"/>
            <w:left w:val="none" w:sz="0" w:space="0" w:color="auto"/>
            <w:bottom w:val="none" w:sz="0" w:space="0" w:color="auto"/>
            <w:right w:val="none" w:sz="0" w:space="0" w:color="auto"/>
          </w:divBdr>
          <w:divsChild>
            <w:div w:id="998460072">
              <w:marLeft w:val="0"/>
              <w:marRight w:val="0"/>
              <w:marTop w:val="0"/>
              <w:marBottom w:val="0"/>
              <w:divBdr>
                <w:top w:val="none" w:sz="0" w:space="0" w:color="auto"/>
                <w:left w:val="none" w:sz="0" w:space="0" w:color="auto"/>
                <w:bottom w:val="none" w:sz="0" w:space="0" w:color="auto"/>
                <w:right w:val="none" w:sz="0" w:space="0" w:color="auto"/>
              </w:divBdr>
              <w:divsChild>
                <w:div w:id="998460076">
                  <w:marLeft w:val="0"/>
                  <w:marRight w:val="0"/>
                  <w:marTop w:val="0"/>
                  <w:marBottom w:val="0"/>
                  <w:divBdr>
                    <w:top w:val="none" w:sz="0" w:space="0" w:color="auto"/>
                    <w:left w:val="none" w:sz="0" w:space="0" w:color="auto"/>
                    <w:bottom w:val="none" w:sz="0" w:space="0" w:color="auto"/>
                    <w:right w:val="none" w:sz="0" w:space="0" w:color="auto"/>
                  </w:divBdr>
                  <w:divsChild>
                    <w:div w:id="998460078">
                      <w:marLeft w:val="0"/>
                      <w:marRight w:val="0"/>
                      <w:marTop w:val="0"/>
                      <w:marBottom w:val="0"/>
                      <w:divBdr>
                        <w:top w:val="none" w:sz="0" w:space="0" w:color="auto"/>
                        <w:left w:val="none" w:sz="0" w:space="0" w:color="auto"/>
                        <w:bottom w:val="none" w:sz="0" w:space="0" w:color="auto"/>
                        <w:right w:val="none" w:sz="0" w:space="0" w:color="auto"/>
                      </w:divBdr>
                      <w:divsChild>
                        <w:div w:id="998460075">
                          <w:marLeft w:val="0"/>
                          <w:marRight w:val="0"/>
                          <w:marTop w:val="0"/>
                          <w:marBottom w:val="0"/>
                          <w:divBdr>
                            <w:top w:val="none" w:sz="0" w:space="0" w:color="auto"/>
                            <w:left w:val="none" w:sz="0" w:space="0" w:color="auto"/>
                            <w:bottom w:val="none" w:sz="0" w:space="0" w:color="auto"/>
                            <w:right w:val="none" w:sz="0" w:space="0" w:color="auto"/>
                          </w:divBdr>
                          <w:divsChild>
                            <w:div w:id="99846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6342</TotalTime>
  <Pages>66</Pages>
  <Words>26185</Words>
  <Characters>149261</Characters>
  <Application>Microsoft Office Word</Application>
  <DocSecurity>0</DocSecurity>
  <Lines>1243</Lines>
  <Paragraphs>350</Paragraphs>
  <ScaleCrop>false</ScaleCrop>
  <Company/>
  <LinksUpToDate>false</LinksUpToDate>
  <CharactersWithSpaces>175096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347</cp:revision>
  <dcterms:created xsi:type="dcterms:W3CDTF">2021-01-23T13:32:00Z</dcterms:created>
  <dcterms:modified xsi:type="dcterms:W3CDTF">2026-03-31T12:26:00Z</dcterms:modified>
</cp:coreProperties>
</file>