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BC6C4" w14:textId="77777777" w:rsidR="00AE4FF8" w:rsidRPr="001A5ADC" w:rsidRDefault="003F17FA" w:rsidP="00BA7AE9">
      <w:pPr>
        <w:spacing w:after="0" w:line="240" w:lineRule="auto"/>
        <w:jc w:val="center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 xml:space="preserve">სამკურნალო პროდუქტის სამედიცინო </w:t>
      </w:r>
    </w:p>
    <w:p w14:paraId="1D1BF71D" w14:textId="77777777" w:rsidR="00BA7AE9" w:rsidRPr="001A5ADC" w:rsidRDefault="003F17FA" w:rsidP="00BA7AE9">
      <w:pPr>
        <w:spacing w:after="0" w:line="240" w:lineRule="auto"/>
        <w:jc w:val="center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გამოყენების ინსტრუქცია</w:t>
      </w:r>
    </w:p>
    <w:p w14:paraId="5D0C26AF" w14:textId="49D8CC21" w:rsidR="00A439B6" w:rsidRPr="001A5ADC" w:rsidRDefault="001A5ADC" w:rsidP="00BA7AE9">
      <w:pPr>
        <w:spacing w:after="0" w:line="240" w:lineRule="auto"/>
        <w:jc w:val="center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 w:eastAsia="ru-RU"/>
        </w:rPr>
        <w:pict w14:anchorId="5D0C2722">
          <v:shapetype id="_x0000_t202" coordsize="21600,21600" o:spt="202" path="m,l,21600r21600,l21600,xe">
            <v:stroke joinstyle="miter"/>
            <v:path gradientshapeok="t" o:connecttype="rect"/>
          </v:shapetype>
          <v:shape id="DeepLBoxSPIDType" o:spid="_x0000_s1026" type="#_x0000_t202" alt="" style="position:absolute;left:0;text-align:left;margin-left:0;margin-top:0;width:50pt;height:50pt;z-index:251658240;visibility:hidden;mso-wrap-edited:f;mso-width-percent:0;mso-height-percent:0;mso-position-horizontal-relative:text;mso-position-vertical-relative:text;mso-width-percent:0;mso-height-percent:0">
            <o:lock v:ext="edit" selection="t"/>
          </v:shape>
        </w:pict>
      </w:r>
    </w:p>
    <w:p w14:paraId="5D0C26B0" w14:textId="503396F3" w:rsidR="00A439B6" w:rsidRPr="001A5ADC" w:rsidRDefault="00A90C72" w:rsidP="00BA7AE9">
      <w:pPr>
        <w:spacing w:after="0" w:line="240" w:lineRule="auto"/>
        <w:jc w:val="center"/>
        <w:rPr>
          <w:rFonts w:cstheme="minorHAnsi"/>
          <w:b/>
          <w:bCs/>
          <w:caps/>
          <w:noProof/>
          <w:sz w:val="24"/>
          <w:szCs w:val="24"/>
          <w:lang w:val="ka-GE"/>
        </w:rPr>
      </w:pPr>
      <w:r w:rsidRPr="001A5ADC">
        <w:rPr>
          <w:rFonts w:cstheme="minorHAnsi"/>
          <w:b/>
          <w:bCs/>
          <w:caps/>
          <w:noProof/>
          <w:sz w:val="24"/>
          <w:szCs w:val="24"/>
          <w:lang w:val="ka-GE"/>
        </w:rPr>
        <w:t>ფენიბუტი</w:t>
      </w:r>
    </w:p>
    <w:p w14:paraId="772CFEB1" w14:textId="77777777" w:rsidR="00335869" w:rsidRPr="001A5ADC" w:rsidRDefault="00335869" w:rsidP="00BA7AE9">
      <w:pPr>
        <w:spacing w:after="0" w:line="240" w:lineRule="auto"/>
        <w:jc w:val="center"/>
        <w:rPr>
          <w:rFonts w:ascii="Times New Roman" w:hAnsi="Times New Roman"/>
          <w:b/>
          <w:bCs/>
          <w:caps/>
          <w:noProof/>
          <w:sz w:val="24"/>
          <w:szCs w:val="24"/>
          <w:lang w:val="ka-GE"/>
        </w:rPr>
      </w:pPr>
      <w:r w:rsidRPr="001A5ADC">
        <w:rPr>
          <w:rFonts w:ascii="Times New Roman" w:hAnsi="Times New Roman"/>
          <w:b/>
          <w:caps/>
          <w:noProof/>
          <w:sz w:val="24"/>
          <w:szCs w:val="24"/>
          <w:lang w:val="ka-GE"/>
        </w:rPr>
        <w:t>Phenibut</w:t>
      </w:r>
    </w:p>
    <w:p w14:paraId="6632BC1F" w14:textId="77777777" w:rsidR="00335869" w:rsidRPr="001A5ADC" w:rsidRDefault="00335869" w:rsidP="00BA7AE9">
      <w:pPr>
        <w:spacing w:after="0" w:line="240" w:lineRule="auto"/>
        <w:jc w:val="center"/>
        <w:rPr>
          <w:rFonts w:cstheme="minorHAnsi"/>
          <w:b/>
          <w:bCs/>
          <w:caps/>
          <w:noProof/>
          <w:sz w:val="24"/>
          <w:szCs w:val="24"/>
          <w:lang w:val="ka-GE"/>
        </w:rPr>
      </w:pPr>
    </w:p>
    <w:p w14:paraId="5D0C26B3" w14:textId="289E1A1E" w:rsidR="00A439B6" w:rsidRPr="001A5ADC" w:rsidRDefault="003F17FA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შემადგენლობა:</w:t>
      </w:r>
    </w:p>
    <w:p w14:paraId="5D0C26B4" w14:textId="3046EDF3" w:rsidR="00A439B6" w:rsidRPr="001A5ADC" w:rsidRDefault="00C50A2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iCs/>
          <w:noProof/>
          <w:sz w:val="24"/>
          <w:szCs w:val="24"/>
          <w:lang w:val="ka-GE"/>
        </w:rPr>
        <w:t xml:space="preserve">აქტიური </w:t>
      </w:r>
      <w:r w:rsidR="00335869" w:rsidRPr="001A5ADC">
        <w:rPr>
          <w:rFonts w:cstheme="minorHAnsi"/>
          <w:i/>
          <w:iCs/>
          <w:noProof/>
          <w:sz w:val="24"/>
          <w:szCs w:val="24"/>
          <w:lang w:val="ka-GE"/>
        </w:rPr>
        <w:t xml:space="preserve"> ნივთიერება</w:t>
      </w:r>
      <w:r w:rsidRPr="001A5ADC">
        <w:rPr>
          <w:rFonts w:cstheme="minorHAnsi"/>
          <w:i/>
          <w:iCs/>
          <w:noProof/>
          <w:sz w:val="24"/>
          <w:szCs w:val="24"/>
          <w:lang w:val="ka-GE"/>
        </w:rPr>
        <w:t xml:space="preserve">: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ფენიბუტი;</w:t>
      </w:r>
    </w:p>
    <w:p w14:paraId="55429FAE" w14:textId="77777777" w:rsidR="00C50A2E" w:rsidRPr="001A5ADC" w:rsidRDefault="00C50A2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1 ტაბლეტი შეიცავს 250 მგ ფენიბუტს;</w:t>
      </w:r>
    </w:p>
    <w:p w14:paraId="5D0C26B6" w14:textId="317E7870" w:rsidR="00A439B6" w:rsidRPr="001A5ADC" w:rsidRDefault="00C50A2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დამხმარე ნივთიერებები:</w:t>
      </w:r>
      <w:r w:rsidR="00A439B6" w:rsidRPr="001A5ADC">
        <w:rPr>
          <w:rFonts w:cstheme="minorHAnsi"/>
          <w:i/>
          <w:noProof/>
          <w:sz w:val="24"/>
          <w:szCs w:val="24"/>
          <w:lang w:val="ka-GE"/>
        </w:rPr>
        <w:t xml:space="preserve"> </w:t>
      </w:r>
      <w:r w:rsidR="002945CF" w:rsidRPr="001A5ADC">
        <w:rPr>
          <w:rFonts w:cstheme="minorHAnsi"/>
          <w:noProof/>
          <w:sz w:val="24"/>
          <w:szCs w:val="24"/>
          <w:lang w:val="ka-GE"/>
        </w:rPr>
        <w:t>ლაქტოზის მონოჰიდრატი; სიმინდის სახამებელი; მოდიფიცირებული პრეჟელატინიზებული სიმინდის სახამებელი; სტეარინის მჟავა.</w:t>
      </w:r>
    </w:p>
    <w:p w14:paraId="5D0C26B7" w14:textId="77777777" w:rsidR="00A439B6" w:rsidRPr="001A5ADC" w:rsidRDefault="00A439B6" w:rsidP="00BA7AE9">
      <w:pPr>
        <w:tabs>
          <w:tab w:val="left" w:pos="5313"/>
        </w:tabs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6B8" w14:textId="7D261650" w:rsidR="00A439B6" w:rsidRPr="001A5ADC" w:rsidRDefault="002945CF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სამკურნალწამლო ფორმა</w:t>
      </w:r>
      <w:r w:rsidR="009B4320" w:rsidRPr="001A5ADC">
        <w:rPr>
          <w:rFonts w:cstheme="minorHAnsi"/>
          <w:b/>
          <w:noProof/>
          <w:sz w:val="24"/>
          <w:szCs w:val="24"/>
          <w:lang w:val="ka-GE"/>
        </w:rPr>
        <w:t>:</w:t>
      </w:r>
      <w:r w:rsidR="00A439B6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/>
        </w:rPr>
        <w:t>ტაბლეტები.</w:t>
      </w:r>
    </w:p>
    <w:p w14:paraId="5D0C26B9" w14:textId="5B67F6A9" w:rsidR="00A439B6" w:rsidRPr="001A5ADC" w:rsidRDefault="00561F3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ძირითადი ფიზიკური და ქიმიური თვისებები</w:t>
      </w:r>
      <w:r w:rsidR="00A439B6" w:rsidRPr="001A5ADC">
        <w:rPr>
          <w:rFonts w:cstheme="minorHAnsi"/>
          <w:i/>
          <w:noProof/>
          <w:sz w:val="24"/>
          <w:szCs w:val="24"/>
          <w:lang w:val="ka-GE"/>
        </w:rPr>
        <w:t xml:space="preserve">: </w:t>
      </w:r>
      <w:r w:rsidRPr="001A5ADC">
        <w:rPr>
          <w:rFonts w:cstheme="minorHAnsi"/>
          <w:noProof/>
          <w:sz w:val="24"/>
          <w:szCs w:val="24"/>
          <w:lang w:val="ka-GE"/>
        </w:rPr>
        <w:t xml:space="preserve">თეთრიდან </w:t>
      </w:r>
      <w:r w:rsidR="00E64D00" w:rsidRPr="001A5ADC">
        <w:rPr>
          <w:rFonts w:cstheme="minorHAnsi"/>
          <w:noProof/>
          <w:sz w:val="24"/>
          <w:szCs w:val="24"/>
          <w:lang w:val="ka-GE"/>
        </w:rPr>
        <w:t>მო</w:t>
      </w:r>
      <w:r w:rsidRPr="001A5ADC">
        <w:rPr>
          <w:rFonts w:cstheme="minorHAnsi"/>
          <w:noProof/>
          <w:sz w:val="24"/>
          <w:szCs w:val="24"/>
          <w:lang w:val="ka-GE"/>
        </w:rPr>
        <w:t>თეთრ</w:t>
      </w:r>
      <w:r w:rsidR="00E64D00" w:rsidRPr="001A5ADC">
        <w:rPr>
          <w:rFonts w:cstheme="minorHAnsi"/>
          <w:noProof/>
          <w:sz w:val="24"/>
          <w:szCs w:val="24"/>
          <w:lang w:val="ka-GE"/>
        </w:rPr>
        <w:t>ო-</w:t>
      </w:r>
      <w:r w:rsidRPr="001A5ADC">
        <w:rPr>
          <w:rFonts w:cstheme="minorHAnsi"/>
          <w:noProof/>
          <w:sz w:val="24"/>
          <w:szCs w:val="24"/>
          <w:lang w:val="ka-GE"/>
        </w:rPr>
        <w:t>მოყვითალო</w:t>
      </w:r>
      <w:r w:rsidR="00E64D00" w:rsidRPr="001A5ADC">
        <w:rPr>
          <w:rFonts w:cstheme="minorHAnsi"/>
          <w:noProof/>
          <w:sz w:val="24"/>
          <w:szCs w:val="24"/>
          <w:lang w:val="ka-GE"/>
        </w:rPr>
        <w:t xml:space="preserve">მდე </w:t>
      </w:r>
      <w:r w:rsidRPr="001A5ADC">
        <w:rPr>
          <w:rFonts w:cstheme="minorHAnsi"/>
          <w:noProof/>
          <w:sz w:val="24"/>
          <w:szCs w:val="24"/>
          <w:lang w:val="ka-GE"/>
        </w:rPr>
        <w:t xml:space="preserve"> ელფერით, ბრტყელცილინდრული ფორმის ტაბლეტები, ერთ მხარეს ჩაღრმავებული და გამყოფი ხაზით.</w:t>
      </w:r>
    </w:p>
    <w:p w14:paraId="5D0C26BA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6BB" w14:textId="7514A37B" w:rsidR="00A439B6" w:rsidRPr="001A5ADC" w:rsidRDefault="00561F3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ფარმაკოთერაპიული ჯგუფი</w:t>
      </w:r>
      <w:r w:rsidR="009B4320" w:rsidRPr="001A5ADC">
        <w:rPr>
          <w:rFonts w:cstheme="minorHAnsi"/>
          <w:b/>
          <w:noProof/>
          <w:sz w:val="24"/>
          <w:szCs w:val="24"/>
          <w:lang w:val="ka-GE"/>
        </w:rPr>
        <w:t>:</w:t>
      </w:r>
      <w:r w:rsidR="00A439B6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="00DC7862" w:rsidRPr="001A5ADC">
        <w:rPr>
          <w:rFonts w:cstheme="minorHAnsi"/>
          <w:bCs/>
          <w:noProof/>
          <w:sz w:val="24"/>
          <w:szCs w:val="24"/>
          <w:lang w:val="ka-GE"/>
        </w:rPr>
        <w:t xml:space="preserve">სხვა ფსიქოსტიმულატორები და ნოოტროპული საშუალებები. </w:t>
      </w:r>
    </w:p>
    <w:p w14:paraId="5D0C26BC" w14:textId="171BEAC4" w:rsidR="00A439B6" w:rsidRPr="001A5ADC" w:rsidRDefault="00561F3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ათქ კოდი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N06B X22.</w:t>
      </w:r>
    </w:p>
    <w:p w14:paraId="5D0C26BD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6BE" w14:textId="24884652" w:rsidR="00A439B6" w:rsidRPr="001A5ADC" w:rsidRDefault="00A75374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ფარმაკოლოგიური თვისებები</w:t>
      </w:r>
    </w:p>
    <w:p w14:paraId="27AD1C66" w14:textId="1AFE76E2" w:rsidR="00A75374" w:rsidRPr="001A5ADC" w:rsidRDefault="00A75374" w:rsidP="00BA7AE9">
      <w:pPr>
        <w:spacing w:after="0" w:line="240" w:lineRule="auto"/>
        <w:jc w:val="both"/>
        <w:rPr>
          <w:rFonts w:cstheme="minorHAnsi"/>
          <w:i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ფარმაკოდინამიკა</w:t>
      </w:r>
    </w:p>
    <w:p w14:paraId="5D0C26C1" w14:textId="4AB8B041" w:rsidR="00A439B6" w:rsidRPr="001A5ADC" w:rsidRDefault="002B67BD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ფენიბუტი არის γ-ამინოერბომჟავას (GABA) და ფენილეთილამინის წარმოებული. </w:t>
      </w:r>
      <w:r w:rsidR="008033ED" w:rsidRPr="001A5ADC">
        <w:rPr>
          <w:rFonts w:cstheme="minorHAnsi"/>
          <w:noProof/>
          <w:sz w:val="24"/>
          <w:szCs w:val="24"/>
          <w:lang w:val="ka-GE" w:eastAsia="uk-UA"/>
        </w:rPr>
        <w:t>მისი დომინანტური მოქმედება ანტიჰიპოქსიური და ანტიამნეზურია.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8033ED" w:rsidRPr="001A5ADC">
        <w:rPr>
          <w:rFonts w:cstheme="minorHAnsi"/>
          <w:noProof/>
          <w:sz w:val="24"/>
          <w:szCs w:val="24"/>
          <w:lang w:val="ka-GE" w:eastAsia="uk-UA"/>
        </w:rPr>
        <w:t xml:space="preserve">ფენიბუტი აუმჯობესებს მეხსიერებას და ყურადღებას, ხელს უწყობს სწავლის პროცესებს და აძლიერებს ფიზიკურ და გონებრივ შრომისუნარიანობას. ფენიბუტი ასევე აუმჯობესებს ფსიქოლოგიურ შრომისუნარიანობას (ყურადღება, მეხსიერება, სენსორულ-მოტორული რეაქციების სიჩქარე და სიზუსტე). </w:t>
      </w:r>
      <w:r w:rsidR="006D05BD" w:rsidRPr="001A5ADC">
        <w:rPr>
          <w:rFonts w:cstheme="minorHAnsi"/>
          <w:noProof/>
          <w:sz w:val="24"/>
          <w:szCs w:val="24"/>
          <w:lang w:val="ka-GE" w:eastAsia="uk-UA"/>
        </w:rPr>
        <w:t>დადგენილია, რომ ფენიბუტი ზრდის ნეირონების ენერგეტიკულ პოტენციალს მიტოქონდრიული ფუნქციის გაუმჯობესების გზით.</w:t>
      </w:r>
    </w:p>
    <w:p w14:paraId="5D0C26C2" w14:textId="426EE3A8" w:rsidR="00A439B6" w:rsidRPr="001A5ADC" w:rsidRDefault="0002598A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ფენიბუტს ასევე აქვს დამამშვიდებელი თვისებები: ის ხსნის ფსიქოემოციურ სტრესს, შფოთვას, შიშს, ემოციურ ლაბილობას, გაღიზიანებას, აუმჯობესებს ძილს, ახანგრძლივებს და აძლიერებს საძილე, ნარკოტიკული საშუალებების, ნეიროლეფსიური და კრუნჩხვის საწინააღმდეგო საშუალებების ეფექტს.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5311E3" w:rsidRPr="001A5ADC">
        <w:rPr>
          <w:rFonts w:cstheme="minorHAnsi"/>
          <w:noProof/>
          <w:sz w:val="24"/>
          <w:szCs w:val="24"/>
          <w:lang w:val="ka-GE" w:eastAsia="uk-UA"/>
        </w:rPr>
        <w:t>ფენიბუტი უკავშირდება მხოლოდ ტვინში არსებულ GABA-β რეცეპტორებს, ამიტომ მას აქვს ზომიერი დამამშვიდებელი ეფექტი, მაგრამ არ აქვს არასასურველი სედა</w:t>
      </w:r>
      <w:r w:rsidR="00E64D00" w:rsidRPr="001A5ADC">
        <w:rPr>
          <w:rFonts w:cstheme="minorHAnsi"/>
          <w:noProof/>
          <w:sz w:val="24"/>
          <w:szCs w:val="24"/>
          <w:lang w:val="ka-GE" w:eastAsia="uk-UA"/>
        </w:rPr>
        <w:t>ც</w:t>
      </w:r>
      <w:r w:rsidR="005311E3" w:rsidRPr="001A5ADC">
        <w:rPr>
          <w:rFonts w:cstheme="minorHAnsi"/>
          <w:noProof/>
          <w:sz w:val="24"/>
          <w:szCs w:val="24"/>
          <w:lang w:val="ka-GE" w:eastAsia="uk-UA"/>
        </w:rPr>
        <w:t>იური ეფექტი: ძილიანობა, თავბრუსხვევა, ყურადღების და შრომისუნარიანობის დაქვეითება.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4C63FE" w:rsidRPr="001A5ADC">
        <w:rPr>
          <w:rFonts w:cstheme="minorHAnsi"/>
          <w:noProof/>
          <w:sz w:val="24"/>
          <w:szCs w:val="24"/>
          <w:lang w:val="ka-GE" w:eastAsia="uk-UA"/>
        </w:rPr>
        <w:t>პრეპარატი ახანგრძლივებს ლატენტურ პერიოდს და ამცირებს ნისტაგმის ხანგრძლივობას და სიმძიმეს, ასევე ავლენს ანტიეპილეფსიურ მოქმედებას. ის არ მოქმედებს ქოლინ</w:t>
      </w:r>
      <w:r w:rsidR="00E64D00" w:rsidRPr="001A5ADC">
        <w:rPr>
          <w:rFonts w:cstheme="minorHAnsi"/>
          <w:noProof/>
          <w:sz w:val="24"/>
          <w:szCs w:val="24"/>
          <w:lang w:val="ka-GE" w:eastAsia="uk-UA"/>
        </w:rPr>
        <w:t>ო-</w:t>
      </w:r>
      <w:r w:rsidR="004C63FE" w:rsidRPr="001A5ADC">
        <w:rPr>
          <w:rFonts w:cstheme="minorHAnsi"/>
          <w:noProof/>
          <w:sz w:val="24"/>
          <w:szCs w:val="24"/>
          <w:lang w:val="ka-GE" w:eastAsia="uk-UA"/>
        </w:rPr>
        <w:t xml:space="preserve"> ან ადრენ</w:t>
      </w:r>
      <w:r w:rsidR="00E64D00" w:rsidRPr="001A5ADC">
        <w:rPr>
          <w:rFonts w:cstheme="minorHAnsi"/>
          <w:noProof/>
          <w:sz w:val="24"/>
          <w:szCs w:val="24"/>
          <w:lang w:val="ka-GE" w:eastAsia="uk-UA"/>
        </w:rPr>
        <w:t>ო</w:t>
      </w:r>
      <w:r w:rsidR="004C63FE" w:rsidRPr="001A5ADC">
        <w:rPr>
          <w:rFonts w:cstheme="minorHAnsi"/>
          <w:noProof/>
          <w:sz w:val="24"/>
          <w:szCs w:val="24"/>
          <w:lang w:val="ka-GE" w:eastAsia="uk-UA"/>
        </w:rPr>
        <w:t>რეცეპტორებზე.</w:t>
      </w:r>
    </w:p>
    <w:p w14:paraId="5D0C26C3" w14:textId="4D5F86C8" w:rsidR="00A439B6" w:rsidRPr="001A5ADC" w:rsidRDefault="00D74B5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ფენიბუტი მნიშვნელოვნად ამცირებს ასთენიისა და ვაზოვეგეტატიური სიმპტომების გამოვლინებებს, მათ შორის თავის ტკივილს და თავში სიმძიმის შეგრძნებას. </w:t>
      </w:r>
      <w:r w:rsidR="00D84C70" w:rsidRPr="001A5ADC">
        <w:rPr>
          <w:rFonts w:cstheme="minorHAnsi"/>
          <w:noProof/>
          <w:sz w:val="24"/>
          <w:szCs w:val="24"/>
          <w:lang w:val="ka-GE" w:eastAsia="uk-UA"/>
        </w:rPr>
        <w:t>ასთენიის მქონე და ემოციურად ლაბილურ პაციენტებში, პრეპარატ ფენიბუტის გამოყენებისას, თვითგრძნობა უმჯობესდება აგზნების გარეშე.</w:t>
      </w:r>
    </w:p>
    <w:p w14:paraId="5D0C26C4" w14:textId="460590AA" w:rsidR="00A439B6" w:rsidRPr="001A5ADC" w:rsidRDefault="00D84C70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ფარმაკოკინეტიკა.</w:t>
      </w:r>
      <w:r w:rsidR="00A439B6" w:rsidRPr="001A5ADC">
        <w:rPr>
          <w:rFonts w:cstheme="minorHAnsi"/>
          <w:i/>
          <w:noProof/>
          <w:sz w:val="24"/>
          <w:szCs w:val="24"/>
          <w:lang w:val="ka-GE"/>
        </w:rPr>
        <w:t xml:space="preserve"> </w:t>
      </w:r>
    </w:p>
    <w:p w14:paraId="5D0C26C5" w14:textId="4BF8A4B7" w:rsidR="00A439B6" w:rsidRPr="001A5ADC" w:rsidRDefault="00335869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u w:val="single"/>
          <w:lang w:val="ka-GE" w:eastAsia="uk-UA"/>
        </w:rPr>
      </w:pPr>
      <w:r w:rsidRPr="001A5ADC">
        <w:rPr>
          <w:rFonts w:cstheme="minorHAnsi"/>
          <w:noProof/>
          <w:sz w:val="24"/>
          <w:szCs w:val="24"/>
          <w:u w:val="single"/>
          <w:lang w:val="ka-GE" w:eastAsia="uk-UA"/>
        </w:rPr>
        <w:t>აბსორბცია</w:t>
      </w:r>
      <w:r w:rsidR="00D84C70" w:rsidRPr="001A5ADC">
        <w:rPr>
          <w:rFonts w:cstheme="minorHAnsi"/>
          <w:noProof/>
          <w:sz w:val="24"/>
          <w:szCs w:val="24"/>
          <w:u w:val="single"/>
          <w:lang w:val="ka-GE" w:eastAsia="uk-UA"/>
        </w:rPr>
        <w:t xml:space="preserve"> და განაწილება</w:t>
      </w:r>
    </w:p>
    <w:p w14:paraId="5D0C26C6" w14:textId="7AC678B7" w:rsidR="00A439B6" w:rsidRPr="001A5ADC" w:rsidRDefault="00995975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პერორალური მიღების შემდეგ პრეპარატი კარგად შეიწოვება და კარგად აღწევს ორგანიზმის ყველა ქსოვილში,  კარგად გადის ჰემატოენცეფალურ ბარიერს (პრეპარატის შეყვანილი დოზის დაახლოებით 0.1% აღწევს ტვინის ქსოვილში და მნიშვნელოვნად უფრო დიდი რაოდენობით ახალგაზრდა და ხანდაზმულ პირებში).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2C5F02" w:rsidRPr="001A5ADC">
        <w:rPr>
          <w:rFonts w:cstheme="minorHAnsi"/>
          <w:noProof/>
          <w:sz w:val="24"/>
          <w:szCs w:val="24"/>
          <w:lang w:val="ka-GE" w:eastAsia="uk-UA"/>
        </w:rPr>
        <w:t>ფენიბუტის ყველაზე მაღალი შეკავშირება ხდება ღვიძლში (80%), ეს არ არის სპეციფიკური.</w:t>
      </w:r>
    </w:p>
    <w:p w14:paraId="5D0C26C7" w14:textId="33825CC6" w:rsidR="00A439B6" w:rsidRPr="001A5ADC" w:rsidRDefault="002C5F0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u w:val="single"/>
          <w:lang w:val="ka-GE" w:eastAsia="uk-UA"/>
        </w:rPr>
      </w:pPr>
      <w:r w:rsidRPr="001A5ADC">
        <w:rPr>
          <w:rFonts w:cstheme="minorHAnsi"/>
          <w:noProof/>
          <w:sz w:val="24"/>
          <w:szCs w:val="24"/>
          <w:u w:val="single"/>
          <w:lang w:val="ka-GE" w:eastAsia="uk-UA"/>
        </w:rPr>
        <w:t>ბიოტრანსფორმაცია და ექსკრეცია</w:t>
      </w:r>
    </w:p>
    <w:p w14:paraId="7E2B20F8" w14:textId="77777777" w:rsidR="00E64D00" w:rsidRPr="001A5ADC" w:rsidRDefault="002C5F0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lastRenderedPageBreak/>
        <w:t xml:space="preserve">ფენიბუტის 80-95% მეტაბოლიზდება ღვიძლში; მეტაბოლიტები ფარმაკოლოგიურად არააქტიურია. </w:t>
      </w:r>
    </w:p>
    <w:p w14:paraId="5D0C26C9" w14:textId="33206E10" w:rsidR="00A439B6" w:rsidRPr="001A5ADC" w:rsidRDefault="00C16345" w:rsidP="00BA7AE9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ღვიძლში და თირკმელებში განაწილება თითქმის ერთგვაროვანია, მაგრამ ტვინსა და სისხლში ის ნაკლებად ერთგვაროვანია. 3 საათის შემდეგ, შარდში აღმოჩენილია შეყვანილი ფენიბუტის შესამჩნევი რაოდენობა, ხოლო პრეპარატის კონცენტრაცია ტვინის ქსოვილში არ მცირდება - ის ტვინში აღმოჩენილია კიდევ 6 საათის შემდეგ. 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E95F17" w:rsidRPr="001A5ADC">
        <w:rPr>
          <w:rFonts w:cstheme="minorHAnsi"/>
          <w:noProof/>
          <w:sz w:val="24"/>
          <w:szCs w:val="24"/>
          <w:lang w:val="ka-GE" w:eastAsia="uk-UA"/>
        </w:rPr>
        <w:t>მომდევნო დღეს ფენიბუტი მხოლოდ შარდში ვლინდება; მიღებიდან ორი დღის შემდეგაც კი, ის შარდში კვლავ ვლინდება, თუმცა აღმოჩენილი რაოდენობა მიღებული დოზის მხოლოდ 5%-ს შეადგენს. განმეორებითი მიღებისას კუმულაცია არ შეინიშნება.</w:t>
      </w:r>
    </w:p>
    <w:p w14:paraId="5D0C26CA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6CB" w14:textId="483E9934" w:rsidR="00A439B6" w:rsidRPr="001A5ADC" w:rsidRDefault="00E95F17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კლინიკური მახასიათებლები</w:t>
      </w:r>
    </w:p>
    <w:p w14:paraId="5D0C26CC" w14:textId="4346723B" w:rsidR="00A439B6" w:rsidRPr="001A5ADC" w:rsidRDefault="00E95F17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ჩვენება.</w:t>
      </w:r>
      <w:r w:rsidR="00A439B6" w:rsidRPr="001A5ADC">
        <w:rPr>
          <w:rFonts w:cstheme="minorHAnsi"/>
          <w:b/>
          <w:i/>
          <w:noProof/>
          <w:sz w:val="24"/>
          <w:szCs w:val="24"/>
          <w:lang w:val="ka-GE"/>
        </w:rPr>
        <w:t xml:space="preserve"> </w:t>
      </w:r>
    </w:p>
    <w:p w14:paraId="29AA6EA0" w14:textId="77777777" w:rsidR="001566EE" w:rsidRPr="001A5ADC" w:rsidRDefault="001566E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ასთენიური და შფოთვით-ნევროზული მდგომარეობები: მოუსვენრობა, შიში, შფოთვა.</w:t>
      </w:r>
    </w:p>
    <w:p w14:paraId="5D0C26CE" w14:textId="0A62B477" w:rsidR="00A439B6" w:rsidRPr="001A5ADC" w:rsidRDefault="001566E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უძილობა, ღამის მოუსვენრობა ხანდაზმულებში.</w:t>
      </w:r>
    </w:p>
    <w:p w14:paraId="5D0C26CF" w14:textId="7F7474B6" w:rsidR="00A439B6" w:rsidRPr="001A5ADC" w:rsidRDefault="001566E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 xml:space="preserve">სტრესის პრევენცია ოპერაციამდე ან მტკივნეულ დიაგნოსტიკურ გამოკვლევებამდე. </w:t>
      </w:r>
    </w:p>
    <w:p w14:paraId="5D0C26D0" w14:textId="2148964F" w:rsidR="00A439B6" w:rsidRPr="001A5ADC" w:rsidRDefault="00D33E3C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მენიერის დაავადება, თავბრუსხვევა, რომელიც დაკავშირებულია ვესტიბულური ანალიზატორის სხვადასხვა წარმოშობის დისფუნქციასთან.</w:t>
      </w:r>
    </w:p>
    <w:p w14:paraId="5D0C26D1" w14:textId="343A087B" w:rsidR="00A439B6" w:rsidRPr="001A5ADC" w:rsidRDefault="00D33E3C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კინეტოზის პროფულაქტიკა (სპეციფიკური მდგომარეობა, რომელიც ხასიათდება გულისრევით, ღებინებით, პროსტრაციით და ვესტიბულური დისფუნქციით, რაც გამოწვეულია მოძრავ ობიექტში, მაგალითად, გემზე ან თვითმფრინავზე ყოფნით).</w:t>
      </w:r>
    </w:p>
    <w:p w14:paraId="7B4CE9EA" w14:textId="1998EE93" w:rsidR="00623E3B" w:rsidRPr="001A5ADC" w:rsidRDefault="00623E3B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ენ</w:t>
      </w:r>
      <w:r w:rsidR="008F2070" w:rsidRPr="001A5ADC">
        <w:rPr>
          <w:rFonts w:cstheme="minorHAnsi"/>
          <w:noProof/>
          <w:sz w:val="24"/>
          <w:szCs w:val="24"/>
          <w:lang w:val="ka-GE"/>
        </w:rPr>
        <w:t>აბორძიკობა,</w:t>
      </w:r>
      <w:r w:rsidRPr="001A5ADC">
        <w:rPr>
          <w:rFonts w:cstheme="minorHAnsi"/>
          <w:noProof/>
          <w:sz w:val="24"/>
          <w:szCs w:val="24"/>
          <w:lang w:val="ka-GE"/>
        </w:rPr>
        <w:t xml:space="preserve"> ტიკები 8-დან 14 წლამდე ასაკის ბავშვებში.</w:t>
      </w:r>
    </w:p>
    <w:p w14:paraId="5D0C26D4" w14:textId="1B053CB8" w:rsidR="00A439B6" w:rsidRPr="001A5ADC" w:rsidRDefault="00623E3B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 xml:space="preserve">აბსტინენციის სინდრომის მკურნალობა </w:t>
      </w:r>
      <w:r w:rsidR="00E65AE1" w:rsidRPr="001A5ADC">
        <w:rPr>
          <w:rFonts w:cstheme="minorHAnsi"/>
          <w:noProof/>
          <w:sz w:val="24"/>
          <w:szCs w:val="24"/>
          <w:lang w:val="ka-GE"/>
        </w:rPr>
        <w:t>ალკოჰოლიზმის დროს,</w:t>
      </w:r>
      <w:r w:rsidRPr="001A5ADC">
        <w:rPr>
          <w:rFonts w:cstheme="minorHAnsi"/>
          <w:noProof/>
          <w:sz w:val="24"/>
          <w:szCs w:val="24"/>
          <w:lang w:val="ka-GE"/>
        </w:rPr>
        <w:t xml:space="preserve"> მკურნალობის დამხმარე საშუალების სახით.</w:t>
      </w:r>
    </w:p>
    <w:p w14:paraId="67AD8317" w14:textId="77777777" w:rsidR="00335869" w:rsidRPr="001A5ADC" w:rsidRDefault="00335869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5D0C26D5" w14:textId="58EF1961" w:rsidR="00A439B6" w:rsidRPr="001A5ADC" w:rsidRDefault="00E65AE1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უკუჩვენება.</w:t>
      </w:r>
    </w:p>
    <w:p w14:paraId="369BE2C2" w14:textId="6A710396" w:rsidR="00E65AE1" w:rsidRPr="001A5ADC" w:rsidRDefault="00E65AE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მომატებული მგრძნობელობა პრეპარატის რომელიმე კომპონენტის მიმართ.</w:t>
      </w:r>
    </w:p>
    <w:p w14:paraId="15570F76" w14:textId="77777777" w:rsidR="00E65AE1" w:rsidRPr="001A5ADC" w:rsidRDefault="00E65AE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თირკმლის მწვავე უკმარისობა.</w:t>
      </w:r>
    </w:p>
    <w:p w14:paraId="5D0C26D8" w14:textId="525CBB2D" w:rsidR="00A439B6" w:rsidRPr="001A5ADC" w:rsidRDefault="00E65AE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ორსულობა და ძუძუთი კვება.</w:t>
      </w:r>
    </w:p>
    <w:p w14:paraId="5D0C26D9" w14:textId="77777777" w:rsidR="00A439B6" w:rsidRPr="001A5ADC" w:rsidRDefault="00A439B6" w:rsidP="00BA7AE9">
      <w:pPr>
        <w:spacing w:after="0" w:line="240" w:lineRule="auto"/>
        <w:rPr>
          <w:rFonts w:cstheme="minorHAnsi"/>
          <w:noProof/>
          <w:sz w:val="24"/>
          <w:szCs w:val="24"/>
          <w:lang w:val="ka-GE"/>
        </w:rPr>
      </w:pPr>
    </w:p>
    <w:p w14:paraId="5D0C26DA" w14:textId="37EA5BD5" w:rsidR="00A439B6" w:rsidRPr="001A5ADC" w:rsidRDefault="0047609F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  <w:r w:rsidR="00A439B6" w:rsidRPr="001A5ADC">
        <w:rPr>
          <w:rFonts w:cstheme="minorHAnsi"/>
          <w:b/>
          <w:i/>
          <w:noProof/>
          <w:sz w:val="24"/>
          <w:szCs w:val="24"/>
          <w:lang w:val="ka-GE"/>
        </w:rPr>
        <w:t xml:space="preserve"> </w:t>
      </w:r>
    </w:p>
    <w:p w14:paraId="5D0C26DB" w14:textId="165B5F52" w:rsidR="00A439B6" w:rsidRPr="001A5ADC" w:rsidRDefault="0047609F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პრეპარატის კომბინირება შესაძლებელია ფსიქოტროპულ პრეპარატებთან, რაც ამცირებს ფენიბუტის და მათთან ერთად გამოყენებული პრეპარატების დოზებს.</w:t>
      </w:r>
    </w:p>
    <w:p w14:paraId="5D0C26DC" w14:textId="789F6FB7" w:rsidR="00A439B6" w:rsidRPr="001A5ADC" w:rsidRDefault="003A3AF0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ფენიბუტი აძლიერებს და ახანგრძლივებს საძილე, ნარკოტიკული საშუალებების, ნეიროლეფსიური და პარკინსონის საწინააღმდეგო პრეპარატების ეფექტს.</w:t>
      </w:r>
    </w:p>
    <w:p w14:paraId="5D0C26DD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i/>
          <w:noProof/>
          <w:sz w:val="24"/>
          <w:szCs w:val="24"/>
          <w:lang w:val="ka-GE"/>
        </w:rPr>
      </w:pPr>
    </w:p>
    <w:p w14:paraId="5D0C26DE" w14:textId="08B1D73F" w:rsidR="00A439B6" w:rsidRPr="001A5ADC" w:rsidRDefault="003A3AF0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გამოყენების თავისებურებები</w:t>
      </w:r>
      <w:r w:rsidR="00A439B6" w:rsidRPr="001A5ADC">
        <w:rPr>
          <w:rFonts w:cstheme="minorHAnsi"/>
          <w:b/>
          <w:i/>
          <w:noProof/>
          <w:sz w:val="24"/>
          <w:szCs w:val="24"/>
          <w:lang w:val="ka-GE"/>
        </w:rPr>
        <w:t xml:space="preserve"> </w:t>
      </w:r>
    </w:p>
    <w:p w14:paraId="5D0C26DF" w14:textId="2311809A" w:rsidR="00A439B6" w:rsidRPr="001A5ADC" w:rsidRDefault="0026025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 სიფრთხილით უნდა იქნას გამოყენებული კუჭის ან ნაწლავების პათოლოგიების მქონე პაციენტებში. ლორწოვანი გარსის ფენიბუტის გამაღიზიანებელი ეფექტისგან დასაცავად, ასეთ პაციენტებს ენიშნებათ უფრო დაბალი დოზები.</w:t>
      </w:r>
    </w:p>
    <w:p w14:paraId="3EC3ACA3" w14:textId="77777777" w:rsidR="0026025E" w:rsidRPr="001A5ADC" w:rsidRDefault="0026025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ხანგრძლივი მკურნალობის შემთხვევაში აუცილებელია სისხლისა და ღვიძლის პარამეტრების მონიტორინგი.</w:t>
      </w:r>
    </w:p>
    <w:p w14:paraId="5D0C26E1" w14:textId="545D387A" w:rsidR="00A439B6" w:rsidRPr="001A5ADC" w:rsidRDefault="00E50A8B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 ფენიბუტი შეიცავს ლაქტოზას, ამიტომ პაციენტებმა, რომლებსაც აქვთ გალაქტოზის აუტანლობის იშვიათი მემკვიდრეობითი ფორმები, ლაქტაზას დეფიციტი ან გლუკოზა-გალაქტოზის მალაბსორბციის სინდრომი, არ უნდა გამოიყენონ იგი.</w:t>
      </w:r>
    </w:p>
    <w:p w14:paraId="5D0C26E2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3F60BE6C" w14:textId="0E6DF394" w:rsidR="00E50A8B" w:rsidRPr="001A5ADC" w:rsidRDefault="00E50A8B" w:rsidP="00BA7AE9">
      <w:pPr>
        <w:spacing w:after="0" w:line="240" w:lineRule="auto"/>
        <w:jc w:val="both"/>
        <w:rPr>
          <w:rFonts w:cstheme="minorHAnsi"/>
          <w:i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ორსულობის ან ძუძუთი კვების პერიოდში</w:t>
      </w:r>
      <w:r w:rsidR="008F2070" w:rsidRPr="001A5ADC">
        <w:rPr>
          <w:rFonts w:cstheme="minorHAnsi"/>
          <w:i/>
          <w:noProof/>
          <w:sz w:val="24"/>
          <w:szCs w:val="24"/>
          <w:lang w:val="ka-GE"/>
        </w:rPr>
        <w:t xml:space="preserve"> გამოყენება</w:t>
      </w:r>
    </w:p>
    <w:p w14:paraId="5D0C26E4" w14:textId="2B263847" w:rsidR="00A439B6" w:rsidRPr="001A5ADC" w:rsidRDefault="00EF023F" w:rsidP="00BA7AE9">
      <w:pPr>
        <w:spacing w:after="0" w:line="240" w:lineRule="auto"/>
        <w:jc w:val="both"/>
        <w:rPr>
          <w:rFonts w:cstheme="minorHAnsi"/>
          <w:iCs/>
          <w:noProof/>
          <w:sz w:val="24"/>
          <w:szCs w:val="24"/>
          <w:lang w:val="ka-GE"/>
        </w:rPr>
      </w:pPr>
      <w:r w:rsidRPr="001A5ADC">
        <w:rPr>
          <w:rFonts w:cstheme="minorHAnsi"/>
          <w:bCs/>
          <w:iCs/>
          <w:noProof/>
          <w:sz w:val="24"/>
          <w:szCs w:val="24"/>
          <w:lang w:val="ka-GE"/>
        </w:rPr>
        <w:t>ცხოველებზე ჩატარებულმა კვლევებმა არ გამოავლინა ფენიბუტის რაიმე მუტაგენური, ტერატოგენული ან ემბრიოტოქსი</w:t>
      </w:r>
      <w:r w:rsidR="008F2070" w:rsidRPr="001A5ADC">
        <w:rPr>
          <w:rFonts w:cstheme="minorHAnsi"/>
          <w:bCs/>
          <w:iCs/>
          <w:noProof/>
          <w:sz w:val="24"/>
          <w:szCs w:val="24"/>
          <w:lang w:val="ka-GE"/>
        </w:rPr>
        <w:t>კ</w:t>
      </w:r>
      <w:r w:rsidRPr="001A5ADC">
        <w:rPr>
          <w:rFonts w:cstheme="minorHAnsi"/>
          <w:bCs/>
          <w:iCs/>
          <w:noProof/>
          <w:sz w:val="24"/>
          <w:szCs w:val="24"/>
          <w:lang w:val="ka-GE"/>
        </w:rPr>
        <w:t xml:space="preserve">ური ეფექტი. ორსულ ქალებში ფენიბუტის გამოყენების უსაფრთხოების შესახებ საკმარისი და კარგად კონტროლირებადი კლინიკური კვლევები არ არსებობს. </w:t>
      </w:r>
      <w:r w:rsidRPr="001A5ADC">
        <w:rPr>
          <w:rFonts w:cstheme="minorHAnsi"/>
          <w:iCs/>
          <w:noProof/>
          <w:sz w:val="24"/>
          <w:szCs w:val="24"/>
          <w:lang w:val="ka-GE"/>
        </w:rPr>
        <w:t>ამიტომ, ფენიბუტის გამოყენება ორსულობის ან ძუძუთი კვების დროს უკუნაჩვენებია.</w:t>
      </w:r>
    </w:p>
    <w:p w14:paraId="5D0C26E5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0E927AF0" w14:textId="77777777" w:rsidR="004707D7" w:rsidRPr="001A5ADC" w:rsidRDefault="004707D7" w:rsidP="00BA7AE9">
      <w:pPr>
        <w:spacing w:after="0" w:line="240" w:lineRule="auto"/>
        <w:jc w:val="both"/>
        <w:rPr>
          <w:rFonts w:cstheme="minorHAnsi"/>
          <w:i/>
          <w:noProof/>
          <w:sz w:val="24"/>
          <w:szCs w:val="24"/>
          <w:lang w:val="ka-GE"/>
        </w:rPr>
      </w:pPr>
      <w:r w:rsidRPr="001A5ADC">
        <w:rPr>
          <w:rFonts w:cstheme="minorHAnsi"/>
          <w:i/>
          <w:noProof/>
          <w:sz w:val="24"/>
          <w:szCs w:val="24"/>
          <w:lang w:val="ka-GE"/>
        </w:rPr>
        <w:t>რეაქციის სიჩქარეზე გავლენის მოხდენის უნარი სატრანსპორტო საშუალების მართვისას ან სხვა მექანიზმების გამოყენებისას.</w:t>
      </w:r>
    </w:p>
    <w:p w14:paraId="5D0C26E7" w14:textId="2B1D1AD9" w:rsidR="00A439B6" w:rsidRPr="001A5ADC" w:rsidRDefault="004707D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პაციენტებმა, რომლებსაც ფენიბუტის მიღების დროს აღენიშნებათ ძილიანობა, თავბრუსხვევა ან ცენტრალური ნერვული სისტემის სხვა დარღვევები, თავი უნდა შეიკავონ სატრანსპორტო საშუალებების მართვისგან ან სხვა მექანიზმებთან მუშაობისგან.</w:t>
      </w:r>
    </w:p>
    <w:p w14:paraId="5D0C26E8" w14:textId="77777777" w:rsidR="007716E8" w:rsidRPr="001A5ADC" w:rsidRDefault="007716E8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</w:p>
    <w:p w14:paraId="5D0C26E9" w14:textId="16EE1F97" w:rsidR="00A439B6" w:rsidRPr="001A5ADC" w:rsidRDefault="002F45DB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გამოყენების მეთოდი და დოზირება</w:t>
      </w:r>
    </w:p>
    <w:p w14:paraId="1B051A45" w14:textId="5CB402B9" w:rsidR="002F45DB" w:rsidRPr="001A5ADC" w:rsidRDefault="002F45DB" w:rsidP="00BA7AE9">
      <w:pPr>
        <w:spacing w:after="0" w:line="240" w:lineRule="auto"/>
        <w:jc w:val="both"/>
        <w:rPr>
          <w:rFonts w:cstheme="minorHAnsi"/>
          <w:bCs/>
          <w:noProof/>
          <w:sz w:val="24"/>
          <w:szCs w:val="24"/>
          <w:lang w:val="ka-GE" w:eastAsia="uk-UA"/>
        </w:rPr>
      </w:pPr>
      <w:r w:rsidRPr="001A5ADC">
        <w:rPr>
          <w:rFonts w:cstheme="minorHAnsi"/>
          <w:bCs/>
          <w:noProof/>
          <w:sz w:val="24"/>
          <w:szCs w:val="24"/>
          <w:lang w:val="ka-GE" w:eastAsia="uk-UA"/>
        </w:rPr>
        <w:t>ფენიბუტი მიიღება პერორალურად, ჭამის წინ. ტაბლეტი გადაყლაპეთ მთლიანად დიდი რაოდენობით წყალთან ერთად.</w:t>
      </w:r>
    </w:p>
    <w:p w14:paraId="5D0C26EB" w14:textId="4D9E7028" w:rsidR="00A439B6" w:rsidRPr="001A5ADC" w:rsidRDefault="002209D8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ასთენიური და შფოთვით-ნევროზული მდგომარეობების დროს მოზრდილებს ენიშნებათ </w:t>
      </w:r>
      <w:r w:rsidRPr="001A5ADC">
        <w:rPr>
          <w:rFonts w:cstheme="minorHAnsi"/>
          <w:iCs/>
          <w:noProof/>
          <w:sz w:val="24"/>
          <w:szCs w:val="24"/>
          <w:lang w:val="ka-GE" w:eastAsia="uk-UA"/>
        </w:rPr>
        <w:t xml:space="preserve">250-500 მგ (1-2 ტაბლეტი) დღე-ღამეში 3-ჯერ. მაქსიმალური ერთჯერადი დოზა მოზრდილებისთვის არის 750 მგ და ხანდაზმული პაციენტებისთვის </w:t>
      </w:r>
      <w:r w:rsidR="008F2070" w:rsidRPr="001A5ADC">
        <w:rPr>
          <w:rFonts w:cstheme="minorHAnsi"/>
          <w:iCs/>
          <w:noProof/>
          <w:sz w:val="24"/>
          <w:szCs w:val="24"/>
          <w:lang w:val="ka-GE" w:eastAsia="uk-UA"/>
        </w:rPr>
        <w:t xml:space="preserve">- </w:t>
      </w:r>
      <w:r w:rsidRPr="001A5ADC">
        <w:rPr>
          <w:rFonts w:cstheme="minorHAnsi"/>
          <w:iCs/>
          <w:noProof/>
          <w:sz w:val="24"/>
          <w:szCs w:val="24"/>
          <w:lang w:val="ka-GE" w:eastAsia="uk-UA"/>
        </w:rPr>
        <w:t>500 მგ.</w:t>
      </w:r>
    </w:p>
    <w:p w14:paraId="5D0C26EC" w14:textId="336AA2E7" w:rsidR="00A439B6" w:rsidRPr="001A5ADC" w:rsidRDefault="00BE519B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მკურნალობის კურსის ხანგრძლივობა შეადგენს 2-3 კვირას. საჭიროების შემთხვევაში, მკურნალობის კურსი შეიძლება გაგრძელდეს 4-6 კვირამდე.</w:t>
      </w:r>
    </w:p>
    <w:p w14:paraId="5D0C26ED" w14:textId="7FB2E240" w:rsidR="00A439B6" w:rsidRPr="001A5ADC" w:rsidRDefault="00BE519B" w:rsidP="00BA7AE9">
      <w:pPr>
        <w:spacing w:after="0" w:line="240" w:lineRule="auto"/>
        <w:jc w:val="both"/>
        <w:rPr>
          <w:rFonts w:cstheme="minorHAnsi"/>
          <w:iCs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8-დან 14 წლამდე ასაკის ბავშვებს </w:t>
      </w:r>
      <w:r w:rsidRPr="001A5ADC">
        <w:rPr>
          <w:rFonts w:cstheme="minorHAnsi"/>
          <w:iCs/>
          <w:noProof/>
          <w:sz w:val="24"/>
          <w:szCs w:val="24"/>
          <w:lang w:val="ka-GE" w:eastAsia="uk-UA"/>
        </w:rPr>
        <w:t>ენიშნებათ 250 მგ (1 ტაბლეტი) 3-ჯერ დღე-ღამეში.</w:t>
      </w:r>
    </w:p>
    <w:p w14:paraId="5D0C26EE" w14:textId="0C3C0781" w:rsidR="00A439B6" w:rsidRPr="001A5ADC" w:rsidRDefault="00E04DCF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მკურნალობის კურსის ხანგრძლივობა შეადგენს 2-6 კვირას.</w:t>
      </w:r>
    </w:p>
    <w:p w14:paraId="5D0C26EF" w14:textId="411AB4AD" w:rsidR="00A439B6" w:rsidRPr="001A5ADC" w:rsidRDefault="00E04DCF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>მენიერის დაავადება, თავბრუსხვევა, რომელიც დაკავშირებულია ვესტიბულური აპარატის სხვადასხვა წარმოშობის  დისფუნქციასთან.</w:t>
      </w:r>
      <w:r w:rsidR="00AC681B"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="00AC681B" w:rsidRPr="001A5ADC">
        <w:rPr>
          <w:rFonts w:cstheme="minorHAnsi"/>
          <w:noProof/>
          <w:sz w:val="24"/>
          <w:szCs w:val="24"/>
          <w:lang w:val="ka-GE" w:eastAsia="uk-UA"/>
        </w:rPr>
        <w:t>ვესტიბულური აპარატის ინფექციური წარმოშობის  დისფუნქციის და მენიერის დაავადების გამწვავების პერიოდში, პრეპარატი ფენიბუტი ინიშნება 750 მგ (3 ტაბლეტი) 3-ჯერ დღე-ღამეში 5-7 დღის განმავლობაში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>,</w:t>
      </w:r>
      <w:r w:rsidR="00AC681B" w:rsidRPr="001A5ADC">
        <w:rPr>
          <w:rFonts w:cstheme="minorHAnsi"/>
          <w:noProof/>
          <w:sz w:val="24"/>
          <w:szCs w:val="24"/>
          <w:lang w:val="ka-GE" w:eastAsia="uk-UA"/>
        </w:rPr>
        <w:t xml:space="preserve"> ვესტიბულური დარღვევების სიმძიმის შემცირებისას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 xml:space="preserve"> -</w:t>
      </w:r>
      <w:r w:rsidR="00AC681B" w:rsidRPr="001A5ADC">
        <w:rPr>
          <w:rFonts w:cstheme="minorHAnsi"/>
          <w:noProof/>
          <w:sz w:val="24"/>
          <w:szCs w:val="24"/>
          <w:lang w:val="ka-GE" w:eastAsia="uk-UA"/>
        </w:rPr>
        <w:t xml:space="preserve"> 250-500 მგ (1-2 ტაბლეტი) 3-ჯერ დღე-ღამეში 5-7 დღის განმავლობაში, შემდეგ კი 250 მგ 1-ჯერ დღე-ღამეში 5 დღის განმავლობაში.</w:t>
      </w:r>
      <w:r w:rsidR="00E10E10"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 xml:space="preserve">დაავადების შედარებით მსუბუქი 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>მიმდინარეობის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 xml:space="preserve"> დროს</w:t>
      </w:r>
      <w:r w:rsidR="00F4543E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>ფენიბუტი ინიშნება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 xml:space="preserve"> 250 მგ 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 xml:space="preserve">(1 ტაბლეტი) 2-ჯერ 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>დღე-ღამეში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 xml:space="preserve"> 5-7 დღის განმავლობაში, შემდეგ - 250 მგ 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="00F22707" w:rsidRPr="001A5ADC">
        <w:rPr>
          <w:rFonts w:cstheme="minorHAnsi"/>
          <w:noProof/>
          <w:sz w:val="24"/>
          <w:szCs w:val="24"/>
          <w:lang w:val="ka-GE" w:eastAsia="uk-UA"/>
        </w:rPr>
        <w:t xml:space="preserve">1-ჯერ დღე-ღამეში </w:t>
      </w:r>
      <w:r w:rsidR="00E10E10" w:rsidRPr="001A5ADC">
        <w:rPr>
          <w:rFonts w:cstheme="minorHAnsi"/>
          <w:noProof/>
          <w:sz w:val="24"/>
          <w:szCs w:val="24"/>
          <w:lang w:val="ka-GE" w:eastAsia="uk-UA"/>
        </w:rPr>
        <w:t>7-10 დღის განმავლობაში.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</w:p>
    <w:p w14:paraId="5D0C26F0" w14:textId="3039AF0A" w:rsidR="00A439B6" w:rsidRPr="001A5ADC" w:rsidRDefault="00F8166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>თავბრუსხვევის აღმოსაფხვრელად</w:t>
      </w:r>
      <w:r w:rsidR="00DE4DEA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ვესტიბულური აპარატის სისხლძარღვოვანი და ტრავმული წარმოშობის დისფუნქციების დროს </w:t>
      </w: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 </w:t>
      </w:r>
      <w:r w:rsidR="00DE4DEA" w:rsidRPr="001A5ADC">
        <w:rPr>
          <w:rFonts w:cstheme="minorHAnsi"/>
          <w:noProof/>
          <w:sz w:val="24"/>
          <w:szCs w:val="24"/>
          <w:lang w:val="ka-GE" w:eastAsia="uk-UA"/>
        </w:rPr>
        <w:t>ფენიბუტი ინიშნება 250 მგ დოზით 3-ჯერ დღე-ღამეში 12 დღის განმავლობაში.</w:t>
      </w:r>
    </w:p>
    <w:p w14:paraId="5D0C26F1" w14:textId="030B7CD0" w:rsidR="00A439B6" w:rsidRPr="001A5ADC" w:rsidRDefault="0065468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>კინეტოზის პროფილაქტიკისთვის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 მიიღება 250-500 მგ დოზით ერთ</w:t>
      </w:r>
      <w:r w:rsidR="00750837" w:rsidRPr="001A5ADC">
        <w:rPr>
          <w:rFonts w:cstheme="minorHAnsi"/>
          <w:noProof/>
          <w:sz w:val="24"/>
          <w:szCs w:val="24"/>
          <w:lang w:val="ka-GE" w:eastAsia="uk-UA"/>
        </w:rPr>
        <w:t>ჯერადად</w:t>
      </w: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, </w:t>
      </w:r>
      <w:r w:rsidR="00C26E88" w:rsidRPr="001A5ADC">
        <w:rPr>
          <w:rFonts w:cstheme="minorHAnsi"/>
          <w:noProof/>
          <w:sz w:val="24"/>
          <w:szCs w:val="24"/>
          <w:lang w:val="ka-GE" w:eastAsia="uk-UA"/>
        </w:rPr>
        <w:t>რწევის</w:t>
      </w: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 მოსალოდნელ დაწყებამდე ერთი საათით ადრე ან </w:t>
      </w:r>
      <w:r w:rsidR="00C26E88" w:rsidRPr="001A5ADC">
        <w:rPr>
          <w:rFonts w:cstheme="minorHAnsi"/>
          <w:noProof/>
          <w:sz w:val="24"/>
          <w:szCs w:val="24"/>
          <w:lang w:val="ka-GE" w:eastAsia="uk-UA"/>
        </w:rPr>
        <w:t xml:space="preserve">რწევის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პირველი სიმპტომების გამოვლენისას.</w:t>
      </w:r>
    </w:p>
    <w:p w14:paraId="5D0C26F2" w14:textId="37BF7FA9" w:rsidR="00A439B6" w:rsidRPr="001A5ADC" w:rsidRDefault="00AF0330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>ალკოჰოლის აბსტინენციური სინდრომის კუპირებისთვის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მკურნალობის პირველ დღეებში ფენიბუტი ინიშნება 250-500 მგ დოზით 3-ჯერ დღე-ღამეში და 750 მგ ღამით, თანდათან სადღეღამისო დოზა მცირდება  ზრდასრული ადამიანის ჩვეულებრივ დოზამდე.</w:t>
      </w:r>
    </w:p>
    <w:p w14:paraId="0FF8F9BF" w14:textId="77777777" w:rsidR="00EA7D87" w:rsidRPr="001A5ADC" w:rsidRDefault="00EA7D87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ღვიძლის უკმარისობის მქონე პაციენტები</w:t>
      </w:r>
    </w:p>
    <w:p w14:paraId="27C4ECB4" w14:textId="72EB4C60" w:rsidR="00EA7D87" w:rsidRPr="001A5ADC" w:rsidRDefault="00EA7D8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ღვიძლის უკმარისობის მქონე პაციენტებში პრეპარატის მაღალმა დოზებმა შეიძლება გამოიწვიოს ჰეპატოტოქსი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კ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ურობა. პაციენტების ამ ჯგუფისთვის ინიშნება უფრო დაბალი დოზები.</w:t>
      </w:r>
    </w:p>
    <w:p w14:paraId="7CF52F9D" w14:textId="77777777" w:rsidR="00002D43" w:rsidRPr="001A5ADC" w:rsidRDefault="00002D43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თირკმლის უკმარისობის მქონე პაციენტები</w:t>
      </w:r>
    </w:p>
    <w:p w14:paraId="5D0C26F6" w14:textId="3D55C505" w:rsidR="00A439B6" w:rsidRPr="001A5ADC" w:rsidRDefault="00002D43" w:rsidP="00BA7AE9">
      <w:pPr>
        <w:spacing w:after="0" w:line="240" w:lineRule="auto"/>
        <w:jc w:val="both"/>
        <w:rPr>
          <w:rFonts w:cstheme="minorHAnsi"/>
          <w:bCs/>
          <w:i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არ არსებობს მონაცემები ფენიბუტის გვერდითი ეფექტების შესახებ თირკმ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ე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ლ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ებ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ის ფუნქციის დარღვევის მქონე პაციენტებში თერაპიული დოზების მიღებისას.</w:t>
      </w:r>
    </w:p>
    <w:p w14:paraId="0A1B924D" w14:textId="77777777" w:rsidR="00002D43" w:rsidRPr="001A5ADC" w:rsidRDefault="00002D43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ამ პრეპარატის გამოყენებისას არ განვითარდა წამალდამოკიდებულება ან აბსტინენციის სინდრომი.</w:t>
      </w:r>
    </w:p>
    <w:p w14:paraId="5D0C26F8" w14:textId="1E743419" w:rsidR="00A439B6" w:rsidRPr="001A5ADC" w:rsidRDefault="000C0E5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სამეცნიერო პუბლიკაციებიდან ცნობილია ფენიბ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უ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ტის მიმართ ტოლერანტობის იზოლირებული შემთხვევები.</w:t>
      </w:r>
    </w:p>
    <w:p w14:paraId="5D0C26F9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6FA" w14:textId="1EBECE85" w:rsidR="00A439B6" w:rsidRPr="001A5ADC" w:rsidRDefault="00002D43" w:rsidP="00BA7AE9">
      <w:pPr>
        <w:spacing w:after="0" w:line="240" w:lineRule="auto"/>
        <w:jc w:val="both"/>
        <w:rPr>
          <w:rFonts w:cstheme="minorHAnsi"/>
          <w:b/>
          <w:bCs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bCs/>
          <w:i/>
          <w:noProof/>
          <w:sz w:val="24"/>
          <w:szCs w:val="24"/>
          <w:lang w:val="ka-GE"/>
        </w:rPr>
        <w:t>ბავშვები.</w:t>
      </w:r>
    </w:p>
    <w:p w14:paraId="5D0C26FB" w14:textId="60A7426F" w:rsidR="00A439B6" w:rsidRPr="001A5ADC" w:rsidRDefault="000C0E51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პრეპარატის გამოყენება შესაძლებელია 8 წლის და უფროსი ასაკის ბავშვეში.</w:t>
      </w:r>
    </w:p>
    <w:p w14:paraId="5D0C26FC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3B450D5B" w14:textId="77777777" w:rsidR="00822FF2" w:rsidRPr="001A5ADC" w:rsidRDefault="00822FF2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118271BD" w14:textId="77777777" w:rsidR="00822FF2" w:rsidRPr="001A5ADC" w:rsidRDefault="00822FF2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7A6D52CA" w14:textId="77777777" w:rsidR="00822FF2" w:rsidRPr="001A5ADC" w:rsidRDefault="00822FF2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5D0C26FD" w14:textId="7A1439F2" w:rsidR="00A439B6" w:rsidRPr="001A5ADC" w:rsidRDefault="000C0E51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დოზის გადაჭარბება</w:t>
      </w:r>
    </w:p>
    <w:p w14:paraId="5D0C26FE" w14:textId="15062AA4" w:rsidR="00A439B6" w:rsidRPr="001A5ADC" w:rsidRDefault="00817D6B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ფენიბუტი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 xml:space="preserve"> -</w:t>
      </w: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 დაბალი ტოქსიკურობის მქონე პრეპარატია: მხოლოდ 7-14 გ სადღეღამისო დოზით ხანგრძლივი გამოყენებისას შეიძლება იყოს ჰეპატოტოქსი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კ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ური. დოზის გადაჭარბების შესახებ მონაცემები არ არსებობს.</w:t>
      </w:r>
    </w:p>
    <w:p w14:paraId="06FA3DCC" w14:textId="77777777" w:rsidR="004979A4" w:rsidRPr="001A5ADC" w:rsidRDefault="004979A4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მითითებული დოზები მნიშვნელოვნად აღემატება რეკომენდებულ დოზას (საშუალო თერაპიული დოზაა 500-2000 მგ).</w:t>
      </w:r>
    </w:p>
    <w:p w14:paraId="5D0C2700" w14:textId="1D58B67E" w:rsidR="00A439B6" w:rsidRPr="001A5ADC" w:rsidRDefault="004979A4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სიმპტომები: 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ძილიანობა, გულისრევა, ღებინება, თავბრუსხვევა.</w:t>
      </w:r>
    </w:p>
    <w:p w14:paraId="57B4F6E7" w14:textId="0B9EB584" w:rsidR="006A26A6" w:rsidRPr="001A5ADC" w:rsidRDefault="006A26A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მაღალი დოზების ხანგრძლივი გამოყენებისას შესაძლებელია არტერიული ჰიპოტენზიის, თირკმ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ე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ლ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ებ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ის მწვავე უკმარისობის, ეოზინოფილიის და ღვიძლის ცხიმოვანი დაავადების განვითარება.</w:t>
      </w:r>
    </w:p>
    <w:p w14:paraId="5D0C2702" w14:textId="5C6DBA32" w:rsidR="00A439B6" w:rsidRPr="001A5ADC" w:rsidRDefault="006A26A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i/>
          <w:noProof/>
          <w:sz w:val="24"/>
          <w:szCs w:val="24"/>
          <w:lang w:val="ka-GE" w:eastAsia="uk-UA"/>
        </w:rPr>
        <w:t>მკურნალობა: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კუჭის ამორეცხვა. სიმპტომური თერაპია.</w:t>
      </w:r>
    </w:p>
    <w:p w14:paraId="5D0C2704" w14:textId="78A0E449" w:rsidR="00A439B6" w:rsidRPr="001A5ADC" w:rsidRDefault="006A26A6" w:rsidP="00BA7AE9">
      <w:pPr>
        <w:spacing w:after="0" w:line="240" w:lineRule="auto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სპეციფიკური ანტიდოტი არ არსებობს.</w:t>
      </w:r>
    </w:p>
    <w:p w14:paraId="1B2D3E70" w14:textId="77777777" w:rsidR="006A26A6" w:rsidRPr="001A5ADC" w:rsidRDefault="006A26A6" w:rsidP="00BA7AE9">
      <w:pPr>
        <w:spacing w:after="0" w:line="240" w:lineRule="auto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6278A631" w14:textId="5ED19728" w:rsidR="00B9076A" w:rsidRPr="001A5ADC" w:rsidRDefault="00B9076A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  <w:r w:rsidRPr="001A5ADC">
        <w:rPr>
          <w:rFonts w:cstheme="minorHAnsi"/>
          <w:b/>
          <w:i/>
          <w:noProof/>
          <w:sz w:val="24"/>
          <w:szCs w:val="24"/>
          <w:lang w:val="ka-GE"/>
        </w:rPr>
        <w:t>გვერდითი რეაქციები</w:t>
      </w:r>
    </w:p>
    <w:p w14:paraId="3C714FFF" w14:textId="77777777" w:rsidR="00B9076A" w:rsidRPr="001A5ADC" w:rsidRDefault="00B9076A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ფენიბუტმა, სხვა მედიკამენტების მსგავსად, შეიძლება გამოიწვიოს გვერდითი მოვლენები, თუმცა ისინი ყველა პაციენტს არ აღენიშნება.</w:t>
      </w:r>
    </w:p>
    <w:p w14:paraId="5D0C2707" w14:textId="1A2CE4C0" w:rsidR="00A439B6" w:rsidRPr="001A5ADC" w:rsidRDefault="00B9076A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გვერდითი მოვლენების კლასიფიკაცია განვითარების სიხშირის მიხედვით: ძალიან ხშირი (≥ 1/10); ხშირი (≥ 1/100-დან &lt; 1/10-მდე); ნაკლებად ხშირი (≥ 1/1000-დან &lt; 1/100-მდე); იშვიათი (≥ 1/10,000-დან &lt; 1/1000-მდე); ძალიან იშვიათი (&lt; 1/10,000); სიხშირე უცნობია (არსებული მონაცემებით ვერ განისაზღვრება).</w:t>
      </w:r>
    </w:p>
    <w:p w14:paraId="5D0C2708" w14:textId="6DD7B010" w:rsidR="00A439B6" w:rsidRPr="001A5ADC" w:rsidRDefault="00590714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ნერვული სისტემის მხრივ:</w:t>
      </w: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სიხშირე უცნობია - ძილიანობა (მკურნალობის დასაწყისში), თავის ტკივილი და თავბრუსხვევა (დღე-ღამეში 2 გ-ზე მეტი დოზით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 xml:space="preserve"> მიღებისას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, დოზის შემცირებით გვერდითი მოვლენების სიმძიმე მცირდება).</w:t>
      </w:r>
    </w:p>
    <w:p w14:paraId="5D0C2709" w14:textId="0AEE15AE" w:rsidR="00A439B6" w:rsidRPr="001A5ADC" w:rsidRDefault="000F3F7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კუჭ-ნაწლავის ტრაქტის მხრივ:</w:t>
      </w: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სიხშირე უცნობია - გულისრევა (მკურნალობის დასაწყისში), ღებინება, დიარეა, ტკივილი ეპიგასტრ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იუმის არეში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.</w:t>
      </w:r>
    </w:p>
    <w:p w14:paraId="5D0C270A" w14:textId="6AC27339" w:rsidR="00A439B6" w:rsidRPr="001A5ADC" w:rsidRDefault="00776224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ღვიძლისა და სანაღვლე გზების მხრივ</w:t>
      </w:r>
      <w:r w:rsidR="00A439B6"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: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სიხშირე უცნობია - ჰეპატოტოქსი</w:t>
      </w:r>
      <w:r w:rsidR="000F08CB" w:rsidRPr="001A5ADC">
        <w:rPr>
          <w:rFonts w:cstheme="minorHAnsi"/>
          <w:noProof/>
          <w:sz w:val="24"/>
          <w:szCs w:val="24"/>
          <w:lang w:val="ka-GE" w:eastAsia="uk-UA"/>
        </w:rPr>
        <w:t>კ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ურობა (მაღალი დოზების ხანგრძლივი გამოყენებისას).</w:t>
      </w:r>
    </w:p>
    <w:p w14:paraId="5D0C270B" w14:textId="77200858" w:rsidR="00A439B6" w:rsidRPr="001A5ADC" w:rsidRDefault="00776224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იმუნური სისტემის მხრივ:</w:t>
      </w:r>
      <w:r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="009F7A38"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="009F7A38" w:rsidRPr="001A5ADC">
        <w:rPr>
          <w:rFonts w:cstheme="minorHAnsi"/>
          <w:noProof/>
          <w:sz w:val="24"/>
          <w:szCs w:val="24"/>
          <w:lang w:val="ka-GE" w:eastAsia="uk-UA"/>
        </w:rPr>
        <w:t>სიხშირე უცნობია - მომატებული მგრძნობელობის რეაქციები, მათ შორის ჭინჭრის ციება, ერითემა, გამონაყარი, ანგიონევროზული შეშუპება, სახის შეშუპება, ენის შეშუპება.</w:t>
      </w:r>
    </w:p>
    <w:p w14:paraId="5D0C270C" w14:textId="2F0EA71E" w:rsidR="00A439B6" w:rsidRPr="001A5ADC" w:rsidRDefault="009F7A38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კანისა და კანქვეშა ქსოვილების მხრივ: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="002D647E" w:rsidRPr="001A5ADC">
        <w:rPr>
          <w:rFonts w:cstheme="minorHAnsi"/>
          <w:noProof/>
          <w:sz w:val="24"/>
          <w:szCs w:val="24"/>
          <w:lang w:val="ka-GE" w:eastAsia="uk-UA"/>
        </w:rPr>
        <w:t>იშვიათად - ალერგიული რეაქციები (გამონაყარი, ქავილი).</w:t>
      </w:r>
    </w:p>
    <w:p w14:paraId="5D0C270D" w14:textId="0BFA2444" w:rsidR="00A439B6" w:rsidRPr="001A5ADC" w:rsidRDefault="002D647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ფსიქიკური დარღვევები</w:t>
      </w:r>
      <w:r w:rsidR="00A439B6" w:rsidRPr="001A5ADC">
        <w:rPr>
          <w:rFonts w:cstheme="minorHAnsi"/>
          <w:b/>
          <w:i/>
          <w:noProof/>
          <w:sz w:val="24"/>
          <w:szCs w:val="24"/>
          <w:lang w:val="ka-GE" w:eastAsia="uk-UA"/>
        </w:rPr>
        <w:t>:</w:t>
      </w:r>
      <w:r w:rsidR="00A439B6" w:rsidRPr="001A5ADC">
        <w:rPr>
          <w:rFonts w:cstheme="minorHAnsi"/>
          <w:i/>
          <w:noProof/>
          <w:sz w:val="24"/>
          <w:szCs w:val="24"/>
          <w:lang w:val="ka-GE" w:eastAsia="uk-UA"/>
        </w:rPr>
        <w:t xml:space="preserve"> </w:t>
      </w:r>
      <w:r w:rsidR="009D58CF" w:rsidRPr="001A5ADC">
        <w:rPr>
          <w:rFonts w:cstheme="minorHAnsi"/>
          <w:noProof/>
          <w:sz w:val="24"/>
          <w:szCs w:val="24"/>
          <w:lang w:val="ka-GE" w:eastAsia="uk-UA"/>
        </w:rPr>
        <w:t>სიხშირე უცნობია - ემოციური ლაბილობა, ძილის დარღვევები (ეს გვერდითი მოვლენები შეიძლება აღინიშნოს ბავშვებში, თუ გამოყენების ინსტრუქცია არ არის დაცული).</w:t>
      </w:r>
    </w:p>
    <w:p w14:paraId="5D0C270E" w14:textId="0D3EADFF" w:rsidR="00A439B6" w:rsidRPr="001A5ADC" w:rsidRDefault="00FE2A6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თუ მკურნალობის დროს გამოვლინდა რაიმე გვერდითი მოვლენა, რომელიც ამ ინსტრუქციებში არ არის ჩამოთვლილი, ან თუ ჩამოთვლილი გვერდითი მოვლენებიდან რომელიმე ძალიან მძიმეა, მიმართეთ ექიმს.</w:t>
      </w:r>
    </w:p>
    <w:p w14:paraId="7C7E3C26" w14:textId="77777777" w:rsidR="00AC21FE" w:rsidRPr="001A5ADC" w:rsidRDefault="00AC21F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 w:eastAsia="uk-UA"/>
        </w:rPr>
      </w:pPr>
    </w:p>
    <w:p w14:paraId="5D0C270F" w14:textId="0681AB59" w:rsidR="00A439B6" w:rsidRPr="001A5ADC" w:rsidRDefault="009B1830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 w:eastAsia="uk-UA"/>
        </w:rPr>
        <w:t>პრეპარატის რეგისტრაციის შემდეგ გვერდითი მოვლენების შესახებ ინფორმაციის მიწოდებას დიდი მნიშვნელობა აქვს.</w:t>
      </w:r>
      <w:r w:rsidR="00A439B6" w:rsidRPr="001A5ADC">
        <w:rPr>
          <w:rFonts w:cstheme="minorHAnsi"/>
          <w:noProof/>
          <w:sz w:val="24"/>
          <w:szCs w:val="24"/>
          <w:lang w:val="ka-GE" w:eastAsia="uk-UA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 w:eastAsia="uk-UA"/>
        </w:rPr>
        <w:t>ეს  იძლევა ამ პრეპარატის გამოყენებისას სარგებ</w:t>
      </w:r>
      <w:r w:rsidR="00AC21FE" w:rsidRPr="001A5ADC">
        <w:rPr>
          <w:rFonts w:cstheme="minorHAnsi"/>
          <w:noProof/>
          <w:sz w:val="24"/>
          <w:szCs w:val="24"/>
          <w:lang w:val="ka-GE" w:eastAsia="uk-UA"/>
        </w:rPr>
        <w:t>ელი</w:t>
      </w:r>
      <w:r w:rsidRPr="001A5ADC">
        <w:rPr>
          <w:rFonts w:cstheme="minorHAnsi"/>
          <w:noProof/>
          <w:sz w:val="24"/>
          <w:szCs w:val="24"/>
          <w:lang w:val="ka-GE" w:eastAsia="uk-UA"/>
        </w:rPr>
        <w:t xml:space="preserve">/რისკის თანაფარდობის მონიტორინგის საშუალებას. </w:t>
      </w:r>
      <w:r w:rsidR="00A47B7D" w:rsidRPr="001A5ADC">
        <w:rPr>
          <w:rFonts w:cstheme="minorHAnsi"/>
          <w:noProof/>
          <w:sz w:val="24"/>
          <w:szCs w:val="24"/>
          <w:lang w:val="ka-GE" w:eastAsia="uk-UA"/>
        </w:rPr>
        <w:t>სამედიცინო და ფარმაცევტული მუშაკებს, ასევე პაციენტებს ან მათ კანონიერ წარმომადგენლებს, საეჭვო გვერდითი რეაქციების და სამკურნალო საშუალების არაეფექტურობის ყველა შემთხვევის შესახებ უნდა აცნობონ ფარმაკოზედამხედველობის ავტომატიზირებული საინფორმაციო სისტემის მეშვეობით შემდეგ ბმულზე: https://aisf.dec.gov.ua.</w:t>
      </w:r>
    </w:p>
    <w:p w14:paraId="5D0C2710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b/>
          <w:i/>
          <w:noProof/>
          <w:sz w:val="24"/>
          <w:szCs w:val="24"/>
          <w:lang w:val="ka-GE"/>
        </w:rPr>
      </w:pPr>
    </w:p>
    <w:p w14:paraId="5D0C2712" w14:textId="37972B22" w:rsidR="00A439B6" w:rsidRPr="001A5ADC" w:rsidRDefault="009717F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ვარგისიანობის ვადა</w:t>
      </w:r>
      <w:r w:rsidR="00AC21FE" w:rsidRPr="001A5ADC">
        <w:rPr>
          <w:rFonts w:cstheme="minorHAnsi"/>
          <w:b/>
          <w:noProof/>
          <w:sz w:val="24"/>
          <w:szCs w:val="24"/>
          <w:lang w:val="ka-GE"/>
        </w:rPr>
        <w:t>.</w:t>
      </w:r>
      <w:r w:rsidR="00335869" w:rsidRPr="001A5ADC">
        <w:rPr>
          <w:rFonts w:cstheme="minorHAnsi"/>
          <w:b/>
          <w:noProof/>
          <w:sz w:val="24"/>
          <w:szCs w:val="24"/>
          <w:lang w:val="ka-GE"/>
        </w:rPr>
        <w:t xml:space="preserve">   </w:t>
      </w:r>
      <w:r w:rsidR="00A439B6" w:rsidRPr="001A5ADC">
        <w:rPr>
          <w:rFonts w:cstheme="minorHAnsi"/>
          <w:noProof/>
          <w:sz w:val="24"/>
          <w:szCs w:val="24"/>
          <w:lang w:val="ka-GE"/>
        </w:rPr>
        <w:t xml:space="preserve"> 3 </w:t>
      </w:r>
      <w:r w:rsidRPr="001A5ADC">
        <w:rPr>
          <w:rFonts w:cstheme="minorHAnsi"/>
          <w:noProof/>
          <w:sz w:val="24"/>
          <w:szCs w:val="24"/>
          <w:lang w:val="ka-GE"/>
        </w:rPr>
        <w:t>წელი.</w:t>
      </w:r>
    </w:p>
    <w:p w14:paraId="17A605B2" w14:textId="77777777" w:rsidR="00335869" w:rsidRPr="001A5ADC" w:rsidRDefault="00335869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</w:p>
    <w:p w14:paraId="5518BE04" w14:textId="5A7362E6" w:rsidR="009717F7" w:rsidRPr="001A5ADC" w:rsidRDefault="009717F7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lastRenderedPageBreak/>
        <w:t>შენახვის პირობები</w:t>
      </w:r>
    </w:p>
    <w:p w14:paraId="7D602A2F" w14:textId="36DA4C6E" w:rsidR="009717F7" w:rsidRPr="001A5ADC" w:rsidRDefault="00335869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ინახება</w:t>
      </w:r>
      <w:r w:rsidR="009717F7" w:rsidRPr="001A5ADC">
        <w:rPr>
          <w:rFonts w:cstheme="minorHAnsi"/>
          <w:noProof/>
          <w:sz w:val="24"/>
          <w:szCs w:val="24"/>
          <w:lang w:val="ka-GE"/>
        </w:rPr>
        <w:t xml:space="preserve"> არაუმეტეს 25°C ტემპერატურაზე.</w:t>
      </w:r>
    </w:p>
    <w:p w14:paraId="0C0FD820" w14:textId="3D5E7ADD" w:rsidR="00822FF2" w:rsidRPr="001A5ADC" w:rsidRDefault="00822FF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 xml:space="preserve">ინახება </w:t>
      </w:r>
      <w:r w:rsidR="009717F7" w:rsidRPr="001A5ADC">
        <w:rPr>
          <w:rFonts w:cstheme="minorHAnsi"/>
          <w:noProof/>
          <w:sz w:val="24"/>
          <w:szCs w:val="24"/>
          <w:lang w:val="ka-GE"/>
        </w:rPr>
        <w:t>ბავშვებისთვის მიუწვდომელ ადგილას.</w:t>
      </w:r>
    </w:p>
    <w:p w14:paraId="40DD75EE" w14:textId="77777777" w:rsidR="00AC21FE" w:rsidRPr="001A5ADC" w:rsidRDefault="00AC21FE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717" w14:textId="16BA81BC" w:rsidR="00A439B6" w:rsidRPr="001A5ADC" w:rsidRDefault="009717F7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შეფუთვა</w:t>
      </w:r>
      <w:r w:rsidR="009B4320" w:rsidRPr="001A5ADC">
        <w:rPr>
          <w:rFonts w:cstheme="minorHAnsi"/>
          <w:b/>
          <w:noProof/>
          <w:sz w:val="24"/>
          <w:szCs w:val="24"/>
          <w:lang w:val="ka-GE"/>
        </w:rPr>
        <w:t>:</w:t>
      </w:r>
      <w:r w:rsidR="00A84DED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="004D7F26" w:rsidRPr="001A5ADC">
        <w:rPr>
          <w:rFonts w:cstheme="minorHAnsi"/>
          <w:noProof/>
          <w:sz w:val="24"/>
          <w:szCs w:val="24"/>
          <w:lang w:val="ka-GE"/>
        </w:rPr>
        <w:t>10 ტაბლეტი ბლისტერში; 2 ბლისტერი მუყაოს კოლოფში.</w:t>
      </w:r>
    </w:p>
    <w:p w14:paraId="5D0C2718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</w:p>
    <w:p w14:paraId="5D0C2719" w14:textId="55C53FBD" w:rsidR="00A439B6" w:rsidRPr="001A5ADC" w:rsidRDefault="004D7F26" w:rsidP="00AC21FE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გაცემის კატეგორია</w:t>
      </w:r>
      <w:r w:rsidR="009B4320" w:rsidRPr="001A5ADC">
        <w:rPr>
          <w:rFonts w:cstheme="minorHAnsi"/>
          <w:b/>
          <w:noProof/>
          <w:sz w:val="24"/>
          <w:szCs w:val="24"/>
          <w:lang w:val="ka-GE"/>
        </w:rPr>
        <w:t>:</w:t>
      </w:r>
      <w:r w:rsidR="00A439B6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="00A84DED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="00AC21FE" w:rsidRPr="001A5ADC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№3 რეცეპტით. </w:t>
      </w:r>
    </w:p>
    <w:p w14:paraId="5D0C271A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5D0C271B" w14:textId="1486A68C" w:rsidR="00A439B6" w:rsidRPr="001A5ADC" w:rsidRDefault="00C62D2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 xml:space="preserve">მწარმოებელი/განმცხადებელი. </w:t>
      </w:r>
      <w:r w:rsidR="00822FF2" w:rsidRPr="001A5ADC">
        <w:rPr>
          <w:rFonts w:cstheme="minorHAnsi"/>
          <w:b/>
          <w:noProof/>
          <w:sz w:val="24"/>
          <w:szCs w:val="24"/>
          <w:lang w:val="ka-GE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/>
        </w:rPr>
        <w:t>შპს "ტერნოფარმი</w:t>
      </w:r>
      <w:r w:rsidR="00822FF2" w:rsidRPr="001A5ADC">
        <w:rPr>
          <w:rFonts w:cstheme="minorHAnsi"/>
          <w:noProof/>
          <w:sz w:val="24"/>
          <w:szCs w:val="24"/>
          <w:lang w:val="ka-GE"/>
        </w:rPr>
        <w:t>" (</w:t>
      </w:r>
      <w:r w:rsidR="00822FF2" w:rsidRPr="001A5ADC">
        <w:rPr>
          <w:rFonts w:ascii="Times New Roman" w:hAnsi="Times New Roman"/>
          <w:noProof/>
          <w:sz w:val="24"/>
          <w:szCs w:val="24"/>
          <w:lang w:val="ka-GE"/>
        </w:rPr>
        <w:t>ООО «Тернофарм»</w:t>
      </w:r>
      <w:r w:rsidR="00822FF2" w:rsidRPr="001A5ADC">
        <w:rPr>
          <w:rFonts w:cstheme="minorHAnsi"/>
          <w:noProof/>
          <w:sz w:val="24"/>
          <w:szCs w:val="24"/>
          <w:lang w:val="ka-GE"/>
        </w:rPr>
        <w:t>)</w:t>
      </w:r>
    </w:p>
    <w:p w14:paraId="5D0C271C" w14:textId="77777777" w:rsidR="00A439B6" w:rsidRPr="001A5ADC" w:rsidRDefault="00A439B6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</w:p>
    <w:p w14:paraId="391CCDFE" w14:textId="77777777" w:rsidR="00C62D22" w:rsidRPr="001A5ADC" w:rsidRDefault="00C62D22" w:rsidP="00BA7AE9">
      <w:pPr>
        <w:spacing w:after="0" w:line="240" w:lineRule="auto"/>
        <w:jc w:val="both"/>
        <w:rPr>
          <w:rFonts w:cstheme="minorHAnsi"/>
          <w:b/>
          <w:noProof/>
          <w:sz w:val="24"/>
          <w:szCs w:val="24"/>
          <w:lang w:val="ka-GE"/>
        </w:rPr>
      </w:pPr>
      <w:r w:rsidRPr="001A5ADC">
        <w:rPr>
          <w:rFonts w:cstheme="minorHAnsi"/>
          <w:b/>
          <w:noProof/>
          <w:sz w:val="24"/>
          <w:szCs w:val="24"/>
          <w:lang w:val="ka-GE"/>
        </w:rPr>
        <w:t>მწარმოებლის ადგილმდებარეობა და მისი საქმიანობის/განმცხადებლის ადგილმდებარეობის მისამართი.</w:t>
      </w:r>
    </w:p>
    <w:p w14:paraId="7C05D4EF" w14:textId="0B2B1ABE" w:rsidR="00EE6AA7" w:rsidRPr="001A5ADC" w:rsidRDefault="00EE6AA7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 xml:space="preserve">უკრაინა, </w:t>
      </w:r>
      <w:r w:rsidR="00822FF2" w:rsidRPr="001A5ADC">
        <w:rPr>
          <w:rFonts w:cstheme="minorHAnsi"/>
          <w:noProof/>
          <w:sz w:val="24"/>
          <w:szCs w:val="24"/>
          <w:lang w:val="ka-GE"/>
        </w:rPr>
        <w:t>ქ.</w:t>
      </w:r>
      <w:r w:rsidR="00AC21FE"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Pr="001A5ADC">
        <w:rPr>
          <w:rFonts w:cstheme="minorHAnsi"/>
          <w:noProof/>
          <w:sz w:val="24"/>
          <w:szCs w:val="24"/>
          <w:lang w:val="ka-GE"/>
        </w:rPr>
        <w:t>ტერნოპოლი, ფაბრიჩნაიას ქ. 4.</w:t>
      </w:r>
    </w:p>
    <w:p w14:paraId="5D0C271F" w14:textId="1A34F0C7" w:rsidR="00A439B6" w:rsidRPr="001A5ADC" w:rsidRDefault="00C62D22" w:rsidP="00BA7AE9">
      <w:pPr>
        <w:spacing w:after="0" w:line="240" w:lineRule="auto"/>
        <w:jc w:val="both"/>
        <w:rPr>
          <w:rFonts w:cstheme="minorHAnsi"/>
          <w:noProof/>
          <w:sz w:val="24"/>
          <w:szCs w:val="24"/>
          <w:lang w:val="ka-GE"/>
        </w:rPr>
      </w:pPr>
      <w:r w:rsidRPr="001A5ADC">
        <w:rPr>
          <w:rFonts w:cstheme="minorHAnsi"/>
          <w:noProof/>
          <w:sz w:val="24"/>
          <w:szCs w:val="24"/>
          <w:lang w:val="ka-GE"/>
        </w:rPr>
        <w:t>ტელ.ფაქსი:</w:t>
      </w:r>
      <w:r w:rsidR="00A439B6" w:rsidRPr="001A5ADC">
        <w:rPr>
          <w:rFonts w:cstheme="minorHAnsi"/>
          <w:noProof/>
          <w:sz w:val="24"/>
          <w:szCs w:val="24"/>
          <w:lang w:val="ka-GE"/>
        </w:rPr>
        <w:t xml:space="preserve"> </w:t>
      </w:r>
      <w:r w:rsidR="004B2CC3" w:rsidRPr="001A5ADC">
        <w:rPr>
          <w:rFonts w:cstheme="minorHAnsi"/>
          <w:noProof/>
          <w:sz w:val="24"/>
          <w:szCs w:val="24"/>
          <w:lang w:val="ka-GE"/>
        </w:rPr>
        <w:t xml:space="preserve">+38 </w:t>
      </w:r>
      <w:r w:rsidR="00A439B6" w:rsidRPr="001A5ADC">
        <w:rPr>
          <w:rFonts w:cstheme="minorHAnsi"/>
          <w:noProof/>
          <w:sz w:val="24"/>
          <w:szCs w:val="24"/>
          <w:lang w:val="ka-GE"/>
        </w:rPr>
        <w:t>(0352) 521-444,</w:t>
      </w:r>
      <w:hyperlink r:id="rId6" w:history="1">
        <w:r w:rsidR="00A439B6" w:rsidRPr="001A5ADC">
          <w:rPr>
            <w:rFonts w:cstheme="minorHAnsi"/>
            <w:noProof/>
            <w:sz w:val="24"/>
            <w:szCs w:val="24"/>
            <w:lang w:val="ka-GE"/>
          </w:rPr>
          <w:t xml:space="preserve"> www.ternopharm.com.ua</w:t>
        </w:r>
      </w:hyperlink>
      <w:r w:rsidR="00A439B6" w:rsidRPr="001A5ADC">
        <w:rPr>
          <w:rFonts w:cstheme="minorHAnsi"/>
          <w:noProof/>
          <w:sz w:val="24"/>
          <w:szCs w:val="24"/>
          <w:lang w:val="ka-GE"/>
        </w:rPr>
        <w:t>.</w:t>
      </w:r>
    </w:p>
    <w:p w14:paraId="5D0C2720" w14:textId="77777777" w:rsidR="00A439B6" w:rsidRPr="001A5ADC" w:rsidRDefault="00A439B6" w:rsidP="00BA7AE9">
      <w:pPr>
        <w:shd w:val="clear" w:color="auto" w:fill="FFFFFF"/>
        <w:spacing w:after="0" w:line="240" w:lineRule="auto"/>
        <w:rPr>
          <w:rFonts w:cstheme="minorHAnsi"/>
          <w:noProof/>
          <w:sz w:val="24"/>
          <w:szCs w:val="24"/>
          <w:lang w:val="ka-GE"/>
        </w:rPr>
      </w:pPr>
    </w:p>
    <w:p w14:paraId="5D0C2721" w14:textId="77777777" w:rsidR="00F30220" w:rsidRPr="001A5ADC" w:rsidRDefault="00F30220" w:rsidP="00BA7AE9">
      <w:pPr>
        <w:spacing w:after="0" w:line="240" w:lineRule="auto"/>
        <w:rPr>
          <w:rFonts w:cstheme="minorHAnsi"/>
          <w:noProof/>
          <w:sz w:val="24"/>
          <w:szCs w:val="24"/>
          <w:lang w:val="ka-GE"/>
        </w:rPr>
      </w:pPr>
    </w:p>
    <w:sectPr w:rsidR="00F30220" w:rsidRPr="001A5ADC" w:rsidSect="00335869">
      <w:footerReference w:type="default" r:id="rId7"/>
      <w:pgSz w:w="11906" w:h="16838"/>
      <w:pgMar w:top="709" w:right="850" w:bottom="630" w:left="1134" w:header="432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1E1C6" w14:textId="77777777" w:rsidR="000E1AC5" w:rsidRDefault="000E1AC5" w:rsidP="00864191">
      <w:pPr>
        <w:spacing w:after="0" w:line="240" w:lineRule="auto"/>
      </w:pPr>
      <w:r>
        <w:separator/>
      </w:r>
    </w:p>
  </w:endnote>
  <w:endnote w:type="continuationSeparator" w:id="0">
    <w:p w14:paraId="0A58160B" w14:textId="77777777" w:rsidR="000E1AC5" w:rsidRDefault="000E1AC5" w:rsidP="0086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5638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BDB76E" w14:textId="35D81200" w:rsidR="00864191" w:rsidRDefault="0086419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2FF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D492398" w14:textId="77777777" w:rsidR="00864191" w:rsidRDefault="008641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66CB" w14:textId="77777777" w:rsidR="000E1AC5" w:rsidRDefault="000E1AC5" w:rsidP="00864191">
      <w:pPr>
        <w:spacing w:after="0" w:line="240" w:lineRule="auto"/>
      </w:pPr>
      <w:r>
        <w:separator/>
      </w:r>
    </w:p>
  </w:footnote>
  <w:footnote w:type="continuationSeparator" w:id="0">
    <w:p w14:paraId="0D0ABAAB" w14:textId="77777777" w:rsidR="000E1AC5" w:rsidRDefault="000E1AC5" w:rsidP="008641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A58"/>
    <w:rsid w:val="00002D43"/>
    <w:rsid w:val="0002598A"/>
    <w:rsid w:val="000C0E51"/>
    <w:rsid w:val="000E1AC5"/>
    <w:rsid w:val="000F08CB"/>
    <w:rsid w:val="000F3F77"/>
    <w:rsid w:val="00106051"/>
    <w:rsid w:val="001566EE"/>
    <w:rsid w:val="00164C7C"/>
    <w:rsid w:val="001A5ADC"/>
    <w:rsid w:val="001D7EEA"/>
    <w:rsid w:val="002209D8"/>
    <w:rsid w:val="0022406A"/>
    <w:rsid w:val="0025616A"/>
    <w:rsid w:val="002573C8"/>
    <w:rsid w:val="0026025E"/>
    <w:rsid w:val="002752AD"/>
    <w:rsid w:val="002945CF"/>
    <w:rsid w:val="002B67BD"/>
    <w:rsid w:val="002C5F02"/>
    <w:rsid w:val="002D647E"/>
    <w:rsid w:val="002E4607"/>
    <w:rsid w:val="002F45DB"/>
    <w:rsid w:val="00335869"/>
    <w:rsid w:val="00372946"/>
    <w:rsid w:val="0039244B"/>
    <w:rsid w:val="003A3AF0"/>
    <w:rsid w:val="003C1EF6"/>
    <w:rsid w:val="003F17FA"/>
    <w:rsid w:val="004707D7"/>
    <w:rsid w:val="0047609F"/>
    <w:rsid w:val="004979A4"/>
    <w:rsid w:val="004B2CC3"/>
    <w:rsid w:val="004C63FE"/>
    <w:rsid w:val="004D7F26"/>
    <w:rsid w:val="004F0CBC"/>
    <w:rsid w:val="005311E3"/>
    <w:rsid w:val="00561F32"/>
    <w:rsid w:val="00590714"/>
    <w:rsid w:val="005A6881"/>
    <w:rsid w:val="00623E3B"/>
    <w:rsid w:val="006533C1"/>
    <w:rsid w:val="0065468E"/>
    <w:rsid w:val="006A26A6"/>
    <w:rsid w:val="006D05BD"/>
    <w:rsid w:val="00750837"/>
    <w:rsid w:val="007607C4"/>
    <w:rsid w:val="007716E8"/>
    <w:rsid w:val="00776224"/>
    <w:rsid w:val="008033ED"/>
    <w:rsid w:val="00817D6B"/>
    <w:rsid w:val="00822FF2"/>
    <w:rsid w:val="00856B47"/>
    <w:rsid w:val="00864191"/>
    <w:rsid w:val="008F2070"/>
    <w:rsid w:val="009717F7"/>
    <w:rsid w:val="00991482"/>
    <w:rsid w:val="00995975"/>
    <w:rsid w:val="009B1830"/>
    <w:rsid w:val="009B4320"/>
    <w:rsid w:val="009C4A6A"/>
    <w:rsid w:val="009D58CF"/>
    <w:rsid w:val="009F7A38"/>
    <w:rsid w:val="00A439B6"/>
    <w:rsid w:val="00A47B7D"/>
    <w:rsid w:val="00A75374"/>
    <w:rsid w:val="00A84DED"/>
    <w:rsid w:val="00A90C72"/>
    <w:rsid w:val="00AC21FE"/>
    <w:rsid w:val="00AC681B"/>
    <w:rsid w:val="00AE3186"/>
    <w:rsid w:val="00AE4FF8"/>
    <w:rsid w:val="00AF0330"/>
    <w:rsid w:val="00B647EB"/>
    <w:rsid w:val="00B9076A"/>
    <w:rsid w:val="00BA7AE9"/>
    <w:rsid w:val="00BE1CCB"/>
    <w:rsid w:val="00BE519B"/>
    <w:rsid w:val="00BF3C3F"/>
    <w:rsid w:val="00C16345"/>
    <w:rsid w:val="00C17AA2"/>
    <w:rsid w:val="00C26E88"/>
    <w:rsid w:val="00C50A2E"/>
    <w:rsid w:val="00C62D22"/>
    <w:rsid w:val="00D33E3C"/>
    <w:rsid w:val="00D74B51"/>
    <w:rsid w:val="00D84C70"/>
    <w:rsid w:val="00DC7862"/>
    <w:rsid w:val="00DE4DEA"/>
    <w:rsid w:val="00E04DCF"/>
    <w:rsid w:val="00E10E10"/>
    <w:rsid w:val="00E353EA"/>
    <w:rsid w:val="00E50A8B"/>
    <w:rsid w:val="00E64D00"/>
    <w:rsid w:val="00E65AE1"/>
    <w:rsid w:val="00E95F17"/>
    <w:rsid w:val="00EA7D87"/>
    <w:rsid w:val="00EC0E3E"/>
    <w:rsid w:val="00EE6AA7"/>
    <w:rsid w:val="00EF023F"/>
    <w:rsid w:val="00EF5A58"/>
    <w:rsid w:val="00F22707"/>
    <w:rsid w:val="00F30220"/>
    <w:rsid w:val="00F4543E"/>
    <w:rsid w:val="00F7585B"/>
    <w:rsid w:val="00F775CE"/>
    <w:rsid w:val="00F81667"/>
    <w:rsid w:val="00F93CF1"/>
    <w:rsid w:val="00FE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0C26AD"/>
  <w15:chartTrackingRefBased/>
  <w15:docId w15:val="{25F8DA83-33D1-48DB-838E-049A500C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439B6"/>
    <w:rPr>
      <w:color w:val="0000CC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3C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64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191"/>
  </w:style>
  <w:style w:type="paragraph" w:styleId="Footer">
    <w:name w:val="footer"/>
    <w:basedOn w:val="Normal"/>
    <w:link w:val="FooterChar"/>
    <w:uiPriority w:val="99"/>
    <w:unhideWhenUsed/>
    <w:rsid w:val="008641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ernopharm.com.u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1663</Words>
  <Characters>9481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Світлана Лучко</dc:creator>
  <cp:keywords/>
  <dc:description/>
  <cp:lastModifiedBy>Nino Trokashvili</cp:lastModifiedBy>
  <cp:revision>103</cp:revision>
  <cp:lastPrinted>2026-03-26T13:22:00Z</cp:lastPrinted>
  <dcterms:created xsi:type="dcterms:W3CDTF">2026-02-26T08:39:00Z</dcterms:created>
  <dcterms:modified xsi:type="dcterms:W3CDTF">2026-06-05T15:36:00Z</dcterms:modified>
</cp:coreProperties>
</file>