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1DADC" w14:textId="58AF0043" w:rsidR="006020A1" w:rsidRPr="001A6150" w:rsidRDefault="006020A1" w:rsidP="001A6150">
      <w:pPr>
        <w:widowControl/>
        <w:suppressAutoHyphens w:val="0"/>
        <w:autoSpaceDE/>
        <w:jc w:val="center"/>
        <w:rPr>
          <w:rFonts w:ascii="Sylfaen" w:hAnsi="Sylfaen"/>
          <w:b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ka-GE" w:eastAsia="uk-UA"/>
        </w:rPr>
        <w:t>სამკურნალო საშუალებ</w:t>
      </w:r>
      <w:r w:rsidR="009D3CF3" w:rsidRPr="001A6150">
        <w:rPr>
          <w:rFonts w:ascii="Sylfaen" w:hAnsi="Sylfaen"/>
          <w:b/>
          <w:bCs/>
          <w:sz w:val="24"/>
          <w:szCs w:val="24"/>
          <w:lang w:val="ru-RU" w:eastAsia="uk-UA"/>
        </w:rPr>
        <w:t>ის სამედიცინო</w:t>
      </w:r>
    </w:p>
    <w:p w14:paraId="15D66025" w14:textId="4CA9FDA7" w:rsidR="009D3CF3" w:rsidRPr="001A6150" w:rsidRDefault="006020A1" w:rsidP="001A6150">
      <w:pPr>
        <w:widowControl/>
        <w:suppressAutoHyphens w:val="0"/>
        <w:autoSpaceDE/>
        <w:jc w:val="center"/>
        <w:rPr>
          <w:rFonts w:ascii="Sylfaen" w:hAnsi="Sylfaen"/>
          <w:b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eastAsia="uk-UA"/>
        </w:rPr>
        <w:t>ინსტრუქცი</w:t>
      </w:r>
      <w:r w:rsidRPr="001A6150">
        <w:rPr>
          <w:rFonts w:ascii="Sylfaen" w:hAnsi="Sylfaen"/>
          <w:b/>
          <w:bCs/>
          <w:sz w:val="24"/>
          <w:szCs w:val="24"/>
          <w:lang w:val="ka-GE" w:eastAsia="uk-UA"/>
        </w:rPr>
        <w:t>ა</w:t>
      </w:r>
    </w:p>
    <w:p w14:paraId="5C332968" w14:textId="3074DE6A" w:rsidR="009D3CF3" w:rsidRPr="001A6150" w:rsidRDefault="009D3CF3" w:rsidP="001A6150">
      <w:pPr>
        <w:widowControl/>
        <w:suppressAutoHyphens w:val="0"/>
        <w:autoSpaceDE/>
        <w:jc w:val="center"/>
        <w:rPr>
          <w:rFonts w:ascii="Sylfaen" w:hAnsi="Sylfaen"/>
          <w:b/>
          <w:bCs/>
          <w:sz w:val="24"/>
          <w:szCs w:val="24"/>
          <w:lang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>რენიალი</w:t>
      </w:r>
    </w:p>
    <w:p w14:paraId="6EA23B13" w14:textId="2FC6BE54" w:rsidR="009D3CF3" w:rsidRPr="001A6150" w:rsidRDefault="006020A1" w:rsidP="001A6150">
      <w:pPr>
        <w:widowControl/>
        <w:suppressAutoHyphens w:val="0"/>
        <w:autoSpaceDE/>
        <w:jc w:val="center"/>
        <w:rPr>
          <w:rFonts w:ascii="Sylfaen" w:hAnsi="Sylfaen"/>
          <w:b/>
          <w:bCs/>
          <w:sz w:val="24"/>
          <w:szCs w:val="24"/>
          <w:lang w:eastAsia="uk-UA"/>
        </w:rPr>
      </w:pPr>
      <w:r w:rsidRPr="001A6150">
        <w:rPr>
          <w:rFonts w:ascii="Sylfaen" w:hAnsi="Sylfaen"/>
          <w:b/>
          <w:bCs/>
          <w:sz w:val="24"/>
          <w:szCs w:val="24"/>
          <w:lang w:eastAsia="uk-UA"/>
        </w:rPr>
        <w:t>(RENIAL)</w:t>
      </w:r>
    </w:p>
    <w:p w14:paraId="60C14A93" w14:textId="5453BFC2" w:rsidR="009D3CF3" w:rsidRPr="001A6150" w:rsidRDefault="006020A1" w:rsidP="001A6150">
      <w:pPr>
        <w:widowControl/>
        <w:suppressAutoHyphens w:val="0"/>
        <w:autoSpaceDE/>
        <w:spacing w:before="278"/>
        <w:rPr>
          <w:rFonts w:ascii="Sylfaen" w:hAnsi="Sylfaen"/>
          <w:b/>
          <w:bCs/>
          <w:i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შემადგენლობა</w:t>
      </w:r>
      <w:r w:rsidR="009D3CF3"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>:</w:t>
      </w:r>
    </w:p>
    <w:p w14:paraId="7256E136" w14:textId="76807441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sz w:val="24"/>
          <w:szCs w:val="24"/>
          <w:lang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აქტიური ინგრედიენტი:</w:t>
      </w:r>
      <w:r w:rsidRPr="001A6150">
        <w:rPr>
          <w:rFonts w:ascii="Sylfaen" w:hAnsi="Sylfaen"/>
          <w:bCs/>
          <w:i/>
          <w:sz w:val="24"/>
          <w:szCs w:val="24"/>
          <w:lang w:eastAsia="uk-UA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ru-RU"/>
        </w:rPr>
        <w:t xml:space="preserve">ეპლერენონი </w:t>
      </w:r>
      <w:r w:rsidRPr="001A6150">
        <w:rPr>
          <w:rFonts w:ascii="Sylfaen" w:hAnsi="Sylfaen"/>
          <w:color w:val="000000"/>
          <w:sz w:val="24"/>
          <w:szCs w:val="24"/>
          <w:lang w:val="ru-RU" w:eastAsia="uk-UA"/>
        </w:rPr>
        <w:t>(</w:t>
      </w:r>
      <w:r w:rsidR="006020A1" w:rsidRPr="001A6150">
        <w:rPr>
          <w:rFonts w:ascii="Sylfaen" w:hAnsi="Sylfaen"/>
          <w:color w:val="000000"/>
          <w:sz w:val="24"/>
          <w:szCs w:val="24"/>
          <w:lang w:val="ru-RU" w:eastAsia="uk-UA"/>
        </w:rPr>
        <w:t>еplerenon);</w:t>
      </w:r>
    </w:p>
    <w:p w14:paraId="0A0ABF78" w14:textId="39779EC1" w:rsidR="009D3CF3" w:rsidRPr="001A6150" w:rsidRDefault="009D3CF3" w:rsidP="001A6150">
      <w:pPr>
        <w:overflowPunct w:val="0"/>
        <w:autoSpaceDN w:val="0"/>
        <w:adjustRightInd w:val="0"/>
        <w:textAlignment w:val="baseline"/>
        <w:rPr>
          <w:rFonts w:ascii="Sylfaen" w:hAnsi="Sylfaen"/>
          <w:sz w:val="24"/>
          <w:szCs w:val="24"/>
          <w:lang w:val="ru-RU" w:eastAsia="ru-RU"/>
        </w:rPr>
      </w:pPr>
      <w:r w:rsidRPr="001A6150">
        <w:rPr>
          <w:rFonts w:ascii="Sylfaen" w:hAnsi="Sylfaen"/>
          <w:sz w:val="24"/>
          <w:szCs w:val="24"/>
          <w:lang w:val="ru-RU" w:eastAsia="ru-RU"/>
        </w:rPr>
        <w:t>1 ტაბლეტი შეიცავს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ru-RU"/>
        </w:rPr>
        <w:t>ეპლერენონ</w:t>
      </w:r>
      <w:r w:rsidR="006020A1" w:rsidRPr="001A6150">
        <w:rPr>
          <w:rFonts w:ascii="Sylfaen" w:hAnsi="Sylfaen"/>
          <w:sz w:val="24"/>
          <w:szCs w:val="24"/>
          <w:lang w:val="ka-GE" w:eastAsia="ru-RU"/>
        </w:rPr>
        <w:t>ს</w:t>
      </w:r>
      <w:r w:rsidRPr="001A6150">
        <w:rPr>
          <w:rFonts w:ascii="Sylfaen" w:hAnsi="Sylfaen"/>
          <w:sz w:val="24"/>
          <w:szCs w:val="24"/>
          <w:lang w:val="ru-RU" w:eastAsia="ru-RU"/>
        </w:rPr>
        <w:t>, 100%</w:t>
      </w:r>
      <w:r w:rsidR="006020A1" w:rsidRPr="001A6150">
        <w:rPr>
          <w:rFonts w:ascii="Sylfaen" w:hAnsi="Sylfaen"/>
          <w:sz w:val="24"/>
          <w:szCs w:val="24"/>
          <w:lang w:val="ka-GE" w:eastAsia="ru-RU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ru-RU"/>
        </w:rPr>
        <w:t xml:space="preserve"> ნივთიერებ</w:t>
      </w:r>
      <w:r w:rsidR="006020A1" w:rsidRPr="001A6150">
        <w:rPr>
          <w:rFonts w:ascii="Sylfaen" w:hAnsi="Sylfaen"/>
          <w:sz w:val="24"/>
          <w:szCs w:val="24"/>
          <w:lang w:val="ka-GE" w:eastAsia="ru-RU"/>
        </w:rPr>
        <w:t>აზე გადათვლით</w:t>
      </w:r>
      <w:r w:rsidRPr="001A6150">
        <w:rPr>
          <w:rFonts w:ascii="Sylfaen" w:hAnsi="Sylfaen"/>
          <w:sz w:val="24"/>
          <w:szCs w:val="24"/>
          <w:lang w:val="ru-RU" w:eastAsia="ru-RU"/>
        </w:rPr>
        <w:t xml:space="preserve"> 25 მგ ან 50 მ</w:t>
      </w:r>
      <w:r w:rsidR="006020A1" w:rsidRPr="001A6150">
        <w:rPr>
          <w:rFonts w:ascii="Sylfaen" w:hAnsi="Sylfaen"/>
          <w:sz w:val="24"/>
          <w:szCs w:val="24"/>
          <w:lang w:val="ka-GE" w:eastAsia="ru-RU"/>
        </w:rPr>
        <w:t>გ</w:t>
      </w:r>
      <w:r w:rsidRPr="001A6150">
        <w:rPr>
          <w:rFonts w:ascii="Sylfaen" w:hAnsi="Sylfaen"/>
          <w:sz w:val="24"/>
          <w:szCs w:val="24"/>
          <w:lang w:val="ru-RU" w:eastAsia="ru-RU"/>
        </w:rPr>
        <w:t>;</w:t>
      </w:r>
      <w:r w:rsidRPr="001A6150">
        <w:rPr>
          <w:rFonts w:ascii="Sylfaen" w:hAnsi="Sylfaen"/>
          <w:i/>
          <w:sz w:val="24"/>
          <w:szCs w:val="24"/>
          <w:lang w:val="ru-RU" w:eastAsia="ru-RU"/>
        </w:rPr>
        <w:t xml:space="preserve"> </w:t>
      </w:r>
    </w:p>
    <w:p w14:paraId="596012F8" w14:textId="38F8D65A" w:rsidR="009D3CF3" w:rsidRPr="001A6150" w:rsidRDefault="009D3CF3" w:rsidP="001A6150">
      <w:pPr>
        <w:widowControl/>
        <w:suppressAutoHyphens w:val="0"/>
        <w:overflowPunct w:val="0"/>
        <w:autoSpaceDE/>
        <w:autoSpaceDN w:val="0"/>
        <w:adjustRightInd w:val="0"/>
        <w:jc w:val="both"/>
        <w:textAlignment w:val="baseline"/>
        <w:rPr>
          <w:rFonts w:ascii="Sylfaen" w:hAnsi="Sylfaen"/>
          <w:sz w:val="24"/>
          <w:szCs w:val="24"/>
          <w:lang w:val="ru-RU" w:eastAsia="ru-RU"/>
        </w:rPr>
      </w:pPr>
      <w:r w:rsidRPr="001A6150">
        <w:rPr>
          <w:rFonts w:ascii="Sylfaen" w:hAnsi="Sylfaen"/>
          <w:i/>
          <w:sz w:val="24"/>
          <w:szCs w:val="24"/>
          <w:lang w:val="ru-RU" w:eastAsia="ru-RU"/>
        </w:rPr>
        <w:t xml:space="preserve">დამხმარე ნივთიერებები: </w:t>
      </w:r>
      <w:r w:rsidRPr="001A6150">
        <w:rPr>
          <w:rFonts w:ascii="Sylfaen" w:hAnsi="Sylfaen"/>
          <w:sz w:val="24"/>
          <w:szCs w:val="24"/>
          <w:lang w:val="ru-RU" w:eastAsia="ru-RU"/>
        </w:rPr>
        <w:t>ლაქტოზის მონოჰიდრატი; მიკროკრისტალური ცელულოზა; ნატრიუმის კროსკარმელოზა; ჰიპრომელოზა; ნატრიუმის ლაურილსულფატი; ტალკი; მაგნიუმის სტეარატი;</w:t>
      </w:r>
    </w:p>
    <w:p w14:paraId="55C48CA8" w14:textId="3FD13CD6" w:rsidR="009D3CF3" w:rsidRPr="001A6150" w:rsidRDefault="006020A1" w:rsidP="001A6150">
      <w:pPr>
        <w:widowControl/>
        <w:suppressAutoHyphens w:val="0"/>
        <w:overflowPunct w:val="0"/>
        <w:autoSpaceDE/>
        <w:autoSpaceDN w:val="0"/>
        <w:adjustRightInd w:val="0"/>
        <w:jc w:val="both"/>
        <w:textAlignment w:val="baseline"/>
        <w:rPr>
          <w:rFonts w:ascii="Sylfaen" w:hAnsi="Sylfaen"/>
          <w:sz w:val="24"/>
          <w:szCs w:val="24"/>
          <w:lang w:val="ru-RU" w:eastAsia="ru-RU"/>
        </w:rPr>
      </w:pPr>
      <w:r w:rsidRPr="001A6150">
        <w:rPr>
          <w:rFonts w:ascii="Sylfaen" w:hAnsi="Sylfaen"/>
          <w:i/>
          <w:iCs/>
          <w:sz w:val="24"/>
          <w:szCs w:val="24"/>
          <w:lang w:val="ru-RU" w:eastAsia="ru-RU"/>
        </w:rPr>
        <w:t>ნარევი</w:t>
      </w:r>
      <w:r w:rsidRPr="001A6150">
        <w:rPr>
          <w:rFonts w:ascii="Sylfaen" w:hAnsi="Sylfaen"/>
          <w:i/>
          <w:iCs/>
          <w:sz w:val="24"/>
          <w:szCs w:val="24"/>
          <w:lang w:val="ka-GE" w:eastAsia="ru-RU"/>
        </w:rPr>
        <w:t xml:space="preserve"> </w:t>
      </w:r>
      <w:r w:rsidR="009D3CF3" w:rsidRPr="001A6150">
        <w:rPr>
          <w:rFonts w:ascii="Sylfaen" w:hAnsi="Sylfaen"/>
          <w:i/>
          <w:iCs/>
          <w:sz w:val="24"/>
          <w:szCs w:val="24"/>
          <w:lang w:val="ru-RU" w:eastAsia="ru-RU"/>
        </w:rPr>
        <w:t>აპკი</w:t>
      </w:r>
      <w:r w:rsidRPr="001A6150">
        <w:rPr>
          <w:rFonts w:ascii="Sylfaen" w:hAnsi="Sylfaen"/>
          <w:i/>
          <w:iCs/>
          <w:sz w:val="24"/>
          <w:szCs w:val="24"/>
          <w:lang w:val="ka-GE" w:eastAsia="ru-RU"/>
        </w:rPr>
        <w:t>ანი საფარისთვის</w:t>
      </w:r>
      <w:r w:rsidR="009D3CF3" w:rsidRPr="001A6150">
        <w:rPr>
          <w:rFonts w:ascii="Sylfaen" w:hAnsi="Sylfaen"/>
          <w:i/>
          <w:iCs/>
          <w:sz w:val="24"/>
          <w:szCs w:val="24"/>
          <w:lang w:val="ru-RU" w:eastAsia="ru-RU"/>
        </w:rPr>
        <w:t xml:space="preserve">: 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ტიტანის დიოქსიდი (E 171); პოლიეთილენგლიკოლი (მაკროგოლი); ჰიპრომელოზა; რკინის ყვითელი ოქსიდი (E 172); პოლისორბატი 80; </w:t>
      </w:r>
      <w:r w:rsidR="009D3CF3" w:rsidRPr="001A6150">
        <w:rPr>
          <w:rFonts w:ascii="Sylfaen" w:hAnsi="Sylfaen"/>
          <w:color w:val="000000"/>
          <w:sz w:val="24"/>
          <w:szCs w:val="24"/>
          <w:lang w:val="ru-RU" w:eastAsia="uk-UA"/>
        </w:rPr>
        <w:t>მზის ჩასვლის ყვითელი FCF (E 110), ქინოლინის ყვითელი (E 104), ინდიგო კარმინი (E 132).</w:t>
      </w:r>
    </w:p>
    <w:p w14:paraId="7054FDB1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</w:p>
    <w:p w14:paraId="07956863" w14:textId="3F0B5601" w:rsidR="009D3CF3" w:rsidRPr="001A6150" w:rsidRDefault="006020A1" w:rsidP="001A6150">
      <w:pPr>
        <w:overflowPunct w:val="0"/>
        <w:autoSpaceDN w:val="0"/>
        <w:adjustRightInd w:val="0"/>
        <w:textAlignment w:val="baseline"/>
        <w:rPr>
          <w:rFonts w:ascii="Sylfaen" w:hAnsi="Sylfaen"/>
          <w:sz w:val="24"/>
          <w:szCs w:val="24"/>
          <w:lang w:val="ru-RU" w:eastAsia="ru-RU"/>
        </w:rPr>
      </w:pPr>
      <w:r w:rsidRPr="001A6150">
        <w:rPr>
          <w:rFonts w:ascii="Sylfaen" w:hAnsi="Sylfaen"/>
          <w:b/>
          <w:bCs/>
          <w:sz w:val="24"/>
          <w:szCs w:val="24"/>
          <w:lang w:val="ka-GE" w:eastAsia="uk-UA"/>
        </w:rPr>
        <w:t>სამკურნალო</w:t>
      </w:r>
      <w:r w:rsidR="009D3CF3" w:rsidRPr="001A6150">
        <w:rPr>
          <w:rFonts w:ascii="Sylfaen" w:hAnsi="Sylfaen"/>
          <w:b/>
          <w:bCs/>
          <w:sz w:val="24"/>
          <w:szCs w:val="24"/>
          <w:lang w:val="ru-RU" w:eastAsia="uk-UA"/>
        </w:rPr>
        <w:t xml:space="preserve"> ფორმა: </w:t>
      </w:r>
      <w:r w:rsidR="008E2CDC" w:rsidRPr="001A6150">
        <w:rPr>
          <w:rFonts w:ascii="Sylfaen" w:hAnsi="Sylfaen"/>
          <w:color w:val="000000"/>
          <w:sz w:val="24"/>
          <w:szCs w:val="24"/>
          <w:lang w:val="ka-GE" w:eastAsia="uk-UA"/>
        </w:rPr>
        <w:t xml:space="preserve">აპკიანი გარსით დაფარული </w:t>
      </w:r>
      <w:r w:rsidR="009D3CF3" w:rsidRPr="001A6150">
        <w:rPr>
          <w:rFonts w:ascii="Sylfaen" w:hAnsi="Sylfaen"/>
          <w:color w:val="000000"/>
          <w:sz w:val="24"/>
          <w:szCs w:val="24"/>
          <w:lang w:val="ru-RU" w:eastAsia="uk-UA"/>
        </w:rPr>
        <w:t xml:space="preserve"> ტაბლეტები.</w:t>
      </w:r>
    </w:p>
    <w:p w14:paraId="09D265D3" w14:textId="032A9D0F" w:rsidR="009D3CF3" w:rsidRPr="001A6150" w:rsidRDefault="009D3CF3" w:rsidP="001A6150">
      <w:pPr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>ძირითადი ფიზიკური და ქიმიური თვისებები: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uk-UA"/>
        </w:rPr>
        <w:t>აპკ</w:t>
      </w:r>
      <w:r w:rsidR="006020A1" w:rsidRPr="001A6150">
        <w:rPr>
          <w:rFonts w:ascii="Sylfaen" w:hAnsi="Sylfaen"/>
          <w:sz w:val="24"/>
          <w:szCs w:val="24"/>
          <w:lang w:val="ka-GE" w:eastAsia="uk-UA"/>
        </w:rPr>
        <w:t>იანი გარსით დაფარულ</w:t>
      </w:r>
      <w:r w:rsidRPr="001A6150">
        <w:rPr>
          <w:rFonts w:ascii="Sylfaen" w:hAnsi="Sylfaen"/>
          <w:sz w:val="24"/>
          <w:szCs w:val="24"/>
          <w:lang w:val="ru-RU" w:eastAsia="uk-UA"/>
        </w:rPr>
        <w:t>ი ტაბლეტები, ყვითელი</w:t>
      </w:r>
      <w:r w:rsidR="006020A1" w:rsidRPr="001A6150">
        <w:rPr>
          <w:rFonts w:ascii="Sylfaen" w:hAnsi="Sylfaen"/>
          <w:sz w:val="24"/>
          <w:szCs w:val="24"/>
          <w:lang w:val="ka-GE" w:eastAsia="uk-UA"/>
        </w:rPr>
        <w:t xml:space="preserve"> ფერის</w:t>
      </w:r>
      <w:r w:rsidRPr="001A6150">
        <w:rPr>
          <w:rFonts w:ascii="Sylfaen" w:hAnsi="Sylfaen"/>
          <w:sz w:val="24"/>
          <w:szCs w:val="24"/>
          <w:lang w:val="ru-RU" w:eastAsia="uk-UA"/>
        </w:rPr>
        <w:t>, რომბის</w:t>
      </w:r>
      <w:r w:rsidR="006020A1" w:rsidRPr="001A6150">
        <w:rPr>
          <w:rFonts w:ascii="Sylfaen" w:hAnsi="Sylfaen"/>
          <w:sz w:val="24"/>
          <w:szCs w:val="24"/>
          <w:lang w:val="ka-GE" w:eastAsia="uk-UA"/>
        </w:rPr>
        <w:t>მსგავსი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 ფორმის ორმხრივამოზნექილი ზედაპირით.</w:t>
      </w:r>
    </w:p>
    <w:p w14:paraId="67990A8B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val="ru-RU" w:eastAsia="uk-UA"/>
        </w:rPr>
      </w:pPr>
    </w:p>
    <w:p w14:paraId="75366DDB" w14:textId="77777777" w:rsidR="009D3CF3" w:rsidRPr="001A6150" w:rsidRDefault="009D3CF3" w:rsidP="001A6150">
      <w:pPr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 xml:space="preserve">ფარმაკოთერაპიული ჯგუფი: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კალიუმის დამზოგავი შარდმდენები. ალდოსტერონის ანტაგონისტები. ეპლერენონი.</w:t>
      </w:r>
    </w:p>
    <w:p w14:paraId="442151F6" w14:textId="33141021" w:rsidR="009D3CF3" w:rsidRPr="001A6150" w:rsidRDefault="008E2CDC" w:rsidP="001A6150">
      <w:pPr>
        <w:autoSpaceDN w:val="0"/>
        <w:adjustRightInd w:val="0"/>
        <w:rPr>
          <w:rFonts w:ascii="Sylfaen" w:hAnsi="Sylfaen"/>
          <w:color w:val="000000"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>ათქ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კოდი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C03D A04 </w:t>
      </w:r>
      <w:r w:rsidR="009D3CF3" w:rsidRPr="001A6150">
        <w:rPr>
          <w:rFonts w:ascii="Sylfaen" w:hAnsi="Sylfaen"/>
          <w:color w:val="000000"/>
          <w:sz w:val="24"/>
          <w:szCs w:val="24"/>
          <w:lang w:val="ru-RU" w:eastAsia="uk-UA"/>
        </w:rPr>
        <w:t>.</w:t>
      </w:r>
    </w:p>
    <w:p w14:paraId="4D521751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/>
          <w:bCs/>
          <w:sz w:val="24"/>
          <w:szCs w:val="24"/>
          <w:lang w:val="ru-RU" w:eastAsia="uk-UA"/>
        </w:rPr>
      </w:pPr>
    </w:p>
    <w:p w14:paraId="61556D2B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/>
          <w:i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i/>
          <w:sz w:val="24"/>
          <w:szCs w:val="24"/>
          <w:lang w:val="ru-RU" w:eastAsia="uk-UA"/>
        </w:rPr>
        <w:t>ფარმაკოლოგიური თვისებები</w:t>
      </w:r>
    </w:p>
    <w:p w14:paraId="2549F64C" w14:textId="77777777" w:rsidR="009D3CF3" w:rsidRPr="001A6150" w:rsidRDefault="009D3CF3" w:rsidP="001A6150">
      <w:pPr>
        <w:widowControl/>
        <w:suppressAutoHyphens w:val="0"/>
        <w:autoSpaceDE/>
        <w:adjustRightInd w:val="0"/>
        <w:rPr>
          <w:rFonts w:ascii="Sylfaen" w:hAnsi="Sylfaen"/>
          <w:bCs/>
          <w:i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>ფარმაკოდინამიკა</w:t>
      </w:r>
    </w:p>
    <w:p w14:paraId="217A75C3" w14:textId="167686A9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მოქმედების მექანიზმი. </w:t>
      </w:r>
      <w:r w:rsidR="008E2CD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ეპლერენონს გააჩნია გარკვეული სელექტიურობა ადამიანის მინერალოკორტიკოიდულ რეცეპტორებთან შეკავშირების დროს მის ურთიერთქმედებასთან შედარებით ადამიანის რეკომბინანტულ გლუკოკორტიკოიდულ რეცეპტორებთან, პროგესტერონთან და ანდროგენულ რეცეპტორებთან.</w:t>
      </w:r>
      <w:r w:rsidR="008E2CDC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 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ხელს უშლი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ს რეცეპტორების შეკავშირებას ალდოსტერონთან </w:t>
      </w:r>
      <w:r w:rsidR="00DE59D1" w:rsidRPr="001A6150">
        <w:rPr>
          <w:rFonts w:ascii="Sylfaen" w:hAnsi="Sylfaen"/>
          <w:sz w:val="24"/>
          <w:szCs w:val="24"/>
          <w:lang w:val="ka-GE" w:eastAsia="uk-UA"/>
        </w:rPr>
        <w:t>-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რენინ-ანგიოტენზინ-ალდოსტერონის სისტემის მნიშვნელოვან ჰორმონთან, რომელიც 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მონაწილეობს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არტერიულ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წნევ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 </w:t>
      </w:r>
      <w:r w:rsidR="00DE59D1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რეგულირებ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 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ჩართულია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გულ-სისხლძარღვთა დაავადებების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განვითარების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პათოფიზიოლოგიურ მექანიზმებში.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</w:p>
    <w:p w14:paraId="72047D7F" w14:textId="56507B52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ფარმაკოდინამიკური ეფექტები.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ნაჩვენები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იყო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რომ ეპლერენონი იწვევს 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პლაზმაში რენინის და 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შრატში ალდოსტერონის დონის მდგრად მატებას, რაც 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თანხვედრაშია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 რენინის სეკრეციაზე </w:t>
      </w:r>
      <w:r w:rsidR="00DE59D1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ალდოსტერონის</w:t>
      </w:r>
      <w:r w:rsidR="00DE59D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უარყოფითი უკუ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გავლენის გზის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დათრგუნვ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ას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თან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ამავდროულად სისხლის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პლაზმაში რენინის აქტივობის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 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სისხლ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ალდოსტერონის დონის მატება არ 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იწვე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ვს ეპლერენონის </w:t>
      </w:r>
      <w:r w:rsidR="00EF0A1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მოქმედების დათრგუნვა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ს.</w:t>
      </w:r>
    </w:p>
    <w:p w14:paraId="314F722A" w14:textId="0B75202C" w:rsidR="009D3CF3" w:rsidRPr="001A6150" w:rsidRDefault="00460DF5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გულის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ქრონიკული უკმარისობის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გამოყენებული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დოზ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ის დიაპაზონის კვლევებ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მიმდინარეობის დროს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(</w:t>
      </w:r>
      <w:r w:rsidR="00825C62" w:rsidRPr="001A6150">
        <w:rPr>
          <w:rFonts w:ascii="Sylfaen" w:hAnsi="Sylfaen"/>
          <w:bCs/>
          <w:iCs/>
          <w:sz w:val="24"/>
          <w:szCs w:val="24"/>
          <w:lang w:val="ru-RU" w:eastAsia="uk-UA"/>
        </w:rPr>
        <w:t>II-IV კლასი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ნიუ-იორკის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კარდიოლოგიური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ასოციაციის </w:t>
      </w:r>
      <w:r w:rsidR="00D25965" w:rsidRPr="001A6150">
        <w:rPr>
          <w:rFonts w:ascii="Sylfaen" w:hAnsi="Sylfaen"/>
          <w:bCs/>
          <w:iCs/>
          <w:sz w:val="24"/>
          <w:szCs w:val="24"/>
          <w:lang w:val="ru-RU" w:eastAsia="uk-UA"/>
        </w:rPr>
        <w:t>(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NYHA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-ს</w:t>
      </w:r>
      <w:r w:rsidR="00D25965" w:rsidRPr="001A6150">
        <w:rPr>
          <w:rFonts w:ascii="Sylfaen" w:hAnsi="Sylfaen"/>
          <w:bCs/>
          <w:iCs/>
          <w:sz w:val="24"/>
          <w:szCs w:val="24"/>
          <w:lang w:val="ru-RU" w:eastAsia="uk-UA"/>
        </w:rPr>
        <w:t>)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კლასიფიკაციის მიხედვით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) სტანდარტულ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სქემ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აზე ეპლერენონის დამატებამ გამოიწვია ალდოსტერონის დონის მოსალოდნელ დოზადამოკიდებული მატება. ანალოგიურად, 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EPHESUS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-ის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კარდიო-ნეფროლოგიუ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რი კვლევის მიმდინარეობისას (ეფექტურობისა და ლეტალობის კვლევა 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გამოყენებისას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პაციენტებში მიოკარდიუმის 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მწვავე ინფარქტი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თ, 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მარცხენა პარკუჭის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გართულებული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დისფუნქციით და გულის უკმარისობით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)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ეპლერენონით მკურნალობამ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გამოიწვია ალდოსტერონის დონის მნიშვნელოვანი მატება. 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მიღებული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შედეგები ადასტურებ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ენ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მინერალოკორტიკოიდური რეცეპტორების ბლოკ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ირებ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ას ამ პოპულაციაში.</w:t>
      </w:r>
    </w:p>
    <w:p w14:paraId="4FDB8701" w14:textId="382CBAB4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lastRenderedPageBreak/>
        <w:t xml:space="preserve">ეპლერენონი 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იქნა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შესწავლილი EPHESUS კვლევ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მიმდინარეობისას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ეს იყო </w:t>
      </w:r>
      <w:r w:rsidRPr="001A6150">
        <w:rPr>
          <w:rFonts w:ascii="Sylfaen" w:hAnsi="Sylfaen"/>
          <w:bCs/>
          <w:iCs/>
          <w:sz w:val="24"/>
          <w:szCs w:val="24"/>
          <w:lang w:eastAsia="uk-UA"/>
        </w:rPr>
        <w:t xml:space="preserve">ორმაგად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ბრმა, პლაცებო-კონტროლირებადი კვლევა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3 წლი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ანი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ხანგრძლივობით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რომელშიც მონაწილეობდა 6,632 სუბიექტი მიოკარდიუმის </w:t>
      </w:r>
      <w:r w:rsidR="0030716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მწვავე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ინფარქტით, მარცხენა პარკუჭის დისფუნქციით (</w:t>
      </w:r>
      <w:r w:rsidR="00D25965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ფასდებოდა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მარცხენა პარკუჭის განდევნის </w:t>
      </w:r>
      <w:r w:rsidRPr="001A6150">
        <w:rPr>
          <w:rFonts w:ascii="Sylfaen" w:hAnsi="Sylfaen"/>
          <w:bCs/>
          <w:iCs/>
          <w:sz w:val="24"/>
          <w:szCs w:val="24"/>
          <w:lang w:eastAsia="uk-UA"/>
        </w:rPr>
        <w:t>ფრაქცი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მიხედვით</w:t>
      </w:r>
      <w:r w:rsidRPr="001A6150">
        <w:rPr>
          <w:rFonts w:ascii="Sylfaen" w:hAnsi="Sylfaen"/>
          <w:bCs/>
          <w:iCs/>
          <w:sz w:val="24"/>
          <w:szCs w:val="24"/>
          <w:lang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≤40%) და გულის </w:t>
      </w:r>
      <w:r w:rsidR="0030716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უკმარისობის კლინიკური ნიშნებით. მწვავე მიოკარდიუმის ინფარქტიდან 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3-14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დღის შემდეგ (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მედიანა შეადგენდა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7 დღე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) სუბიექტებმა </w:t>
      </w:r>
      <w:r w:rsidR="00825C62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სტანდარტულ მკურნალობასთან ერთად 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დამატებით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მიიღეს ეპლერენონი ან პლაცებო საწყისი დოზით 25 მგ დღე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ში ერთხელ. შემდგ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ომ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დოზა თანდათან იზრდებოდა (4 კვირის განმავლობაში) სამიზნე დოზ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მიღწევ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ამდე 50 მგ დღე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ში ერთხელ</w:t>
      </w:r>
      <w:r w:rsidR="00D25965" w:rsidRPr="001A6150">
        <w:rPr>
          <w:rFonts w:ascii="Sylfaen" w:hAnsi="Sylfaen"/>
          <w:bCs/>
          <w:iCs/>
          <w:sz w:val="24"/>
          <w:szCs w:val="24"/>
          <w:lang w:val="ka-GE" w:eastAsia="uk-UA"/>
        </w:rPr>
        <w:t>,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იმ პირობით, რომ 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შრატში კალიუმის დონე 5 მმოლ/ლ-ზე ნაკლები 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ყოფილ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იყო. კვლევის 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განმავლობაში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სუბიექტებმა მიიღეს სტანდარტული მკურნალობა, </w:t>
      </w:r>
      <w:r w:rsidR="005D129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რომელშიც ჩართული იყო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აცეტილსალიცილის მჟავა (92%), აგფ ინჰიბიტორები (90%), β-ბლოკატორები (83%), ნიტრატები (72%), მარყუჟოვანი შარდმდენები (66%) ან HMG-CoA რედუქტაზას ინჰიბიტორები (60%).</w:t>
      </w:r>
    </w:p>
    <w:p w14:paraId="33D711B9" w14:textId="0C7C0C72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EPHESUS კვლევის 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პირველად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 საბოლოო წერტილები იყო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საერთო ლეტალობა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 </w:t>
      </w:r>
      <w:r w:rsidR="00443038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კომბინირებული საბოლოო წერტილი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(ლეტალური შედეგი</w:t>
      </w:r>
      <w:r w:rsidR="00443038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ან ჰოსპიტალიზაცი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დარღვევების </w:t>
      </w:r>
      <w:r w:rsidR="002A5DF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გამო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გულ-სისხლძარღვთა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სისტემის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მხრიდან)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 ეპლერენონის ჯგუფში სუბიექტების 14.4% და პლაცებოს ჯგუფში სუბიექტების 16.7% გარდაიცვალა (ნებისმიერი მიზეზით), ხოლო ეპლერენონის ჯგუფში სუბიექტების 26.7%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-მა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 პლაცებოს ჯგუფში სუბიექტების 30.0%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-მა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მიაღწია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შესაბამ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ისობას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443038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კომბინირებული საბოლოო წერტილის კრიტერიუმებ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თან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(ლეტალური შედეგი </w:t>
      </w:r>
      <w:r w:rsidR="00443038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ან ჰოსპიტალიზაცი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="00443038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დარღვევების გამო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გულ-სისხლძარღვთა </w:t>
      </w:r>
      <w:r w:rsidR="0044303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სისტემის მხრივ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).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ამრიგად, EPHESUS კვლევ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მიმდინარეობისას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ეპლერენონმა </w:t>
      </w:r>
      <w:r w:rsidR="002A5DFC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შეამცირა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ნებისმიერი მიზეზით გამოწვეული 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ლეტალური შედეგის რ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ისკი 15%-ით (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შეფარდებითი რისკი-შრ-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0.85; 95% 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0.75-0.96; p=0.008) პლაცებოსთან შედარებით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,</w:t>
      </w:r>
      <w:r w:rsidRPr="001A6150">
        <w:rPr>
          <w:rFonts w:ascii="Sylfaen" w:hAnsi="Sylfaen"/>
          <w:bCs/>
          <w:iCs/>
          <w:sz w:val="24"/>
          <w:szCs w:val="24"/>
          <w:lang w:eastAsia="uk-UA"/>
        </w:rPr>
        <w:t xml:space="preserve"> 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უპირატეს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ად გულ-სისხლძარღვთა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სისტემის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მხრი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დან</w:t>
      </w:r>
      <w:r w:rsidR="002A5DF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დარღვევებით გამოწვეული ლეტალ</w:t>
      </w:r>
      <w:r w:rsidR="002A5DF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ობის შემცირების გამო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 ეპლერენონ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გამოყენების შემთხვევაში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გულ-სისხლძარღვთა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სისტემის მხრიდან დარღვევების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გამო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ლეტალური შედეგის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ან ჰოსპიტალიზაციის რისკი </w:t>
      </w:r>
      <w:r w:rsidR="0063284B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შემცირ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</w:t>
      </w:r>
      <w:r w:rsidR="0063284B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13%-ით (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შრ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0.87; 95%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0.79-0.95, p=0.002). </w:t>
      </w:r>
      <w:r w:rsidR="0063284B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რისკის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აბსოლუტურ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შემცირება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ისეთი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საბოლოო წერტილისთვის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, როგორიცაა საერთო ლეტალობა,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შეადგინა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2.3%, ხოლო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ისეთი </w:t>
      </w:r>
      <w:r w:rsidR="0063284B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საბოლოო წერტილისთვის</w:t>
      </w:r>
      <w:r w:rsidR="00365D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, 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რო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ორიცაა ლეტალური შედეგი ან </w:t>
      </w:r>
      <w:r w:rsidR="0063284B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 ჰოსპიტალიზაცი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 </w:t>
      </w:r>
      <w:r w:rsidR="0063284B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გულ-სისხლძარღვთა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სისტემის მხრიდან დარღვევები</w:t>
      </w:r>
      <w:r w:rsidR="00365D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</w:t>
      </w:r>
      <w:r w:rsidR="0063284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გამო -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3.3% 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კლინიკური ეფექტურობა </w:t>
      </w:r>
      <w:r w:rsidR="00365D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პირველ რიგში </w:t>
      </w:r>
      <w:r w:rsidR="004D5905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ნაჩვენები იყო </w:t>
      </w:r>
      <w:r w:rsidR="0033455A" w:rsidRPr="001A6150">
        <w:rPr>
          <w:rFonts w:ascii="Sylfaen" w:hAnsi="Sylfaen"/>
          <w:bCs/>
          <w:iCs/>
          <w:sz w:val="24"/>
          <w:szCs w:val="24"/>
          <w:lang w:val="ru-RU" w:eastAsia="uk-UA"/>
        </w:rPr>
        <w:t>75 წლ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ამდე</w:t>
      </w:r>
      <w:r w:rsidR="0033455A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ასაკის პაციენტებ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ისთვის მკურნალობის  დანიშვნისას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 75 წ</w:t>
      </w:r>
      <w:r w:rsidR="00E1506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ელზე უფროსი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ასაკის პაციენტებში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მკურნალობის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სარგებელი სათანადოდ არ არის შესწავლილი. NYHA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-ს მიხედვით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ფუნქციური კლასიფიკაციის 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მაჩვენებლების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გაუმჯობესება ან სტაბილიზაცია 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აღინიშნ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 ეპლერენონის მიმღებ სუბიექტთა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სტატისტიკურად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მნიშვნელოვნად 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უფრო დიდ ნაწილ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ში პლაცებო ჯგუფ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პაციენტებ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თან შედარებით. ჰიპერკალიემიის </w:t>
      </w:r>
      <w:r w:rsidR="0033455A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განვითარების სიხშირემ შეადგინა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33455A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3.4%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ჯგუფში და </w:t>
      </w:r>
      <w:r w:rsidR="00CD3AB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2%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პლაცებო ჯგუფში (p&lt;0.001). ჰიპოკალიემიის </w:t>
      </w:r>
      <w:r w:rsidR="00CD3AB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განვითარების სიხშირე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ეპლერენონის ჯგუფში </w:t>
      </w:r>
      <w:r w:rsidR="00CD3AB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შეადგენდა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0.5% და პლაცებო ჯგუფში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-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1.5% (p&lt;0.001).</w:t>
      </w:r>
    </w:p>
    <w:p w14:paraId="5CCFB04F" w14:textId="535057E0" w:rsidR="009D3CF3" w:rsidRPr="001A6150" w:rsidRDefault="00CD3AB9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ეკგ-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ზე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ცვლილებების აღმოჩენ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 მიზნით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147 ჯანმრთელ მოხალის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კვლევ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 მიმდინარეობისას </w:t>
      </w:r>
      <w:r w:rsidR="004B1216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ჩატარებულ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="004B1216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ფარმაკოკინეტიკური კვლევების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განმავლობაში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ეპლერენონმა არ აჩვენა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მდგრადი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გავლენა გულის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კუნთის შეკუმშვა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ზე, QRS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კომპლექსის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ხანგრძლივობაზე ან PR და QT ინტერვალებზე.</w:t>
      </w:r>
    </w:p>
    <w:p w14:paraId="26ABB931" w14:textId="4224D69E" w:rsidR="009D3CF3" w:rsidRPr="001A6150" w:rsidRDefault="00CD3AB9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EMPHASIS-HF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კვლევის მიმდინარეობისას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(</w:t>
      </w:r>
      <w:r w:rsidR="00441DA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ჰისპიტალიზაციისა და ლეტალობის სიხშირის კვლევ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="00441DA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</w:t>
      </w:r>
      <w:r w:rsidR="00441DA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გამოყენებისას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3B33E0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გულის უკმარისობის</w:t>
      </w:r>
      <w:r w:rsidR="003B33E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 და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მსუბუქ</w:t>
      </w:r>
      <w:r w:rsidR="003B33E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 ხარისხის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სიმპტომ</w:t>
      </w:r>
      <w:r w:rsidR="003B33E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ების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მქონე პაციენტებში) 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შეისწავლებო</w:t>
      </w:r>
      <w:r w:rsidR="003B33E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 </w:t>
      </w:r>
      <w:r w:rsidR="005E7820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სტანდარტულ მკურნალობა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ზე დამატებული</w:t>
      </w:r>
      <w:r w:rsidR="005E7820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3B33E0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</w:t>
      </w:r>
      <w:r w:rsidR="003B33E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ზეგავლენ</w:t>
      </w:r>
      <w:r w:rsidR="007402F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ეფექტურობა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კლინიკურ შედეგებზე </w:t>
      </w:r>
      <w:r w:rsidR="005E7820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პაციენტებ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თან </w:t>
      </w:r>
      <w:r w:rsidR="005E7820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სისტოლური გულის უკმარისობი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თა და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მსუბუქ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 ხარისხის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სიმპტომ</w:t>
      </w:r>
      <w:r w:rsidR="005E782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ებით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(ფუნქციური კლასი II</w:t>
      </w:r>
      <w:r w:rsidR="00A9213D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A9213D" w:rsidRPr="001A6150">
        <w:rPr>
          <w:rFonts w:ascii="Sylfaen" w:hAnsi="Sylfaen"/>
          <w:bCs/>
          <w:iCs/>
          <w:sz w:val="24"/>
          <w:szCs w:val="24"/>
          <w:lang w:val="ru-RU" w:eastAsia="uk-UA"/>
        </w:rPr>
        <w:t>NYHA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-ს კლასიფიკაციის მიხედვით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).</w:t>
      </w:r>
    </w:p>
    <w:p w14:paraId="24EC5542" w14:textId="66E2EDE3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lastRenderedPageBreak/>
        <w:t>კვლევაში მონაწილეობ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ას იღებდნენ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55 წ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ლისა 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უფროსი ასაკის სუბიექტები, რომლებ</w:t>
      </w:r>
      <w:r w:rsidR="00613B9E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მარცხენა პარკუჭის განდევნის ფრაქცია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შეადგენდა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≤ 30% ან ≤ 35% 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იმ პირობით, რომ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QRS 130 მილიწამზე მეტი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 რომლებიც 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იმ </w:t>
      </w:r>
      <w:r w:rsidR="00A9213D" w:rsidRPr="001A6150">
        <w:rPr>
          <w:rFonts w:ascii="Sylfaen" w:hAnsi="Sylfaen"/>
          <w:bCs/>
          <w:iCs/>
          <w:sz w:val="24"/>
          <w:szCs w:val="24"/>
          <w:lang w:val="ru-RU" w:eastAsia="uk-UA"/>
        </w:rPr>
        <w:t>6 თვი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 განმავლობაში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, რაც წინ უძღვოდა</w:t>
      </w:r>
      <w:r w:rsidR="00A9213D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კვლევ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დაწყება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ს,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A9213D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იყვნენ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ჰოსპიტალიზებულ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 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დარღვევ</w:t>
      </w:r>
      <w:r w:rsidR="00A9213D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ების გამო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გულ-სისხლძარღვთა 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სისტემის მხრიდან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ან რომლებსაც  </w:t>
      </w:r>
      <w:r w:rsidR="00A9213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პლაზმაში B-ტიპის ნატრიურეზული პეპტიდის (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ნპ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B) დონე 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შეადგენდა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მინიმუმ 250 პგ/მლ ან 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პლაზმაში N-ტერმინალური პრო-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ნპ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B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-ს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დონე 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შეადგენდა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მინიმუმ 500 პგ/მლ </w:t>
      </w:r>
      <w:r w:rsidR="008C701B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მამაკაცებში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(ქალებში 750 პგ/მლ). ეპლერენონის საწყისი დოზა 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შეადგენდა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25 მგ დღე</w:t>
      </w:r>
      <w:r w:rsidR="008C701B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ერთხელ. 4 კვირის შემდეგ დოზა </w:t>
      </w:r>
      <w:r w:rsidR="00613B9E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იზრდებოდა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50 მგ-მდე დღე</w:t>
      </w:r>
      <w:r w:rsidR="00613B9E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ერთხელ იმ პირობით, რომ </w:t>
      </w:r>
      <w:r w:rsidR="00613B9E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შრატში კალიუმის დონე არ </w:t>
      </w:r>
      <w:r w:rsidR="004B121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აღწევდა 5 მმოლ/ლ-ს. </w:t>
      </w:r>
      <w:r w:rsidR="00613B9E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თუ</w:t>
      </w:r>
      <w:r w:rsidR="000F4330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გლომერულური ფილტრაციის </w:t>
      </w:r>
      <w:r w:rsidR="00613B9E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გამოთვლადი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სიჩქარე </w:t>
      </w:r>
      <w:r w:rsidR="000F433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უდრიდა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30-49 მლ/წთ/1.73 მ</w:t>
      </w:r>
      <w:r w:rsidRPr="001A6150">
        <w:rPr>
          <w:rFonts w:ascii="Sylfaen" w:hAnsi="Sylfaen"/>
          <w:bCs/>
          <w:iCs/>
          <w:sz w:val="24"/>
          <w:szCs w:val="24"/>
          <w:vertAlign w:val="superscript"/>
          <w:lang w:val="ru-RU" w:eastAsia="uk-UA"/>
        </w:rPr>
        <w:t>2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ეპლერენონის საწყისი დოზა </w:t>
      </w:r>
      <w:r w:rsidR="000F433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შეადგენდა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25 მგ ყოველ 2 დღეში ერთხელ და შემდგომში </w:t>
      </w:r>
      <w:r w:rsidR="000F433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მატ</w:t>
      </w:r>
      <w:r w:rsidR="00D87895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უ</w:t>
      </w:r>
      <w:r w:rsidR="000F433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ლობდა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25 მგ-მდე დღე</w:t>
      </w:r>
      <w:r w:rsidR="000F4330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ში ერთხელ.</w:t>
      </w:r>
    </w:p>
    <w:p w14:paraId="198F9142" w14:textId="7D5EC895" w:rsidR="009D3CF3" w:rsidRPr="001A6150" w:rsidRDefault="000F4330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საერთო ჯამში რანდომიზაცია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(ორმაგ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ბრმა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რეჟიმში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)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გაიარა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2,737 სუბიექტ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მა, რომლებსაც დაენიშნათ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ან პლაცებო შარდმდენ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 პრეპარატ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ებით (85%), აგფ ინჰიბიტორებით (78%), ანგიოტენზინ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რეცეპტორების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II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ტიპის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ბლოკატორებით (19%),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β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-ბლოკატორებით (87%), ანტითრომბოზული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პრეპარატ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ებით (88%), ლიპიდების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დონის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დამწევი საშუალებებით (63%) და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ფუტკარას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გლიკოზიდებით (27%)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საბაზო მკურნალობის ფონზე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. მარცხენა პარკუჭის განდევნის ფრაქცი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 </w:t>
      </w:r>
      <w:r w:rsidR="00006A01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საშუალო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დონე შეადგენდა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vertAlign w:val="subscript"/>
          <w:lang w:val="ru-RU" w:eastAsia="uk-UA"/>
        </w:rPr>
        <w:t>~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26%, ხოლო QRS</w:t>
      </w:r>
      <w:r w:rsidR="00B7092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კომპლექსის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საშუალო ხანგრძლივობა - </w:t>
      </w:r>
      <w:r w:rsidR="009D3CF3" w:rsidRPr="001A6150">
        <w:rPr>
          <w:rFonts w:ascii="Sylfaen" w:hAnsi="Sylfaen"/>
          <w:bCs/>
          <w:iCs/>
          <w:sz w:val="24"/>
          <w:szCs w:val="24"/>
          <w:vertAlign w:val="subscript"/>
          <w:lang w:val="ru-RU" w:eastAsia="uk-UA"/>
        </w:rPr>
        <w:t>~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122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მწ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სუბიექტების უმეტესობა (83.4%)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იმ</w:t>
      </w:r>
      <w:r w:rsidR="00006A01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6 თვის განმავლობაში,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რომელიც წინ უძღვოდა რანდომიზაციას, </w:t>
      </w:r>
      <w:r w:rsidR="00006A01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ჰოსპიტალიზებული იყო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დარღვევების გამო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გულ-სისხლძარღვთა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სისტემ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ის </w:t>
      </w:r>
      <w:r w:rsidR="00006A01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მხრიდან,</w:t>
      </w:r>
      <w:r w:rsidR="00D92F0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ამასთან ამ სუბიექტებიდან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დაახლოებით ნახევარი</w:t>
      </w:r>
      <w:r w:rsidR="00D92F0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-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გულის უკმარისობის გამო. სუბიექტების დაახლოებით 20%-ს ჰქონდა </w:t>
      </w:r>
      <w:r w:rsidR="00D92F0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ჩაყენებული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იმპლანტირებული დეფიბრილატორ</w:t>
      </w:r>
      <w:r w:rsidR="00D92F0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 ან იმყოფებოდა გულის რესინქრონიზაციულ თერაპი</w:t>
      </w:r>
      <w:r w:rsidR="00D92F0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აზე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.</w:t>
      </w:r>
    </w:p>
    <w:p w14:paraId="33C44102" w14:textId="7CB3BACF" w:rsidR="009D3CF3" w:rsidRPr="001A6150" w:rsidRDefault="00D92F02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პირველადი საბოლოო წერტილი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(ლეტალური შედეგი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გულ-სისხლძარღვთა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დარღვევების გამო ან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ჰოსპიტალიზაცი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გულის უკმარისობ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ასთან დაკავშირებით)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აღენიშნებოდა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249 სუბიექტს (18.3%)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ჯგუფში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356 სუბიექტს (25.9%)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პლაცებოს ჯგუფში (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შრ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0.63; 95%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0.54-0.74, p &lt; 0.001). ეპლერენონის გავლენა პირველად საბოლოო წერტილ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შედეგებ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ზე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აღინიშებოდა სტაბილურად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ყველა წინასწარ განსაზღვრულ ქვეჯგუფში.</w:t>
      </w:r>
    </w:p>
    <w:p w14:paraId="0AFEADC4" w14:textId="396E5AA6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მეორადი საბოლოო წერტილი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(საერთო ლეტალობა)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აღენიშნებოდა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ჯგუფში 171 პაციენტს (12.5%) და 213 სუბიექტს 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(15.5%)  პლაცებოს ჯგუფში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(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შრ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0.76; 95%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br/>
        <w:t xml:space="preserve">0.62-0.93,  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р=0,008).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ლეტალური შედეგი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გულ-სისხლძარღვთა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სისტემის მხრიდან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B7092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დარვევების გამო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დაფიქსირებული იყო 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147 სუბიექტ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თან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(10.8%)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ჯგუფ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იდან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 185 სუბიექტ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თან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(13.5%) 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პლაცებოს ჯგუფ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იდან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შრ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0.76; 95%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0.61-0.93, P = 0.01).</w:t>
      </w:r>
      <w:r w:rsidR="00B7092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</w:p>
    <w:p w14:paraId="675CE8FB" w14:textId="3666CC6D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კვლევის 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განმავლობაში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ჰიპერკალიემია (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შრატ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კალიუმი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 დონე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&gt;5.5 მმოლ/ლ) </w:t>
      </w:r>
      <w:r w:rsidR="00F33E39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განუვითარდა</w:t>
      </w:r>
      <w:r w:rsidR="00F33E39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ჯგუფში 158 სუბიექტს (11.8%) და პლაცებოს ჯგუფში 96 სუბიექტს (7.2%)  (p &lt;0.001). ჰიპოკალიემია (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შრატ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კალიუმი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 დონე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&lt;4 მმოლ/ლ) </w:t>
      </w:r>
      <w:r w:rsidR="00F470F7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გამოვლინდა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ჯგუფში სტატისტიკურად მნიშვნელოვნად </w:t>
      </w:r>
      <w:r w:rsidR="00B7092D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უფრო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დაბალი სიხშირით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, ვიდრე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პლაცებოს ჯგუფ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(38.9% ეპლერენონის ჯგუფში და 48.4% პლაცებოს ჯგუფში, p &lt;0.0001).</w:t>
      </w:r>
    </w:p>
    <w:p w14:paraId="7262C889" w14:textId="77777777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ბავშვები.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გამოყენება გულის უკმარისობის მქონე ბავშვებში შესწავლილი არ არის.</w:t>
      </w:r>
    </w:p>
    <w:p w14:paraId="52B42A6D" w14:textId="34D1A01E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ჰიპერტენზიის მქონე 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ბავშვების მონაწილეობით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(4-16 წ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ლის ასაკის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, n=304) ჩატარებულ 10-კვირიან კვლევაში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 გამოყენება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25-100 მგ დოზით დღე</w:t>
      </w:r>
      <w:r w:rsidR="00F470F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ში, რა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ც 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იწვ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 </w:t>
      </w:r>
      <w:r w:rsidR="0002162F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ექსპოზიცია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, რომელიც ზრდასრუ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ლებ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ექსპოზიციის ანალოგიურია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არ აღმოჩნდა </w:t>
      </w:r>
      <w:r w:rsidR="0002162F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ეფექტურ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არტერიული წნევის </w:t>
      </w:r>
      <w:r w:rsidR="0002162F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და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წევა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 ამ კვლევაში და 5-17 წლის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ასაკის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149 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ბავშვის მონაწილეობით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 ჩატარებულ 1-წლიან</w:t>
      </w:r>
      <w:r w:rsidR="0002162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 ხანგრლივობის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უსაფრთხოების კვლევაში უსაფრთხოების პროფილი მსგავსი იყო მოზრდილებში დაფიქსირებული პროფილისა. ეპლერენონი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 გამოყენება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825C62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4 წლამდე ასაკის ჰიპერტენზიის მქონე 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ბავშვებში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არ არის შესწავლილი, 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ვინაიდ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ან უფროსი ასაკის ბავშვებში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lastRenderedPageBreak/>
        <w:t xml:space="preserve">ჩატარებულმა კვლევამ აჩვენა 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ამ პრეპარატის არა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ეფექტურობ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(იხ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. ნაწილი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„</w:t>
      </w:r>
      <w:r w:rsidR="00825C62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მიღების წესი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დოზ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ები“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).</w:t>
      </w:r>
    </w:p>
    <w:p w14:paraId="64CC7EC6" w14:textId="04CE9915" w:rsidR="009D3CF3" w:rsidRPr="001A6150" w:rsidRDefault="009D3CF3" w:rsidP="001A6150">
      <w:pPr>
        <w:widowControl/>
        <w:suppressAutoHyphens w:val="0"/>
        <w:autoSpaceDE/>
        <w:adjustRightInd w:val="0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კვლევები ბავშვების ჰორმონალურ სტატუსზე რაიმე (ხანგრძლივი) ზემოქმედების შესახებ</w:t>
      </w:r>
      <w:r w:rsidR="00825C6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825C62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არ ჩატარებულა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</w:t>
      </w:r>
      <w:r w:rsidR="00161C42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                                        </w:t>
      </w:r>
    </w:p>
    <w:p w14:paraId="14285058" w14:textId="77777777" w:rsidR="009D3CF3" w:rsidRPr="001A6150" w:rsidRDefault="009D3CF3" w:rsidP="001A6150">
      <w:pPr>
        <w:widowControl/>
        <w:suppressAutoHyphens w:val="0"/>
        <w:autoSpaceDE/>
        <w:adjustRightInd w:val="0"/>
        <w:rPr>
          <w:rFonts w:ascii="Sylfaen" w:hAnsi="Sylfaen"/>
          <w:bCs/>
          <w:i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>ფარმაკოკინეტიკა</w:t>
      </w:r>
    </w:p>
    <w:p w14:paraId="699EEE59" w14:textId="44B8B9BF" w:rsidR="009D3CF3" w:rsidRPr="001A6150" w:rsidRDefault="00511BAD" w:rsidP="001A6150">
      <w:pPr>
        <w:widowControl/>
        <w:suppressAutoHyphens w:val="0"/>
        <w:autoSpaceDE/>
        <w:adjustRightInd w:val="0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ka-GE" w:eastAsia="uk-UA"/>
        </w:rPr>
        <w:t>აბსორბცი</w:t>
      </w:r>
      <w:r w:rsidR="009D3CF3"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ა.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აბსოლუტური ბიოშეღწევადობა 100 მგ პერორალური დოზის შემდეგ შეადგენს 69%-ს.</w:t>
      </w:r>
    </w:p>
    <w:p w14:paraId="112AB6E2" w14:textId="1D1D8B2A" w:rsidR="009D3CF3" w:rsidRPr="001A6150" w:rsidRDefault="00740A0C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პრეპარატის მაქსიმალური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კონცენტრაცია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სისხლის პლაზმაში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მიიღწევა დაახლოებით 1.5-2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noBreakHyphen/>
        <w:t>საათის შემდეგ. მაქსიმალური კონცენტრაცი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 სისხლის პლაზმაში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(Cmax)</w:t>
      </w:r>
      <w:r w:rsidR="009D3CF3" w:rsidRPr="001A6150">
        <w:rPr>
          <w:rFonts w:ascii="Sylfaen" w:hAnsi="Sylfaen"/>
          <w:bCs/>
          <w:iCs/>
          <w:sz w:val="24"/>
          <w:szCs w:val="24"/>
          <w:vertAlign w:val="subscript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ფართობი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ფარმაკოკინეტიკური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მრუდის ქვეშ (AUC)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იცვლება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დოზის პროპორციულად 10-100მგ დიაპაზონში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და ნაკლებად </w:t>
      </w:r>
      <w:r w:rsidR="0019607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დოაზა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პროპორციულად 100 მგ-ზე მეტი დოზით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გამოყენ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ებისას. წონასწორული კონცენტრაცია მიიღწევა 2 დღის განმავლობაში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მკურნალობის დაწყებიდან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საკვები არ მოქმედებს პრეპარატის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აბსორბცი</w:t>
      </w:r>
      <w:r w:rsidR="009D3CF3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აზე.</w:t>
      </w:r>
    </w:p>
    <w:p w14:paraId="2EB6BAD1" w14:textId="6E5C1219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>განაწილება.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 დაახლოებით 50%-ით უკავშირდება პლაზმის ცილებს</w:t>
      </w:r>
      <w:r w:rsidR="00740A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ძირითადად </w:t>
      </w:r>
      <w:r w:rsidR="00740A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უკავშირდება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α-1-მჟავა გლიკოპროტეინებს. ეპლერენონის განაწილების აშკარა მოცულობა </w:t>
      </w:r>
      <w:r w:rsidR="00740A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წონასწორულ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მდგომარეობაში </w:t>
      </w:r>
      <w:r w:rsidR="00740A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განიხილება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დაახლოებით 42-90 ლიტრი</w:t>
      </w:r>
      <w:r w:rsidR="00740A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 ტოლად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 ეპლერენონ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არ 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სჩვევია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740A0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ერ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ითროციტებთან შეკავშირება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</w:t>
      </w:r>
    </w:p>
    <w:p w14:paraId="3329BF0A" w14:textId="2DF723D9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>ბიოტრანსფორმაცია.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მეტაბოლიზ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მი ხორციელდება უპირატესად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EB489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ფერმენტ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CYP3A4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-ის ხარჯზე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ადამიანის 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პლაზმაში ეპლერენონის აქტიური მეტაბოლიტები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EB489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არ არის აღმოჩენილი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</w:t>
      </w:r>
    </w:p>
    <w:p w14:paraId="6392B7AD" w14:textId="5DBD227A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გამოყოფა.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დოზის 5%-ზე ნაკლები გამოიყოფა შარდით და განავლით უცვლელი პრეპარატის სახით. 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პრეპარატის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რადიოაქტიური ნივთიერები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 მონიშნული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ერთჯერადი პერორალური დოზის 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მიღების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შემდეგ დოზის დაახლოებით 32% </w:t>
      </w:r>
      <w:r w:rsidR="00EB489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იქნა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გამოყოფ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განავლით და დაახლოებით 67%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გამოიყო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შარდ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ით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ეპლერენონის ნახევარგამოყოფის პერიოდი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შეადგენს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დაახლოებით 3-6 საათ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.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აშკარა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კლირენსი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პლაზმიდან უდრის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დაახლოებით 10 ლ/სთ.</w:t>
      </w:r>
    </w:p>
    <w:p w14:paraId="0E9D47E9" w14:textId="5815DCED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გამოყენება </w:t>
      </w:r>
      <w:r w:rsidR="004A0BA3" w:rsidRPr="001A6150">
        <w:rPr>
          <w:rFonts w:ascii="Sylfaen" w:hAnsi="Sylfaen"/>
          <w:bCs/>
          <w:iCs/>
          <w:sz w:val="24"/>
          <w:szCs w:val="24"/>
          <w:u w:val="single"/>
          <w:lang w:val="ka-GE" w:eastAsia="uk-UA"/>
        </w:rPr>
        <w:t>სპეციფიკურ</w:t>
      </w:r>
      <w:r w:rsidRPr="001A6150">
        <w:rPr>
          <w:rFonts w:ascii="Sylfaen" w:hAnsi="Sylfaen"/>
          <w:bCs/>
          <w:iCs/>
          <w:sz w:val="24"/>
          <w:szCs w:val="24"/>
          <w:u w:val="single"/>
          <w:lang w:val="ru-RU" w:eastAsia="uk-UA"/>
        </w:rPr>
        <w:t xml:space="preserve"> პოპულაციებში</w:t>
      </w:r>
    </w:p>
    <w:p w14:paraId="42DC63E0" w14:textId="67744E06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ასაკი, სქესი და რასა.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100 მგ დოზით დღე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ერთხელ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გამოყე</w:t>
      </w:r>
      <w:r w:rsidR="0009041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ბის</w:t>
      </w:r>
      <w:r w:rsidR="00090418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ფარმაკოკინეტიკური კვლევა ტარდ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ებოდ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სუბიექტების ისეთი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კატეგორიებ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მონაწილეობით, როგორიცაა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ხანდაზმული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 ასაკის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პაციენტები (65 წლის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და უფროსი ასაკის), მამრობითი სქესის პაციენტები, მდედრობითი სქესის პაციენტები და </w:t>
      </w:r>
      <w:r w:rsidR="004A0BA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ნეგროიდული რასის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პაციენტები.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პაციენტებს შორის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სქესი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დან</w:t>
      </w:r>
      <w:r w:rsidR="005A31CC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გამომდინარე </w:t>
      </w:r>
      <w:r w:rsidR="005A31CC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მნიშვნელოვანი განსხვავებები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ფარმაკოკინეტიკაში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არ დაფიქსირებულა. ხანდაზმულ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 ასაკის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სუბიექტებ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თან წონასწორულ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მდგომარეობაში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აღინიშნა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C </w:t>
      </w:r>
      <w:r w:rsidRPr="001A6150">
        <w:rPr>
          <w:rFonts w:ascii="Sylfaen" w:hAnsi="Sylfaen"/>
          <w:bCs/>
          <w:iCs/>
          <w:sz w:val="24"/>
          <w:szCs w:val="24"/>
          <w:vertAlign w:val="subscript"/>
          <w:lang w:val="ru-RU" w:eastAsia="uk-UA"/>
        </w:rPr>
        <w:t xml:space="preserve">max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(22%) და AUC (45%)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დონის მატება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უფრო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ახალგაზრდა პაციენტებთან (18-45 წლის) შედარებით.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ნეგროიდული რასის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სუბიექტებ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თან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წონასწორულ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მდგომარეობაში C </w:t>
      </w:r>
      <w:r w:rsidRPr="001A6150">
        <w:rPr>
          <w:rFonts w:ascii="Sylfaen" w:hAnsi="Sylfaen"/>
          <w:bCs/>
          <w:iCs/>
          <w:sz w:val="24"/>
          <w:szCs w:val="24"/>
          <w:vertAlign w:val="subscript"/>
          <w:lang w:val="ru-RU" w:eastAsia="uk-UA"/>
        </w:rPr>
        <w:t xml:space="preserve">max </w:t>
      </w:r>
      <w:r w:rsidR="005A31CC" w:rsidRPr="001A6150">
        <w:rPr>
          <w:rFonts w:ascii="Sylfaen" w:hAnsi="Sylfaen"/>
          <w:bCs/>
          <w:iCs/>
          <w:sz w:val="24"/>
          <w:szCs w:val="24"/>
          <w:vertAlign w:val="subscript"/>
          <w:lang w:val="ka-GE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იყო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19%-ით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ნაკლები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ხოლო AUC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-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26%-ით </w:t>
      </w:r>
      <w:r w:rsidR="005A31CC" w:rsidRPr="001A6150">
        <w:rPr>
          <w:rFonts w:ascii="Sylfaen" w:hAnsi="Sylfaen"/>
          <w:sz w:val="24"/>
          <w:szCs w:val="24"/>
          <w:lang w:val="ka-GE" w:eastAsia="uk-UA"/>
        </w:rPr>
        <w:t>ნაკლებ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(იხ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„</w:t>
      </w:r>
      <w:r w:rsidR="005A31C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მიღების წესი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დოზ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ები“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).</w:t>
      </w:r>
    </w:p>
    <w:p w14:paraId="1BF064FD" w14:textId="4C8B71F9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ბავშვები.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2 კვლევ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მიხედვით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, რომელშიც მონაწილეობდა 4-16 წლის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ასაკის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51 პაციენტი, ეპლერენონის კონცენტრაციების</w:t>
      </w:r>
      <w:r w:rsidR="005A31C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თვის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პოპულაციური ფარმაკოკინეტიკური მოდელის გამოყენებ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ით დადგინდა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რომ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პაციენტის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სხეულის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ას სტატისტიკურად მნიშვნელოვანი გავლენა ჰქონდა ეპლერენონის განაწილების მოცულობაზე, მაგრამ არა მის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გამოყოფ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აზე.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სავარაუდოა, რომ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განაწილების მოცულობა და პიკური ექსპოზიცია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უფრო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მაღალი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ის მქონე ბავშვებში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მსგავსი იქნება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იმისა, რომელიც აღინიშნრება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მსგავსი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ის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მქონე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ზრდასრუ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ლებში. 45 კგ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სხეულის მას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ის პაციენტებში განაწილების მოცულობა დაახლოებით 40%-ით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უფრო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დაბალია და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ივარაუდება, რომ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პიკური ექსპოზიცია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9F0186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იქნება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უფრო მაღალი, ვიდრე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ის, რომელიც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ჩვეულებრივ აღინიშნება 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ზრდასრუ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ლებში. ბავშვებ</w:t>
      </w:r>
      <w:r w:rsidR="009F0186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ში იყენებდნენ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ეპლერენონის 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საწყის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0A7014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დოზ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25 მგ  დღე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ში ერთხელ; 2 კვირის შემდეგ დოზა გაიზარდა 25 მგ-მდე დღე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2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ჯერ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, ხოლო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კლინიკურ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აუცილებლო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ბის შემთხვევაში </w:t>
      </w:r>
      <w:r w:rsidR="000A7014" w:rsidRPr="001A6150">
        <w:rPr>
          <w:rFonts w:ascii="Sylfaen" w:hAnsi="Sylfaen"/>
          <w:sz w:val="24"/>
          <w:szCs w:val="24"/>
          <w:lang w:val="ka-GE" w:eastAsia="uk-UA"/>
        </w:rPr>
        <w:t>-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50 მგ-მდე დღე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2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ჯერ. ა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სეთი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დოზების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გამოყენების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დროს ეპლერენონის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მაღალი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კონცენტრაცი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ები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ბავშვებში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lastRenderedPageBreak/>
        <w:t xml:space="preserve">მნიშვნელოვნად არ აღემატებოდა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იმ </w:t>
      </w:r>
      <w:r w:rsidR="000A7014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მაჩვენებლებს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, რომლებიც აღინიშნებოდა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ზრდასრულებში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საწყისი დოზის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50 მგ დღე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ში ერთხელ </w:t>
      </w:r>
      <w:r w:rsidR="000A7014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მიღებისას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</w:t>
      </w:r>
    </w:p>
    <w:p w14:paraId="705F04DD" w14:textId="219481E4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თირკმლის </w:t>
      </w:r>
      <w:r w:rsidR="000A7014" w:rsidRPr="001A6150">
        <w:rPr>
          <w:rFonts w:ascii="Sylfaen" w:hAnsi="Sylfaen"/>
          <w:bCs/>
          <w:i/>
          <w:sz w:val="24"/>
          <w:szCs w:val="24"/>
          <w:lang w:val="ka-GE" w:eastAsia="uk-UA"/>
        </w:rPr>
        <w:t>უკმარისობ</w:t>
      </w: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ა.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ეპლერენონის ფარმაკოკინეტიკა შეფასდა თირკმლის ფუნქციის </w:t>
      </w:r>
      <w:r w:rsidR="0062685F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სხვადასხვა ხარისხის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დარღვევის მქონე პაციენტებში და ჰემოდიალიზზე მყოფ პაციენტებში.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თირკმლის მძიმე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უკმარისობის მქონე პაციენტებში </w:t>
      </w:r>
      <w:r w:rsidR="0062685F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AUC და Cmax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წონასწორულ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მდგომარეობ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იყო მომატებული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შესაბამისად 38%-ით და 24%-ით საკონტროლო ჯგუფთან შედარებით. ჰემოდიალიზზე მყოფ პაციენტებში ეს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მაჩვენებლ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ები </w:t>
      </w:r>
      <w:r w:rsidR="00904266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შემცირებულია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შესაბამისად 26%-ით და 3%-ით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პაციენტების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საკონტროლო ჯგუფთან შედარებით. ეპლერენონის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პლაზმ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კლირენსსა და კრეატინინის კლირენსს შორის კორელაცია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გამოვლენილი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არ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ყოფი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ლა. ეპლერენონი არ გა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ნიდევნებ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 ჰემოდიალიზ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ის დახმარებ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ით (იხ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ნაწილი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„</w:t>
      </w:r>
      <w:r w:rsidR="0062685F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თავისებურებები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“).</w:t>
      </w:r>
    </w:p>
    <w:p w14:paraId="084A9304" w14:textId="7A04A8FA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ღვიძლის </w:t>
      </w:r>
      <w:r w:rsidR="0062685F" w:rsidRPr="001A6150">
        <w:rPr>
          <w:rFonts w:ascii="Sylfaen" w:hAnsi="Sylfaen"/>
          <w:bCs/>
          <w:i/>
          <w:sz w:val="24"/>
          <w:szCs w:val="24"/>
          <w:lang w:val="ka-GE" w:eastAsia="uk-UA"/>
        </w:rPr>
        <w:t>უკმარისობ</w:t>
      </w: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ა.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ფარმაკოკინეტიკა 400 მგ დოზით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მიღებისას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შესწავლილი იქნა ღვიძლის ზომიერი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დარღვევების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მქონე პაციენტებში (</w:t>
      </w:r>
      <w:r w:rsidR="0062685F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კლასი B 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ჩაილდ 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-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პიუს</w:t>
      </w:r>
      <w:r w:rsidR="0062685F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კლასიფიკაციის მიხედვით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) და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შედეგები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შედარებული იქნა ღვიძლის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ფუნქციის დარღვევის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არმქონე პაციენტებში მიღებულ შედეგებთან. ეპლერენონის C </w:t>
      </w:r>
      <w:r w:rsidRPr="001A6150">
        <w:rPr>
          <w:rFonts w:ascii="Sylfaen" w:hAnsi="Sylfaen"/>
          <w:bCs/>
          <w:iCs/>
          <w:sz w:val="24"/>
          <w:szCs w:val="24"/>
          <w:vertAlign w:val="subscript"/>
          <w:lang w:val="ru-RU" w:eastAsia="uk-UA"/>
        </w:rPr>
        <w:t xml:space="preserve">max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და AUC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წონასწორულ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მდგომარეობაში გაიზარდა შესაბამისად 3.6%-ით და 42%-ით (იხ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. ნაწილი „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მიღების წესი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და დოზები“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).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ვინაიდ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ან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კვლევები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 გამოყენების შესახებ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ღვიძლის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ფუნქციის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მძიმე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დარღვევე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ბის მქონე პაციენტებში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ჩატარებული არ არის,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ეპლერენონის 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დანიშვნა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ამ პაციენტებისთვის უკუნაჩვენებია (ი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ხ. ნაწილი „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უკუჩვენებები</w:t>
      </w:r>
      <w:r w:rsidR="00261E4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).</w:t>
      </w:r>
    </w:p>
    <w:p w14:paraId="2FF6B654" w14:textId="69E7A81F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ru-RU" w:eastAsia="uk-UA"/>
        </w:rPr>
        <w:t xml:space="preserve">გულის უკმარისობა. </w:t>
      </w:r>
      <w:r w:rsidR="000079A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გულის უკმარისობის მქონე პაციენტებში (</w:t>
      </w:r>
      <w:r w:rsidR="00EE3CC7" w:rsidRPr="001A6150">
        <w:rPr>
          <w:rFonts w:ascii="Sylfaen" w:hAnsi="Sylfaen"/>
          <w:bCs/>
          <w:iCs/>
          <w:sz w:val="24"/>
          <w:szCs w:val="24"/>
          <w:lang w:val="ru-RU" w:eastAsia="uk-UA"/>
        </w:rPr>
        <w:t>II-IV კლასები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0079A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NYHA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-ს კლასიფიკაციის მიხედვით</w:t>
      </w:r>
      <w:r w:rsidR="000079A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)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="00EE3CC7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ჩატარდა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ეპლერენონის ფარმაკოკინეტიკური კვლევა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, რომელიც გამოიყენებოდა </w:t>
      </w:r>
      <w:r w:rsidR="00EE3CC7" w:rsidRPr="001A6150">
        <w:rPr>
          <w:rFonts w:ascii="Sylfaen" w:hAnsi="Sylfaen"/>
          <w:bCs/>
          <w:iCs/>
          <w:sz w:val="24"/>
          <w:szCs w:val="24"/>
          <w:lang w:val="ru-RU" w:eastAsia="uk-UA"/>
        </w:rPr>
        <w:t>50 მგ დოზით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. </w:t>
      </w:r>
      <w:r w:rsidR="00EE3CC7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Cmax და AUC მაჩვენებლები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 წონასწორულ მდგომარეობაში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გულის უკმარისობის მქონე პაციენტებში 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იყო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შესაბამისად 38%-ით და 30%-ით </w:t>
      </w:r>
      <w:r w:rsidR="0098068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უფრო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მაღალი, ვიდრე </w:t>
      </w:r>
      <w:r w:rsidR="00EE3CC7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შესაბამის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ი </w:t>
      </w:r>
      <w:r w:rsidR="00EE3CC7"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ასაკის, წონისა და სქესის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ჯანმრთელ მოხალისეებში. 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ამ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შედეგები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ს თანახმად,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ეპლერენონის პოპულაციურ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ფარმაკოკინეტიკუ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ლი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 ანალიზ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, რომელიც ჩატარდა EPHESUS კვლევის პაციენტთა ქვეჯგუფში, </w:t>
      </w:r>
      <w:r w:rsidR="00EE3CC7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მოწმო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ბს, რომ ეპლერენონის კლირენსი გულის უკმარისობის მქონე პაციენტებში </w:t>
      </w:r>
      <w:r w:rsidR="0098068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არ განსხვავდებ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ა </w:t>
      </w:r>
      <w:r w:rsidR="0098068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ამ პრეპარატის </w:t>
      </w:r>
      <w:r w:rsidR="0098068C"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კლირენსისა</w:t>
      </w:r>
      <w:r w:rsidR="0098068C"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გან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ჯანმრთელ ხანდაზმულ მოხალისეებ</w:t>
      </w:r>
      <w:r w:rsidR="0098068C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.</w:t>
      </w:r>
    </w:p>
    <w:p w14:paraId="26BD7EFF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</w:p>
    <w:p w14:paraId="4EBDC53E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>კლინიკური მახასიათებლები</w:t>
      </w:r>
    </w:p>
    <w:p w14:paraId="6144B5BC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>ჩვენებები</w:t>
      </w:r>
    </w:p>
    <w:p w14:paraId="23FCE1D0" w14:textId="1E655F01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- </w:t>
      </w:r>
      <w:r w:rsidR="0098068C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β-ბლოკატორებით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სტანდარტულ</w:t>
      </w:r>
      <w:r w:rsidR="0098068C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მკურნალობ</w:t>
      </w:r>
      <w:r w:rsidR="0098068C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დამატება ავადობისა და </w:t>
      </w:r>
      <w:r w:rsidR="0098068C" w:rsidRPr="001A6150">
        <w:rPr>
          <w:rFonts w:ascii="Sylfaen" w:hAnsi="Sylfaen"/>
          <w:bCs/>
          <w:sz w:val="24"/>
          <w:szCs w:val="24"/>
          <w:lang w:val="ka-GE" w:eastAsia="uk-UA"/>
        </w:rPr>
        <w:t>ლეტალ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ობის რისკის შესამცირებ</w:t>
      </w:r>
      <w:r w:rsidR="0098068C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ლად, რომლებიც დაკავშირებულია გულ-სისხლძარღვთა დაავადებებთან, 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EC70D0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სტაბილურ პაციენტებში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მარცხენა პარკუჭის დისფუნქციი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(მარცხენა პარკუჭის განდევნის ფრაქცია ≤ 40%) და გულის უკმარისობის კლინიკური ნიშნებით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ახლახანს</w:t>
      </w:r>
      <w:r w:rsidR="00EC70D0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გადატანილი მიოკარდიუმის ინფარქტის შემდეგ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376FAD59" w14:textId="5EA1C19E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- სტანდარტულ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ოპტიმალურ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თერაპი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დამატება ავადობისა და 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ლეტალ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ობის რისკის შესამცირებლად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რომლებიც დაკავშირებულია გულ-სისხლძარღვთა დაავადებებთან, </w:t>
      </w:r>
      <w:r w:rsidR="00EC70D0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ზრდასრულ პაციენტებში 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NYHA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-ს კლასიფიკაციის მიხედვით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II კლასის (ქრონიკული) გულის უკმარისობი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 და მარცხენა პარკუჭის დისფუნქციი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(მარცხენა პარკუჭის განდევნის ფრაქცია ≤30%) (იხ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ნაწილი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color w:val="000000"/>
          <w:sz w:val="24"/>
          <w:szCs w:val="24"/>
          <w:lang w:val="ru-RU" w:eastAsia="ru-RU"/>
        </w:rPr>
        <w:t xml:space="preserve">"ფარმაკოლოგიური თვისებები"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5259FF6E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</w:p>
    <w:p w14:paraId="61A8FF78" w14:textId="77777777" w:rsidR="009D3CF3" w:rsidRPr="001A6150" w:rsidRDefault="009D3CF3" w:rsidP="001A6150">
      <w:pPr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>უკუჩვენებები</w:t>
      </w:r>
    </w:p>
    <w:p w14:paraId="2B5D76A3" w14:textId="34C91E42" w:rsidR="009D3CF3" w:rsidRPr="001A6150" w:rsidRDefault="009D3CF3" w:rsidP="001A6150">
      <w:pPr>
        <w:widowControl/>
        <w:suppressAutoHyphens w:val="0"/>
        <w:autoSpaceDE/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- მომატებული მგრძნობელობა 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მოქმედ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 ნივთიერების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ან 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ნებისმიერი</w:t>
      </w:r>
      <w:r w:rsidR="00EC70D0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დამხმარე ნივთიერების მიმართ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რომლებიც </w:t>
      </w:r>
      <w:r w:rsidR="00EC70D0" w:rsidRPr="001A6150">
        <w:rPr>
          <w:rFonts w:ascii="Sylfaen" w:hAnsi="Sylfaen"/>
          <w:bCs/>
          <w:sz w:val="24"/>
          <w:szCs w:val="24"/>
          <w:lang w:val="ru-RU" w:eastAsia="uk-UA"/>
        </w:rPr>
        <w:t>ჩამოთვლილი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 ნაწილში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„შემადგენლობ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“.</w:t>
      </w:r>
    </w:p>
    <w:p w14:paraId="3B9D0F1A" w14:textId="72AB1A4B" w:rsidR="009D3CF3" w:rsidRPr="001A6150" w:rsidRDefault="009D3CF3" w:rsidP="001A6150">
      <w:pPr>
        <w:widowControl/>
        <w:suppressAutoHyphens w:val="0"/>
        <w:autoSpaceDE/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- პაციენტები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სთვის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რომელთა </w:t>
      </w:r>
      <w:r w:rsidR="00EC70D0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შრატის კალიუმის დონე მკურნალობის დასაწყისში &gt;5 მმოლ/ლ-ია.</w:t>
      </w:r>
    </w:p>
    <w:p w14:paraId="135921A7" w14:textId="2D5A7474" w:rsidR="009D3CF3" w:rsidRPr="001A6150" w:rsidRDefault="009D3CF3" w:rsidP="001A6150">
      <w:pPr>
        <w:widowControl/>
        <w:suppressAutoHyphens w:val="0"/>
        <w:autoSpaceDE/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lastRenderedPageBreak/>
        <w:t>- პაციენტები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სთვის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თირკმლის მძიმე უკმარისობით (გორგლოვანი ფილტრაციის 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გამოთვლადი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სიჩქარე &lt;30 მლ/წთ/1.73 მ</w:t>
      </w:r>
      <w:r w:rsidRPr="001A6150">
        <w:rPr>
          <w:rFonts w:ascii="Sylfaen" w:hAnsi="Sylfaen"/>
          <w:bCs/>
          <w:sz w:val="24"/>
          <w:szCs w:val="24"/>
          <w:vertAlign w:val="superscript"/>
          <w:lang w:val="ru-RU" w:eastAsia="uk-UA"/>
        </w:rPr>
        <w:t>2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5D6CC8E6" w14:textId="0B9A4FBA" w:rsidR="009D3CF3" w:rsidRPr="001A6150" w:rsidRDefault="009D3CF3" w:rsidP="001A6150">
      <w:pPr>
        <w:widowControl/>
        <w:suppressAutoHyphens w:val="0"/>
        <w:autoSpaceDE/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- პაციენტები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სთვის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ღვიძლის მძიმე უკმარისობით </w:t>
      </w:r>
      <w:r w:rsidR="00C86511" w:rsidRPr="001A6150">
        <w:rPr>
          <w:rFonts w:ascii="Sylfaen" w:hAnsi="Sylfaen"/>
          <w:bCs/>
          <w:sz w:val="24"/>
          <w:szCs w:val="24"/>
          <w:lang w:val="ru-RU" w:eastAsia="uk-UA"/>
        </w:rPr>
        <w:t>(C კლასი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ჩაილდ-პიუს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კლასიფიკაციის მიხედვით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31641977" w14:textId="5C2826BF" w:rsidR="009D3CF3" w:rsidRPr="001A6150" w:rsidRDefault="009D3CF3" w:rsidP="001A6150">
      <w:pPr>
        <w:widowControl/>
        <w:suppressAutoHyphens w:val="0"/>
        <w:autoSpaceDE/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- პაციენტები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სთვის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რომლებიც ღებ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ულობ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ენ კალიუმის დამზოგავ 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დიურეზულ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ებს ან </w:t>
      </w:r>
      <w:r w:rsidR="00C86511" w:rsidRPr="001A6150">
        <w:rPr>
          <w:rFonts w:ascii="Sylfaen" w:hAnsi="Sylfaen"/>
          <w:bCs/>
          <w:sz w:val="24"/>
          <w:szCs w:val="24"/>
          <w:lang w:val="ru-RU" w:eastAsia="uk-UA"/>
        </w:rPr>
        <w:t>CYP 3A4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-ის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ძლიერ ინჰიბიტორებს (მაგ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ალითად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იტრაკონაზოლ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კეტოკონაზოლ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რიტონავირ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ნელფინავირ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კლარითრომიცინ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ტელითრომიცინ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 ნეფაზოდონ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 (იხ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. ნაწილი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„ურთიერთქმედება სხვა სამკურნალო საშუალებებთან და ურთიერთქმედების სხვა ფორმები“).</w:t>
      </w:r>
    </w:p>
    <w:p w14:paraId="6831B202" w14:textId="0952BB43" w:rsidR="009D3CF3" w:rsidRPr="001A6150" w:rsidRDefault="009D3CF3" w:rsidP="001A6150">
      <w:pPr>
        <w:widowControl/>
        <w:suppressAutoHyphens w:val="0"/>
        <w:autoSpaceDE/>
        <w:autoSpaceDN w:val="0"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- ეპლერენონის </w:t>
      </w:r>
      <w:r w:rsidR="00C86511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ერთდროული გამოყენება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სამმაგ კომბინაცი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>აში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აგფ ინჰიბიტორთან და ანგიოტენზინის რეცეპტორების ბლოკატორთან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ერთად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  <w:r w:rsidR="00C8651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</w:p>
    <w:p w14:paraId="5586F761" w14:textId="77777777" w:rsidR="009D3CF3" w:rsidRPr="001A6150" w:rsidRDefault="009D3CF3" w:rsidP="001A6150">
      <w:pPr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ru-RU" w:eastAsia="uk-UA"/>
        </w:rPr>
      </w:pPr>
    </w:p>
    <w:p w14:paraId="35CD195C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/>
          <w:bCs/>
          <w:i/>
          <w:sz w:val="24"/>
          <w:szCs w:val="24"/>
          <w:lang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 xml:space="preserve">ურთიერთქმედება სხვა სამკურნალო საშუალებებთან </w:t>
      </w:r>
      <w:r w:rsidRPr="001A6150">
        <w:rPr>
          <w:rFonts w:ascii="Sylfaen" w:hAnsi="Sylfaen"/>
          <w:b/>
          <w:bCs/>
          <w:i/>
          <w:sz w:val="24"/>
          <w:szCs w:val="24"/>
          <w:lang w:eastAsia="uk-UA"/>
        </w:rPr>
        <w:t>და სხვა სახის ურთიერთქმედებები</w:t>
      </w:r>
    </w:p>
    <w:p w14:paraId="18529F16" w14:textId="3BC626AC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u w:val="single"/>
          <w:lang w:val="en-US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ფარმაკოდინამიკური ურთიერთქმედებები</w:t>
      </w:r>
      <w:r w:rsidR="00FE0BCA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 xml:space="preserve">                                                    </w:t>
      </w:r>
    </w:p>
    <w:p w14:paraId="34ADDF77" w14:textId="3E9B2972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კალიუმის დამზოგავი შარდმდენები და კალიუმის</w:t>
      </w:r>
      <w:r w:rsidR="002963B2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 შემცველი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 დანამატები.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ეპლერენონი არ უნდა დაენიშნოს პაციენტებს, რომლებიც იღებენ სხვა კალიუმის დამზოგავ შარდმდენ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პრეპარატ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ებს ან კალიუმის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შემცველ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დანამატებს ჰიპერკალიემიის მომატებული რისკის გამო (იხ.</w:t>
      </w:r>
      <w:r w:rsidR="00631A6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პუნქტი 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უკუჩვენებები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 კალიუმის დამზოგავ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შარდმდენ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ი პრეპარატ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ის გავლენით ასევე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შეიძლება გაძლიე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რდეს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ჰიპ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ო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ტენზიული 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პრეპარა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ტების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 სხვა შარდმდენ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ი საშუალებ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ების 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მოქმედება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  <w:r w:rsidR="00FE0BC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              </w:t>
      </w:r>
    </w:p>
    <w:p w14:paraId="0D62B538" w14:textId="6191D394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აგფ ინჰიბიტორები, ანგიოტენზინის რეცეპტორების ბლოკატორები.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ეპლერენონი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გამოიყენებ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ისას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აგფ ინჰიბიტორთან და/ან ანგიოტენზინის რეცეპტორების ბლოკატორთან 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>კომბინაციაში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2963B2" w:rsidRPr="001A6150">
        <w:rPr>
          <w:rFonts w:ascii="Sylfaen" w:hAnsi="Sylfaen"/>
          <w:bCs/>
          <w:sz w:val="24"/>
          <w:szCs w:val="24"/>
          <w:lang w:val="ru-RU" w:eastAsia="uk-UA"/>
        </w:rPr>
        <w:t>ჰიპერკალიემიის რისკი</w:t>
      </w:r>
      <w:r w:rsidR="002963B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შეიძლება გაიზარდოს. რეკომენდებულია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შრატში კალიუმის დონის და თირკმლის ფუნქციის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მაჩვანებლების გულდასმითი კონტროლის განხორციელება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განსაკუთრებით თირკმლის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ფუნქციის დარღვევის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რისკის მქონე პაციენტებში,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მაგალითად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ხანდაზმულ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ი ასაკის პაციენტ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შ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ი. ეპლერენონი არ უნდა იქნას გამოყენებული ერთდროულად სამმაგ კომბინაციაში აგფ ინჰიბიტორთან და ანგიოტენზინის რეცეპტორების ბლოკატორთან (იხ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ნაწილები "უკუჩვენებები" 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"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>"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1ECEE8C8" w14:textId="1A74D4BC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color w:val="FF0000"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ლითიუმი.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ეპლერენონსა და ლითიუმს შორის ურთიერთქმედების კვლევები არ ჩატარებულა. თუმცა,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იყო აღწერილი </w:t>
      </w:r>
      <w:r w:rsidR="004D48F3" w:rsidRPr="001A6150">
        <w:rPr>
          <w:rFonts w:ascii="Sylfaen" w:hAnsi="Sylfaen"/>
          <w:bCs/>
          <w:sz w:val="24"/>
          <w:szCs w:val="24"/>
          <w:lang w:val="ru-RU" w:eastAsia="uk-UA"/>
        </w:rPr>
        <w:t>ლითიუმის ტოქსიკურ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ი ზემოქმედე</w:t>
      </w:r>
      <w:r w:rsidR="004D48F3" w:rsidRPr="001A6150">
        <w:rPr>
          <w:rFonts w:ascii="Sylfaen" w:hAnsi="Sylfaen"/>
          <w:bCs/>
          <w:sz w:val="24"/>
          <w:szCs w:val="24"/>
          <w:lang w:val="ru-RU" w:eastAsia="uk-UA"/>
        </w:rPr>
        <w:t>ბის შემთხვევები პაციენტებში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,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რომლებიც იღებდნენ ლითიუმს აგფ ინჰიბიტორებთან და შარდმდენებთან </w:t>
      </w:r>
      <w:r w:rsidR="004D48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ერთდროულად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(ი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ხ.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4D48F3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თავისებურობ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). თავიდან უნდა იქნას აცილებული ეპლერენონისა და ლითიუმის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პრეპარატების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ერთდროული გამოყენება. თუ ამ კომბინაციის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გამოყენების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თავიდან აცილება შეუძლებელია,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აუცილებელია სისხლის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პლაზმაში ლითიუმის დონის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კონტროლ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 (იხ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. 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ებები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02C5066B" w14:textId="0901218B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ციკლოსპორინი, ტაკროლიმუსი.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ციკლოსპორინმა და ტაკროლიმუსმა შეიძლება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გამოიწვი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ონ თირკმლის ფუნქცი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ის დარღვევ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 და გაზარდონ ჰიპერკალიემიის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განვითარების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რისკი. თავი უნდა ა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არიდო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ეპლერენონისა და ციკლოსპორინის ან ტაკროლიმუსის ერთდროულ გამოყენებას. ეპლერენონით მკურნალობის დროს  ციკლოსპორინისა და ტაკროლიმუსის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დანიშვნის </w:t>
      </w:r>
      <w:r w:rsidR="000D0D46" w:rsidRPr="001A6150">
        <w:rPr>
          <w:rFonts w:ascii="Sylfaen" w:hAnsi="Sylfaen"/>
          <w:bCs/>
          <w:sz w:val="24"/>
          <w:szCs w:val="24"/>
          <w:lang w:val="ru-RU" w:eastAsia="uk-UA"/>
        </w:rPr>
        <w:t>აუცილებელ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ობის შემთხვევაში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რეკომენდებულია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სისხლის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შრატ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კალიუმის დონის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გულდასმითი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კონტროლ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 (იხ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. 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5B93EE77" w14:textId="46A9E953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არასტეროიდული ანთების საწინააღმდეგო პრეპარატები (</w:t>
      </w:r>
      <w:r w:rsidR="000D0D46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აასპ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).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თირკმლის მწვავე უკმარისობა შეიძლება განვითარდეს რისკის ჯგუფის პაციენტებში (ხანდაზმულ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ი ასაკის პირ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ები,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პირები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გაუწყლო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>ვანებით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</w:t>
      </w:r>
      <w:r w:rsidR="000D0D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იმათთან, ვინც იყენებს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დიურეზულებს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და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პირებს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თირკმლის ფუნქციის დარღვევ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ებით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) </w:t>
      </w:r>
      <w:r w:rsidR="00631A6D" w:rsidRPr="001A6150">
        <w:rPr>
          <w:rFonts w:ascii="Sylfaen" w:hAnsi="Sylfaen"/>
          <w:bCs/>
          <w:sz w:val="24"/>
          <w:szCs w:val="24"/>
          <w:lang w:val="ka-GE" w:eastAsia="uk-UA"/>
        </w:rPr>
        <w:t>გორგლოვანი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ფილტრაციის შემცირების გამო (არასტეროიდული ანთების საწინააღმდეგო პრეპარატების მიერ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სისხლძარღვების გამაფართოებელ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 პროსტაგლანდინების ინჰიბირება). ეს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ზემოქმედება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როგორც წესი, შექცევადია. გარდა ამისა, შესაძლებელია ანტიჰიპერტენზიული ეფექტის შემცირება. უნდა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იქნას ჩატარებული </w:t>
      </w:r>
      <w:r w:rsidR="00CA7DD2" w:rsidRPr="001A6150">
        <w:rPr>
          <w:rFonts w:ascii="Sylfaen" w:hAnsi="Sylfaen"/>
          <w:bCs/>
          <w:sz w:val="24"/>
          <w:szCs w:val="24"/>
          <w:lang w:val="ru-RU" w:eastAsia="uk-UA"/>
        </w:rPr>
        <w:t>პაციენტებ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ჰიდრატაცია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და გაკონტროლ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ებული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თირკმლის ფუნქცია მკურნალობის დასაწყისში და </w:t>
      </w:r>
      <w:r w:rsidR="00CA7DD2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რეგულარულად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lastRenderedPageBreak/>
        <w:t>კომბინირებული თერაპიის დროს (იხ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ნაწილები "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მიღების წესი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CA7DD2" w:rsidRPr="001A6150">
        <w:rPr>
          <w:rFonts w:ascii="Sylfaen" w:hAnsi="Sylfaen"/>
          <w:bCs/>
          <w:sz w:val="24"/>
          <w:szCs w:val="24"/>
          <w:lang w:val="ru-RU" w:eastAsia="uk-UA"/>
        </w:rPr>
        <w:t>და დოზ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ები</w:t>
      </w:r>
      <w:r w:rsidR="00CA7DD2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" და "გამოყენების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ები").</w:t>
      </w:r>
    </w:p>
    <w:p w14:paraId="553042E4" w14:textId="3E5CEFF1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ტრიმეტოპრიმი.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ტრიმეტოპრიმისა და ეპლერენონის ერთდროული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დანიშვნ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 ზრდის ჰიპერკალიემიის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განვითარების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რისკს. უნდა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გაკონტროლებული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CA7DD2" w:rsidRPr="001A6150">
        <w:rPr>
          <w:rFonts w:ascii="Sylfaen" w:hAnsi="Sylfaen"/>
          <w:bCs/>
          <w:sz w:val="24"/>
          <w:szCs w:val="24"/>
          <w:lang w:val="ru-RU" w:eastAsia="uk-UA"/>
        </w:rPr>
        <w:t>კალიუმის დონ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 სისხლის </w:t>
      </w:r>
      <w:r w:rsidR="00CA7DD2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შრატ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 თირკმლის ფუნქციის 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>მაჩვენებლები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განსაკუთრებით ხანდაზმულ</w:t>
      </w:r>
      <w:r w:rsidR="00CA7DD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 ასაკის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პაციენტებში და თირკმლის ფუნქციის დარღვევის მქონე პაციენტებში.</w:t>
      </w:r>
    </w:p>
    <w:p w14:paraId="378318BE" w14:textId="7BC5181C" w:rsidR="009D3CF3" w:rsidRPr="001A6150" w:rsidRDefault="00CA7DD2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α</w:t>
      </w:r>
      <w:r w:rsidR="009D3CF3" w:rsidRPr="001A6150">
        <w:rPr>
          <w:rFonts w:ascii="Sylfaen" w:hAnsi="Sylfaen"/>
          <w:bCs/>
          <w:i/>
          <w:iCs/>
          <w:sz w:val="24"/>
          <w:szCs w:val="24"/>
          <w:vertAlign w:val="subscript"/>
          <w:lang w:val="ru-RU" w:eastAsia="uk-UA"/>
        </w:rPr>
        <w:t>1-</w:t>
      </w:r>
      <w:r w:rsidR="009D3CF3"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ბლოკატორები (მაგ</w:t>
      </w:r>
      <w:r w:rsidR="00261F15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ალითად</w:t>
      </w:r>
      <w:r w:rsidR="009D3CF3"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, პრაზოზინი, ალფუზოზინი). </w:t>
      </w:r>
      <w:r w:rsidR="00261F15"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α</w:t>
      </w:r>
      <w:r w:rsidR="009D3CF3" w:rsidRPr="001A6150">
        <w:rPr>
          <w:rFonts w:ascii="Sylfaen" w:hAnsi="Sylfaen"/>
          <w:bCs/>
          <w:sz w:val="24"/>
          <w:szCs w:val="24"/>
          <w:vertAlign w:val="subscript"/>
          <w:lang w:val="ru-RU" w:eastAsia="uk-UA"/>
        </w:rPr>
        <w:t>1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-ბლოკატორებისა და ეპლერენონის</w:t>
      </w:r>
      <w:r w:rsidR="009D3CF3" w:rsidRPr="001A6150">
        <w:rPr>
          <w:rFonts w:ascii="Sylfaen" w:hAnsi="Sylfaen"/>
          <w:bCs/>
          <w:sz w:val="24"/>
          <w:szCs w:val="24"/>
          <w:vertAlign w:val="subscript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კომბინირების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დროს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არსებობს ჰიპოტენზიური ეფექტის გაძლიერების და/ან ორთოსტატული ჰიპოტენზიის განვითარების 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შესაძლებლობა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. </w:t>
      </w:r>
      <w:r w:rsidR="00261F15" w:rsidRPr="001A6150">
        <w:rPr>
          <w:rFonts w:ascii="Sylfaen" w:hAnsi="Sylfaen"/>
          <w:bCs/>
          <w:sz w:val="24"/>
          <w:szCs w:val="24"/>
          <w:lang w:val="ru-RU" w:eastAsia="uk-UA"/>
        </w:rPr>
        <w:t>α</w:t>
      </w:r>
      <w:r w:rsidR="009D3CF3" w:rsidRPr="001A6150">
        <w:rPr>
          <w:rFonts w:ascii="Sylfaen" w:hAnsi="Sylfaen"/>
          <w:bCs/>
          <w:sz w:val="24"/>
          <w:szCs w:val="24"/>
          <w:vertAlign w:val="subscript"/>
          <w:lang w:val="ru-RU" w:eastAsia="uk-UA"/>
        </w:rPr>
        <w:t xml:space="preserve">1-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ბლოკატორების ერთდროული გამოყენებისას 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საჭიროა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პაციენტები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ს კლინიკური მდგომარეობის გაკონტროლება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 ორთოსტატული ჰიპოტენზი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ასთან დაკავშირებით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3B590ACA" w14:textId="3543A113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ტრიციკლური ანტიდეპრესანტები, </w:t>
      </w:r>
      <w:r w:rsidR="00261F15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ნეიროლეპტიკ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ები, ამიფოსტინი</w:t>
      </w:r>
      <w:r w:rsidR="003D33F7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, 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ბაკლოფენი.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ამ 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სამკურნალო საშუალებ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ების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ეპლერენონ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ერთ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დროულ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ად გამოყენება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ს პოტენციურად შეუძლია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გააძლიეროს ჰიპოტენზიური 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მოქმედება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 გაზარდოს ორთოსტატული ჰიპოტენზიის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განვითარების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რისკი.</w:t>
      </w:r>
    </w:p>
    <w:p w14:paraId="61FFB216" w14:textId="61EB463D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გლუკოკორტიკოიდები, ტეტრაკოზაქტიდი. 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ამ სამკურნალო საშუალებ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ები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სა და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ეპლერენონ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ერთ</w:t>
      </w:r>
      <w:r w:rsidR="00261F15" w:rsidRPr="001A6150">
        <w:rPr>
          <w:rFonts w:ascii="Sylfaen" w:hAnsi="Sylfaen"/>
          <w:bCs/>
          <w:sz w:val="24"/>
          <w:szCs w:val="24"/>
          <w:lang w:val="ka-GE" w:eastAsia="uk-UA"/>
        </w:rPr>
        <w:t>დროულ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ად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დანიშვნისას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არსებობს ჰიპოტენზიური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მოქმედებ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ის შე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სუსტ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ების პოტენციალი სითხისა და ნატრიუმის შეკავების გამო.</w:t>
      </w:r>
    </w:p>
    <w:p w14:paraId="295FD381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ფარმაკოკინეტიკური ურთიერთქმედებები.</w:t>
      </w:r>
    </w:p>
    <w:p w14:paraId="5C41C9B6" w14:textId="46C848E6" w:rsidR="009D3CF3" w:rsidRPr="001A6150" w:rsidRDefault="00F66FDE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en-US" w:eastAsia="uk-UA"/>
        </w:rPr>
        <w:t>In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 </w:t>
      </w:r>
      <w:proofErr w:type="gramStart"/>
      <w:r w:rsidRPr="001A6150">
        <w:rPr>
          <w:rFonts w:ascii="Sylfaen" w:hAnsi="Sylfaen"/>
          <w:bCs/>
          <w:i/>
          <w:iCs/>
          <w:sz w:val="24"/>
          <w:szCs w:val="24"/>
          <w:lang w:val="en-US" w:eastAsia="uk-UA"/>
        </w:rPr>
        <w:t>vitro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კვლევები</w:t>
      </w:r>
      <w:proofErr w:type="gramEnd"/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მ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ოწმობენ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, რომ ეპლერენონი არ არის CYP1A2, CYP2C19, CYP2C9, CYP2D6 ან CYP3A4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იზოფერმენტების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ინჰიბიტორი. ეპლერენონი არ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წარმოადგენ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ს P-გლიკოპროტეინის სუბსტრატ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ან ინჰიბიტორ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62E440C1" w14:textId="70DC4B70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დიგოქსინი.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დიგოქსინის სისტემური ექსპოზიცი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(AUC)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დონე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F66FDE" w:rsidRPr="001A6150">
        <w:rPr>
          <w:rFonts w:ascii="Sylfaen" w:hAnsi="Sylfaen"/>
          <w:bCs/>
          <w:sz w:val="24"/>
          <w:szCs w:val="24"/>
          <w:lang w:val="ru-RU" w:eastAsia="uk-UA"/>
        </w:rPr>
        <w:t>ეპლერენონთან ერთ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დროულ</w:t>
      </w:r>
      <w:r w:rsidR="00F66FDE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ად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</w:t>
      </w:r>
      <w:r w:rsidR="00F66FDE" w:rsidRPr="001A6150">
        <w:rPr>
          <w:rFonts w:ascii="Sylfaen" w:hAnsi="Sylfaen"/>
          <w:bCs/>
          <w:sz w:val="24"/>
          <w:szCs w:val="24"/>
          <w:lang w:val="ru-RU" w:eastAsia="uk-UA"/>
        </w:rPr>
        <w:t>ებისას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იზრდება 16%-ით (90% </w:t>
      </w:r>
      <w:r w:rsidR="003D33F7" w:rsidRPr="001A6150">
        <w:rPr>
          <w:rFonts w:ascii="Sylfaen" w:hAnsi="Sylfaen"/>
          <w:bCs/>
          <w:sz w:val="24"/>
          <w:szCs w:val="24"/>
          <w:lang w:val="ka-GE" w:eastAsia="uk-UA"/>
        </w:rPr>
        <w:t>ნი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4-30%). </w:t>
      </w:r>
      <w:r w:rsidR="00F66FDE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დიგოქსინი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სიფრთხილ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ით უნდა იქნას დანიშნული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დოზებში, რომლებიც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თერაპიული დიაპაზონის ზედა ზღვართან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აა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მიახლოებული.</w:t>
      </w:r>
    </w:p>
    <w:p w14:paraId="69950CB2" w14:textId="103341BB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ვარფარინი.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ვარფარინთან კლინიკურად მნიშვნელოვანი ფარმაკოკინეტიკური ურთიერთქმედება ა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ღწერილი არ არის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. ვარფარინი სიფრთხილით უნდა იქნას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დანიშნ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ული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დოზებით, რომლებიც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თერაპიული დიაპაზონის ზედა ზღვართან მიახლოებული.</w:t>
      </w:r>
    </w:p>
    <w:p w14:paraId="1614E7AD" w14:textId="75607D8C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CYP3A4 სუბსტრატები.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CYP3A4 </w:t>
      </w:r>
      <w:r w:rsidR="00F66FDE" w:rsidRPr="001A6150">
        <w:rPr>
          <w:rFonts w:ascii="Sylfaen" w:hAnsi="Sylfaen"/>
          <w:bCs/>
          <w:sz w:val="24"/>
          <w:szCs w:val="24"/>
          <w:lang w:val="ka-GE" w:eastAsia="uk-UA"/>
        </w:rPr>
        <w:t>ნიმუშების-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სუბსტრატების (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ესე იგი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მიდაზოლამის და ცისაპრიდის) ფარმაკოკინეტიკური კვლევების შედეგებმა არ გამოავლინა მნიშვნელოვანი ფარმაკოკინეტიკური ურთიერთქმედების ნიშნები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ამ საშუალებებისა და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ეპლერენონ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ერთ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დროულ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ად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დროს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3B08979D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i/>
          <w:i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CYP3A4 ინჰიბიტორები</w:t>
      </w:r>
    </w:p>
    <w:p w14:paraId="53AD2B9D" w14:textId="67520ACB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- 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CYP3A4 ძლიერი ინჰიბიტორები.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ეპლერენონისა და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იმ საშუალებების ერთდროული გამოყენება, რომლებიც თრგუნავენ ფერმენტ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CYP3A4-ის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აქტივობას,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მოსალ</w:t>
      </w:r>
      <w:r w:rsidR="003D33F7" w:rsidRPr="001A6150">
        <w:rPr>
          <w:rFonts w:ascii="Sylfaen" w:hAnsi="Sylfaen"/>
          <w:bCs/>
          <w:sz w:val="24"/>
          <w:szCs w:val="24"/>
          <w:lang w:val="ka-GE" w:eastAsia="uk-UA"/>
        </w:rPr>
        <w:t>ო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დნელია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გამოხატული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ფარმაკოკინეტიკური ურთიერთქმედებები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 განვითარება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 CYP3A4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-ის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ძლიერი ინჰიბიტორი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(კეტოკონაზოლი 200 მგ დღე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ში ორჯერ)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ზემოქმედების ქვეშ </w:t>
      </w:r>
      <w:r w:rsidR="00BE7A8D" w:rsidRPr="001A6150">
        <w:rPr>
          <w:rFonts w:ascii="Sylfaen" w:hAnsi="Sylfaen"/>
          <w:bCs/>
          <w:sz w:val="24"/>
          <w:szCs w:val="24"/>
          <w:lang w:val="ru-RU" w:eastAsia="uk-UA"/>
        </w:rPr>
        <w:t>ეპლერენონის AUC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ზრდ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441%-ით (იხ. 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ნაწილი „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უკუჩვენებები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 ეპლერენონისა და CYP3A4 ძლიერი ინჰიბიტორების (კეტოკონაზოლი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იტრაკონაზოლი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რიტონავირი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ნელფინავირი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კლარითრომიცინი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ტელითრომიცინი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 ნეფაზოდონი</w:t>
      </w:r>
      <w:r w:rsidR="00BE7A8D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) ერთდროული გამოყენება უკუნაჩვენებია (იხ. 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ნაწილი „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უკუჩვენებები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356F0E1D" w14:textId="574C8DE8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- 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CYP3A4</w:t>
      </w:r>
      <w:r w:rsidR="00C0513F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-ს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სუსტი და საშუალო სი</w:t>
      </w:r>
      <w:r w:rsidR="00C0513F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ძლიერ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ის ინჰიბიტორები.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ერითრომიცინთან, საქვინავირთან, ამიოდარონთან, დილთიაზემთან, ვერაპამილთან ან ფლუკონაზოლთან ერთდროული გამოყენებ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ა იწვევდა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გამოხატულ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ფარმაკოკინეტიკურ ურთიერთქმედებ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ებს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AUC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-ის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დონ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ეებ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ის </w:t>
      </w:r>
      <w:r w:rsidR="00C0513F" w:rsidRPr="001A6150">
        <w:rPr>
          <w:rFonts w:ascii="Sylfaen" w:hAnsi="Sylfaen"/>
          <w:bCs/>
          <w:sz w:val="24"/>
          <w:szCs w:val="24"/>
          <w:lang w:val="ru-RU" w:eastAsia="uk-UA"/>
        </w:rPr>
        <w:t>გაზრდით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98-187%-ით. ამიტომ, ეპლერენონის CYP3A4 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-ის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სუსტ ან საშუალო სი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ძლიერის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ინჰიბიტორებთან ერთ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დროულ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ად მიღებისას ეპლერენონის დოზა არ უნდა აღემატებოდეს 25 მგ-ს დღ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ე-ღამ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ეში (იხილეთ 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„მიღების წესი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C0513F" w:rsidRPr="001A6150">
        <w:rPr>
          <w:rFonts w:ascii="Sylfaen" w:hAnsi="Sylfaen"/>
          <w:bCs/>
          <w:sz w:val="24"/>
          <w:szCs w:val="24"/>
          <w:lang w:val="ru-RU" w:eastAsia="uk-UA"/>
        </w:rPr>
        <w:t>და დოზ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ები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“).</w:t>
      </w:r>
    </w:p>
    <w:p w14:paraId="007D2D7B" w14:textId="482BE0C0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lastRenderedPageBreak/>
        <w:t>CYP3A4</w:t>
      </w:r>
      <w:r w:rsidR="003D33F7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-ის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 ინდუქტორები.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ეპლერენონისა და კრაზანას (CYP3A4 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-ის </w:t>
      </w:r>
      <w:r w:rsidR="00C0513F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ძლიერი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ინდუქტორი) ერთდროული გამოყენება იწვევს ეპლერენონის AUC-ის შემცირებას </w:t>
      </w:r>
      <w:r w:rsidR="00C0513F" w:rsidRPr="001A6150">
        <w:rPr>
          <w:rFonts w:ascii="Sylfaen" w:hAnsi="Sylfaen"/>
          <w:bCs/>
          <w:sz w:val="24"/>
          <w:szCs w:val="24"/>
          <w:lang w:val="ru-RU" w:eastAsia="uk-UA"/>
        </w:rPr>
        <w:t>30%-ით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. CYP3A4 -ის 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უფრო ძლიერ</w:t>
      </w:r>
      <w:r w:rsidR="00C0513F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ინდუქტორებ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(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>ისეთების, როგორიცაა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რიფამპინი)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გამოყენებამ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შეიძლება გამოიწვიონ ეპლერენონის AUC-ის უფრო გამოხატული შემცირება. ეპლერენონის ეფექტურობის შემცირების რისკის გამო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ამ პრეპარატთან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CYP3A4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>-ს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ძლიერი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ინდუქტორებ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(რიფამპინი, კარბამაზეპინი, ფენიტოინი, ფენობარბიტალი, კრაზანა) ერთდროული გამოყენება არ არის რეკომენდებული (იხ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>.  ნაწილი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„ </w:t>
      </w:r>
      <w:r w:rsidR="0095302A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).</w:t>
      </w:r>
    </w:p>
    <w:p w14:paraId="5D466AF9" w14:textId="6FD4B3AD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ანტაციდები.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კლინიკური ფარმაკოკინეტიკური კვლევის შედეგების 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გათვალისწინებით, 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ეპლერენონისა და ანტაციდ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>ური პრეპრატ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ების ერთდროული გამოყენებისას მნიშვნელოვანი ურთიერთქმედება 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არ არის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მოსალოდნელი.</w:t>
      </w:r>
    </w:p>
    <w:p w14:paraId="7182C180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</w:p>
    <w:p w14:paraId="40463825" w14:textId="1CCFA8EB" w:rsidR="009D3CF3" w:rsidRPr="001A6150" w:rsidRDefault="003871A4" w:rsidP="001A6150">
      <w:pPr>
        <w:suppressAutoHyphens w:val="0"/>
        <w:autoSpaceDE/>
        <w:adjustRightInd w:val="0"/>
        <w:jc w:val="both"/>
        <w:rPr>
          <w:rFonts w:ascii="Sylfaen" w:hAnsi="Sylfaen"/>
          <w:b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გამოყენების თავისებურობ</w:t>
      </w:r>
      <w:r w:rsidR="009D3CF3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ები</w:t>
      </w:r>
    </w:p>
    <w:p w14:paraId="509B9949" w14:textId="77777777" w:rsidR="00FF2B86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ჰიპერკალიემია. 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>ეპლერენონით მკურნალობის მსვლელობისას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,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მისი 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მოქმედების მექანიზმ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დან</w:t>
      </w:r>
      <w:r w:rsidR="003871A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გამომდინარე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,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შეიძლება განვითარდეს ჰიპერკალიემია.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ყველა პაციენტთან მკურნალობის დასაწყისში და დოზის ცვლილებების დროს უნდა გაკონტროლდეს კალიუმის დონე სისხლის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შრატში. შემდგომში რეკომენდებულია პერიოდული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კონტროლის ჩატარება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განსაკუთრებით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პაციენტებში, რომლებიც შედიან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ჰიპერკალიემიის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განვითარების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რისკის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ჯგუფში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 (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ისეთები, როგორების არიან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ხანდაზმულ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ი ასაკის პაციენტ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ები,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პაციენტები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თირკმლის უკმარისობი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თ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(იხ.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ნაწილი „გამოყენების წესი და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დოზ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ები“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) და დიაბეტი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თ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). ეპლერენონით მკურნალობის დაწყების შემდეგ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არ არის რეკომენდებული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კალიუმის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შემცველი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დანამატების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ება ჰიპერკალიემიის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განვითარების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მომატებული რისკის გამო. 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ნაჩვენები იყო, რომ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ეპლერენონის დოზის შემცირება იწვევს კალიუმის დონის შემცირებას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სისხლის შრატში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. ერთ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კვლევ</w:t>
      </w:r>
      <w:r w:rsidR="00E93CF8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მიმდინარეობის დროს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აჩვენ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ები იყო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რომ ჰიდროქლორთიაზიდის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დამატებით დანიშვნა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ეპლერენონით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მკურნალობის დროს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აკომპენსირებ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და სისხლის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შრატში კალიუმის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კონცენტრაცი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მო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მატებას.</w:t>
      </w:r>
    </w:p>
    <w:p w14:paraId="4471AB7B" w14:textId="6E02641D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>ეპლერენონი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გამოიყენე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ბისას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აგფ ინჰიბიტორთან და/ან ანგიოტენზინის რეცეპტორების ბლოკატორთან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კომბინაციაში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ჰიპერკალიემიის რისკი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შეიძლება გაიზარდოს. ეპლერენონი არ უნდა იქნას გამოყენებული ერთდროულად სამმაგ კომბინაციაში აგფ ინჰიბიტორთან და ანგიოტენზინის რეცეპტორების ბლოკატორთან (იხ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. ნაწილები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„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უკუჩვენებები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და 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„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ურთიერთქმედება სხვა სამკურნალო საშუალებებთან და სხვა </w:t>
      </w:r>
      <w:r w:rsidR="00931C8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სახის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ურთიერთქმედებები</w:t>
      </w:r>
      <w:r w:rsidR="00FF2B86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).</w:t>
      </w:r>
    </w:p>
    <w:p w14:paraId="57CC64F9" w14:textId="41052903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თირკმლის ფუნქციის დარღვევა.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თირკმლის ფუნქციის დარღვევის მქონე პაციენტებში </w:t>
      </w:r>
      <w:r w:rsidRPr="001A6150">
        <w:rPr>
          <w:rFonts w:ascii="Sylfaen" w:hAnsi="Sylfaen"/>
          <w:bCs/>
          <w:sz w:val="24"/>
          <w:szCs w:val="24"/>
          <w:lang w:eastAsia="uk-UA"/>
        </w:rPr>
        <w:t xml:space="preserve">(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მათ შორის დიაბეტური მიკროალბუმინურიის მქონე პაციენტებში) კალიუმის დონე რეგულარულად უნდა გაკონტროლდეს. თირკმლის ფუნქციის დაქვეითება</w:t>
      </w:r>
      <w:r w:rsidR="00F155A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 თან ახლავს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ჰიპერკალიემიის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რისკის ზრდა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. მიუხედავად იმისა,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რომ EPHESUS კვლევის შედეგები, რომელიც ჩატარებულია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მე-2 ტიპის დიაბეტით და მიკროალბუმინურიით დაავადებულ პაციენტებ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ის მონაწილეობით,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შეზღუდულია, პაციენტების ამ მცირე ჯგუფში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აღინიშნებოდა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ჰიპერკალიემიის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განვითარების მომატებული სიხშირე.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შესაბამისად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, ამ პაციენტების მკურნალობ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ა უნდა ტარდებოდეს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სი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ფრთხილ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ით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. ეპლერენონი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არ გამოიყოფა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ჰემოდიალიზ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ის მეშვეობ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ით.</w:t>
      </w:r>
    </w:p>
    <w:p w14:paraId="574A95BF" w14:textId="4C39F835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ღვიძლის ფუნქციის დარღვევა.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პაციენტებში ღვიძლის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ფუნქციის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მსუბუქი და საშუალო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დარღვევე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ბით (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კლასი A და B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ჩაილდ-პიუს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კლასიფიკაციის  მიხედვით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),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შრატში კალიუმის დონე არ აღემატებოდა 5.5 მმოლ/ლ-ს. ამ პაციენტებ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ისთვი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საჭიროა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ელექტროლიტების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დონის კონტროლ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eastAsia="uk-UA"/>
        </w:rPr>
        <w:t xml:space="preserve">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ეპლერენონი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ს გამოყენება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თირკმლის მძიმე </w:t>
      </w:r>
      <w:r w:rsidR="00D9217B" w:rsidRPr="001A6150">
        <w:rPr>
          <w:rFonts w:ascii="Sylfaen" w:hAnsi="Sylfaen"/>
          <w:bCs/>
          <w:sz w:val="24"/>
          <w:szCs w:val="24"/>
          <w:lang w:val="ka-GE" w:eastAsia="uk-UA"/>
        </w:rPr>
        <w:t>დარღვევე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ბის მქონე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პაციენტების სამკურნალოდ შესწავლილი არ არის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;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ამიტომ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, ეპლერენონი უკუნაჩვენებია ამ პაციენტებში (იხ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. ნაწილი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„გამოყენ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ების წესი და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დოზები“ და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„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უკუჩვენებები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).</w:t>
      </w:r>
    </w:p>
    <w:p w14:paraId="635FB2CD" w14:textId="68FAE25E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CYP3A4</w:t>
      </w:r>
      <w:r w:rsidR="00931C83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-ის</w:t>
      </w: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 ინდუქტორები.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ეპლერენონისა და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CYP3A4-ის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ძლიერი ინდუქტორების ერთდროული გამოყენება არ არის რეკომენდებული (იხ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.  ნაწილი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„ურთიერთქმედება სხვა სამკურნალო საშუალებებთან და ურთიერთქმედების სხვა ფორმები“).</w:t>
      </w:r>
    </w:p>
    <w:p w14:paraId="695B4A52" w14:textId="68F012BA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lastRenderedPageBreak/>
        <w:t xml:space="preserve">ეპლერენონით მკურნალობის დროს თავი უნდა აარიდოთ </w:t>
      </w: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ლითიუმის, ციკლოსპორინის და ტაკროლიმუსის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გამოყენებას (იხ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. ნაწილი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„ურთიერთქმედება სხვა სამკურნალო საშუალებებთან და ურთიერთქმედების სხვა ფორმები“).</w:t>
      </w:r>
    </w:p>
    <w:p w14:paraId="6E3F228C" w14:textId="77777777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/>
          <w:i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ლაქტოზა</w:t>
      </w:r>
    </w:p>
    <w:p w14:paraId="071D513E" w14:textId="7845C15C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ეს სამკურნალო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საშუალება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შეიცავს ლაქტოზას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, ამიტომ 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არ უნდა იქნას გამოყენებული პაციენტებში, რომლებსაც აქვთ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ისეთი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იშვიათი მემკვიდრეობითი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დაავადებ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ები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, როგორიცაა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გალაქტოზას აუტანლობ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ლაქტაზას სრული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უკმარისობა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ან გლუკოზა-გალაქტოზას მალაბსორბცი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</w:p>
    <w:p w14:paraId="0AC27F15" w14:textId="77777777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i/>
          <w:i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ნატრიუმი</w:t>
      </w:r>
    </w:p>
    <w:p w14:paraId="62920E03" w14:textId="61BDD770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ეს სამკურნალო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საშუალება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შეიცავს 1 მმოლ-ზე ნაკლებ ნატრიუმს (23 მგ) თითო ტაბლეტში,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ესე იგი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პრაქტიკულად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თავისუფალია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ნატრიუმისგან.</w:t>
      </w:r>
    </w:p>
    <w:p w14:paraId="18306A93" w14:textId="35FC9F2B" w:rsidR="009D3CF3" w:rsidRPr="001A6150" w:rsidRDefault="009D3CF3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sz w:val="24"/>
          <w:szCs w:val="24"/>
          <w:lang w:val="ka-GE" w:eastAsia="uk-UA"/>
        </w:rPr>
        <w:t xml:space="preserve">აზოსაღებავები.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სამკურნალო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საშუალება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შეიცავს აზოსაღებავს </w:t>
      </w:r>
      <w:r w:rsidR="00993846" w:rsidRPr="001A6150">
        <w:rPr>
          <w:rFonts w:ascii="Sylfaen" w:hAnsi="Sylfaen"/>
          <w:bCs/>
          <w:sz w:val="24"/>
          <w:szCs w:val="24"/>
          <w:lang w:val="ka-GE" w:eastAsia="uk-UA"/>
        </w:rPr>
        <w:t>ყვითელი დაისი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FCF (E 110), რომელმაც შეიძლება გამოიწვიოს ალერგიული რეაქციები.</w:t>
      </w:r>
    </w:p>
    <w:p w14:paraId="147548F2" w14:textId="77777777" w:rsidR="009D3CF3" w:rsidRPr="001A6150" w:rsidRDefault="009D3CF3" w:rsidP="001A6150">
      <w:pPr>
        <w:suppressAutoHyphens w:val="0"/>
        <w:autoSpaceDE/>
        <w:adjustRightInd w:val="0"/>
        <w:jc w:val="both"/>
        <w:rPr>
          <w:rFonts w:ascii="Sylfaen" w:hAnsi="Sylfaen"/>
          <w:bCs/>
          <w:sz w:val="24"/>
          <w:szCs w:val="24"/>
          <w:lang w:val="ka-GE" w:eastAsia="uk-UA"/>
        </w:rPr>
      </w:pPr>
    </w:p>
    <w:p w14:paraId="727C2096" w14:textId="3A3979AF" w:rsidR="009D3CF3" w:rsidRPr="001A6150" w:rsidRDefault="009D3CF3" w:rsidP="001A6150">
      <w:pPr>
        <w:suppressAutoHyphens w:val="0"/>
        <w:autoSpaceDE/>
        <w:adjustRightInd w:val="0"/>
        <w:jc w:val="both"/>
        <w:rPr>
          <w:rFonts w:ascii="Sylfaen" w:hAnsi="Sylfaen"/>
          <w:b/>
          <w:bCs/>
          <w:i/>
          <w:sz w:val="24"/>
          <w:szCs w:val="24"/>
          <w:lang w:val="ka-GE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გამოყენე</w:t>
      </w:r>
      <w:r w:rsidR="00993846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ბა</w:t>
      </w: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 xml:space="preserve"> ორსულობის ან ძუძუთი კვების </w:t>
      </w:r>
      <w:r w:rsidR="00993846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პერიოდში</w:t>
      </w:r>
    </w:p>
    <w:p w14:paraId="1EFB0EEF" w14:textId="39A6F049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sz w:val="24"/>
          <w:szCs w:val="24"/>
          <w:lang w:val="ka-GE" w:eastAsia="ru-RU"/>
        </w:rPr>
      </w:pPr>
      <w:r w:rsidRPr="001A6150">
        <w:rPr>
          <w:rFonts w:ascii="Sylfaen" w:hAnsi="Sylfaen"/>
          <w:i/>
          <w:iCs/>
          <w:sz w:val="24"/>
          <w:szCs w:val="24"/>
          <w:lang w:val="ka-GE" w:eastAsia="ru-RU"/>
        </w:rPr>
        <w:t xml:space="preserve">ორსულობა.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არ არსებობს </w:t>
      </w:r>
      <w:r w:rsidR="00993846" w:rsidRPr="001A6150">
        <w:rPr>
          <w:rFonts w:ascii="Sylfaen" w:hAnsi="Sylfaen"/>
          <w:sz w:val="24"/>
          <w:szCs w:val="24"/>
          <w:lang w:val="ka-GE" w:eastAsia="ru-RU"/>
        </w:rPr>
        <w:t>ადეკვატურ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ი მონაცემები ორსულ ქალებში ეპლერენონის გამოყენების შესახებ.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 xml:space="preserve">მონაცემები, რომლებიც მიღებულია </w:t>
      </w:r>
      <w:r w:rsidRPr="001A6150">
        <w:rPr>
          <w:rFonts w:ascii="Sylfaen" w:hAnsi="Sylfaen"/>
          <w:sz w:val="24"/>
          <w:szCs w:val="24"/>
          <w:lang w:val="ka-GE" w:eastAsia="ru-RU"/>
        </w:rPr>
        <w:t>ცხოველებზე ჩატარებული კვლევები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ს მსვლელობისას,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არ მიუთითებ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ენ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პირდაპირ ან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არაპირდაპირ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უარყოფით ზემოქმედებაზე ორსულობ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ის</w:t>
      </w:r>
      <w:r w:rsidR="00931C83" w:rsidRPr="001A6150">
        <w:rPr>
          <w:rFonts w:ascii="Sylfaen" w:hAnsi="Sylfaen"/>
          <w:sz w:val="24"/>
          <w:szCs w:val="24"/>
          <w:lang w:val="ka-GE" w:eastAsia="ru-RU"/>
        </w:rPr>
        <w:t xml:space="preserve"> მსვლელობაზე</w:t>
      </w:r>
      <w:r w:rsidRPr="001A6150">
        <w:rPr>
          <w:rFonts w:ascii="Sylfaen" w:hAnsi="Sylfaen"/>
          <w:sz w:val="24"/>
          <w:szCs w:val="24"/>
          <w:lang w:val="ka-GE" w:eastAsia="ru-RU"/>
        </w:rPr>
        <w:t>, ემბრიონისა და ნაყოფის განვითარებ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ის</w:t>
      </w:r>
      <w:r w:rsidRPr="001A6150">
        <w:rPr>
          <w:rFonts w:ascii="Sylfaen" w:hAnsi="Sylfaen"/>
          <w:sz w:val="24"/>
          <w:szCs w:val="24"/>
          <w:lang w:val="ka-GE" w:eastAsia="ru-RU"/>
        </w:rPr>
        <w:t>, მშობიარობ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ის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ან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მშობიარობის შემდგომი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განვითარებ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ის დროს</w:t>
      </w:r>
      <w:r w:rsidRPr="001A6150">
        <w:rPr>
          <w:rFonts w:ascii="Sylfaen" w:hAnsi="Sylfaen"/>
          <w:sz w:val="24"/>
          <w:szCs w:val="24"/>
          <w:lang w:val="ka-GE" w:eastAsia="ru-RU"/>
        </w:rPr>
        <w:t>. ეპლერენონი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 xml:space="preserve">ს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სიფრთხილით უნდა იქნას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დანიშნული ორსულ ქალებში</w:t>
      </w:r>
      <w:r w:rsidRPr="001A6150">
        <w:rPr>
          <w:rFonts w:ascii="Sylfaen" w:hAnsi="Sylfaen"/>
          <w:sz w:val="24"/>
          <w:szCs w:val="24"/>
          <w:lang w:val="ka-GE" w:eastAsia="ru-RU"/>
        </w:rPr>
        <w:t>.</w:t>
      </w:r>
    </w:p>
    <w:p w14:paraId="2078A4CB" w14:textId="79A6AF64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sz w:val="24"/>
          <w:szCs w:val="24"/>
          <w:lang w:val="ka-GE" w:eastAsia="ru-RU"/>
        </w:rPr>
      </w:pPr>
      <w:r w:rsidRPr="001A6150">
        <w:rPr>
          <w:rFonts w:ascii="Sylfaen" w:hAnsi="Sylfaen"/>
          <w:i/>
          <w:iCs/>
          <w:sz w:val="24"/>
          <w:szCs w:val="24"/>
          <w:lang w:val="ka-GE" w:eastAsia="ru-RU"/>
        </w:rPr>
        <w:t xml:space="preserve">ძუძუთი კვება.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უცნობია,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აღწევს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თუ არა ეპლერენონი ადამიანის დედის რძეში პერორალური მიღების შემდეგ.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ამავე დროს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, პრეკლინიკური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 xml:space="preserve">კვლევების </w:t>
      </w:r>
      <w:r w:rsidRPr="001A6150">
        <w:rPr>
          <w:rFonts w:ascii="Sylfaen" w:hAnsi="Sylfaen"/>
          <w:sz w:val="24"/>
          <w:szCs w:val="24"/>
          <w:lang w:val="ka-GE" w:eastAsia="ru-RU"/>
        </w:rPr>
        <w:t>მონაცემები მ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>ოწმობენ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ეპლერენონის და/ან მისი მეტაბოლიტების არსებობაზე ვირთხის რძეში და </w:t>
      </w:r>
      <w:r w:rsidR="00007236" w:rsidRPr="001A6150">
        <w:rPr>
          <w:rFonts w:ascii="Sylfaen" w:hAnsi="Sylfaen"/>
          <w:sz w:val="24"/>
          <w:szCs w:val="24"/>
          <w:lang w:val="ka-GE" w:eastAsia="ru-RU"/>
        </w:rPr>
        <w:t xml:space="preserve">იმ ნაშიერების ნორმალურ განვითარებაზე, რომელმაც განიცადა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ეპლერენონის ზემოქმედებ</w:t>
      </w:r>
      <w:r w:rsidR="00134177" w:rsidRPr="001A6150">
        <w:rPr>
          <w:rFonts w:ascii="Sylfaen" w:hAnsi="Sylfaen"/>
          <w:sz w:val="24"/>
          <w:szCs w:val="24"/>
          <w:lang w:val="ka-GE" w:eastAsia="ru-RU"/>
        </w:rPr>
        <w:t>ა ასეთი სახით</w:t>
      </w:r>
      <w:r w:rsidRPr="001A6150">
        <w:rPr>
          <w:rFonts w:ascii="Sylfaen" w:hAnsi="Sylfaen"/>
          <w:sz w:val="24"/>
          <w:szCs w:val="24"/>
          <w:lang w:val="ka-GE" w:eastAsia="ru-RU"/>
        </w:rPr>
        <w:t>. რადგან ჩვილებში</w:t>
      </w:r>
      <w:r w:rsidR="00134177" w:rsidRPr="001A6150">
        <w:rPr>
          <w:rFonts w:ascii="Sylfaen" w:hAnsi="Sylfaen"/>
          <w:sz w:val="24"/>
          <w:szCs w:val="24"/>
          <w:lang w:val="ka-GE" w:eastAsia="ru-RU"/>
        </w:rPr>
        <w:t xml:space="preserve">, რომლებიც იმყოფებიან ძუძუთი კვებაზე,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გვერდითი </w:t>
      </w:r>
      <w:r w:rsidR="00134177" w:rsidRPr="001A6150">
        <w:rPr>
          <w:rFonts w:ascii="Sylfaen" w:hAnsi="Sylfaen"/>
          <w:sz w:val="24"/>
          <w:szCs w:val="24"/>
          <w:lang w:val="ka-GE" w:eastAsia="ru-RU"/>
        </w:rPr>
        <w:t>ეფექტ</w:t>
      </w:r>
      <w:r w:rsidRPr="001A6150">
        <w:rPr>
          <w:rFonts w:ascii="Sylfaen" w:hAnsi="Sylfaen"/>
          <w:sz w:val="24"/>
          <w:szCs w:val="24"/>
          <w:lang w:val="ka-GE" w:eastAsia="ru-RU"/>
        </w:rPr>
        <w:t>ების</w:t>
      </w:r>
      <w:r w:rsidR="00134177" w:rsidRPr="001A6150">
        <w:rPr>
          <w:rFonts w:ascii="Sylfaen" w:hAnsi="Sylfaen"/>
          <w:sz w:val="24"/>
          <w:szCs w:val="24"/>
          <w:lang w:val="ka-GE" w:eastAsia="ru-RU"/>
        </w:rPr>
        <w:t xml:space="preserve"> წარმოქმნის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პოტენციალი არ არის შესწავლილი, დედისთვის პრეპარატის მნიშვნელობის გათვალისწინებით, უნდა იქნას მიღებული გადაწყვეტილება ძუძუთი კვების შეწყვეტის ან პრეპარატის </w:t>
      </w:r>
      <w:r w:rsidR="00134177" w:rsidRPr="001A6150">
        <w:rPr>
          <w:rFonts w:ascii="Sylfaen" w:hAnsi="Sylfaen"/>
          <w:sz w:val="24"/>
          <w:szCs w:val="24"/>
          <w:lang w:val="ka-GE" w:eastAsia="ru-RU"/>
        </w:rPr>
        <w:t>გამოყენ</w:t>
      </w:r>
      <w:r w:rsidRPr="001A6150">
        <w:rPr>
          <w:rFonts w:ascii="Sylfaen" w:hAnsi="Sylfaen"/>
          <w:sz w:val="24"/>
          <w:szCs w:val="24"/>
          <w:lang w:val="ka-GE" w:eastAsia="ru-RU"/>
        </w:rPr>
        <w:t>ების შეწყვეტის შესახებ.</w:t>
      </w:r>
    </w:p>
    <w:p w14:paraId="4F56BB8A" w14:textId="77777777" w:rsidR="009D3CF3" w:rsidRPr="001A6150" w:rsidRDefault="009D3CF3" w:rsidP="001A6150">
      <w:pPr>
        <w:widowControl/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ფერტილობა.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არ არსებობს ინფორმაცია ადამიანის ფერტილობაზე ზემოქმედების შესახებ.</w:t>
      </w:r>
    </w:p>
    <w:p w14:paraId="4D657506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ka-GE" w:eastAsia="uk-UA"/>
        </w:rPr>
      </w:pPr>
    </w:p>
    <w:p w14:paraId="4847437E" w14:textId="62A85FB1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i/>
          <w:sz w:val="24"/>
          <w:szCs w:val="24"/>
          <w:lang w:val="ka-GE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რეაქციის სიჩქარეზე გავლენის მოხდენის უნა</w:t>
      </w:r>
      <w:r w:rsidR="00134177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რი ავტოტრანსპორტ</w:t>
      </w: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ის</w:t>
      </w:r>
      <w:r w:rsidR="00134177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 xml:space="preserve">  ან სხვა მექანიზმების </w:t>
      </w:r>
      <w:r w:rsidR="00134177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მართვის დროს</w:t>
      </w:r>
    </w:p>
    <w:p w14:paraId="70F50A38" w14:textId="707CA63E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>კვლევები ეპლერენონის ზემოქმედების შესახებ ავტო</w:t>
      </w:r>
      <w:r w:rsidR="00134177" w:rsidRPr="001A6150">
        <w:rPr>
          <w:rFonts w:ascii="Sylfaen" w:hAnsi="Sylfaen"/>
          <w:bCs/>
          <w:sz w:val="24"/>
          <w:szCs w:val="24"/>
          <w:lang w:val="ka-GE" w:eastAsia="uk-UA"/>
        </w:rPr>
        <w:t>ტრანსპორტ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მართვის ან </w:t>
      </w:r>
      <w:r w:rsidR="0013417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სხვა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მექანიზმებთან მუშაობის უნარზე</w:t>
      </w:r>
      <w:r w:rsidR="0013417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არ ჩატარებულა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. ეპლერენონი არ იწვევს ძილიანობას ან კოგნიტურ</w:t>
      </w:r>
      <w:r w:rsidR="00134177" w:rsidRPr="001A6150">
        <w:rPr>
          <w:rFonts w:ascii="Sylfaen" w:hAnsi="Sylfaen"/>
          <w:bCs/>
          <w:sz w:val="24"/>
          <w:szCs w:val="24"/>
          <w:lang w:val="ka-GE" w:eastAsia="uk-UA"/>
        </w:rPr>
        <w:t>ი ფუნქციების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დარღვევებს, </w:t>
      </w:r>
      <w:r w:rsidR="00134177" w:rsidRPr="001A6150">
        <w:rPr>
          <w:rFonts w:ascii="Sylfaen" w:hAnsi="Sylfaen"/>
          <w:bCs/>
          <w:sz w:val="24"/>
          <w:szCs w:val="24"/>
          <w:lang w:val="ka-GE" w:eastAsia="uk-UA"/>
        </w:rPr>
        <w:t>მაგრამ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, ავტო</w:t>
      </w:r>
      <w:r w:rsidR="00134177" w:rsidRPr="001A6150">
        <w:rPr>
          <w:rFonts w:ascii="Sylfaen" w:hAnsi="Sylfaen"/>
          <w:bCs/>
          <w:sz w:val="24"/>
          <w:szCs w:val="24"/>
          <w:lang w:val="ka-GE" w:eastAsia="uk-UA"/>
        </w:rPr>
        <w:t>ტრანსპორტ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ან 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სხვა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მექანიზმებ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მართვის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დროს 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უნდა იქნას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გათვალისწინებ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>უ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ლი ამ 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>პრეპარა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ტით მკურნალობასთან დაკავშირებული თავბრუსხვევის შესაძლებლობა.</w:t>
      </w:r>
    </w:p>
    <w:p w14:paraId="0395F132" w14:textId="77777777" w:rsidR="009D3CF3" w:rsidRPr="001A6150" w:rsidRDefault="009D3CF3" w:rsidP="001A6150">
      <w:pPr>
        <w:suppressAutoHyphens w:val="0"/>
        <w:autoSpaceDE/>
        <w:adjustRightInd w:val="0"/>
        <w:jc w:val="both"/>
        <w:rPr>
          <w:rFonts w:ascii="Sylfaen" w:hAnsi="Sylfaen"/>
          <w:b/>
          <w:bCs/>
          <w:i/>
          <w:sz w:val="24"/>
          <w:szCs w:val="24"/>
          <w:lang w:val="ka-GE" w:eastAsia="uk-UA"/>
        </w:rPr>
      </w:pPr>
    </w:p>
    <w:p w14:paraId="2A52BF8A" w14:textId="70914C1F" w:rsidR="009D3CF3" w:rsidRPr="001A6150" w:rsidRDefault="003F3134" w:rsidP="001A6150">
      <w:pPr>
        <w:suppressAutoHyphens w:val="0"/>
        <w:autoSpaceDE/>
        <w:adjustRightInd w:val="0"/>
        <w:jc w:val="both"/>
        <w:rPr>
          <w:rFonts w:ascii="Sylfaen" w:hAnsi="Sylfaen"/>
          <w:b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გამოყენ</w:t>
      </w:r>
      <w:r w:rsidR="009D3CF3"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ების წესი და დოზ</w:t>
      </w:r>
      <w:r w:rsidRPr="001A6150">
        <w:rPr>
          <w:rFonts w:ascii="Sylfaen" w:hAnsi="Sylfaen"/>
          <w:b/>
          <w:bCs/>
          <w:i/>
          <w:sz w:val="24"/>
          <w:szCs w:val="24"/>
          <w:lang w:val="ka-GE" w:eastAsia="uk-UA"/>
        </w:rPr>
        <w:t>ები</w:t>
      </w:r>
    </w:p>
    <w:p w14:paraId="438AE9B3" w14:textId="4F2C4863" w:rsidR="009D3CF3" w:rsidRPr="001A6150" w:rsidRDefault="003F3134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u w:val="single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ზრდასრუ</w:t>
      </w:r>
      <w:r w:rsidR="009D3CF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ლები</w:t>
      </w:r>
    </w:p>
    <w:p w14:paraId="43344654" w14:textId="7DE0C34F" w:rsidR="009D3CF3" w:rsidRPr="001A6150" w:rsidRDefault="003F3134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დოზირების </w:t>
      </w:r>
      <w:r w:rsidR="009D3C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ინდივიდუალური 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შერჩევ</w:t>
      </w:r>
      <w:r w:rsidR="009D3C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ისთვის პრეპარატი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იწარმოებ</w:t>
      </w:r>
      <w:r w:rsidR="009D3C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 25 მგ და 50 მგ დოზებით.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პრეპარატის </w:t>
      </w:r>
      <w:r w:rsidR="009D3C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მაქსიმალური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სადღეღამისო</w:t>
      </w:r>
      <w:r w:rsidR="009D3C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დოზა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შეადგენს</w:t>
      </w:r>
      <w:r w:rsidR="009D3CF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50 მგ.</w:t>
      </w:r>
    </w:p>
    <w:p w14:paraId="477AD73D" w14:textId="6DC640F0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ეპლერენონის მიღება შესაძლებელია საკვებთან ერთად ან საკვებს </w:t>
      </w:r>
      <w:r w:rsidR="00BB51B5" w:rsidRPr="001A6150">
        <w:rPr>
          <w:rFonts w:ascii="Sylfaen" w:hAnsi="Sylfaen"/>
          <w:bCs/>
          <w:sz w:val="24"/>
          <w:szCs w:val="24"/>
          <w:lang w:val="ka-GE" w:eastAsia="uk-UA"/>
        </w:rPr>
        <w:t>მიღებისგან დამოუკიდებლად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(იხ</w:t>
      </w:r>
      <w:r w:rsidR="003F3134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განყოფილება </w:t>
      </w:r>
      <w:r w:rsidRPr="001A6150">
        <w:rPr>
          <w:rFonts w:ascii="Sylfaen" w:hAnsi="Sylfaen"/>
          <w:color w:val="000000"/>
          <w:sz w:val="24"/>
          <w:szCs w:val="24"/>
          <w:lang w:val="ka-GE" w:eastAsia="ru-RU"/>
        </w:rPr>
        <w:t xml:space="preserve">„ფარმაკოლოგიური თვისებები“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).</w:t>
      </w:r>
    </w:p>
    <w:p w14:paraId="4EA00704" w14:textId="6E2A33B9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პაციენტები გულის უკმარისობ</w:t>
      </w:r>
      <w:r w:rsidR="001804DD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ით</w:t>
      </w: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 </w:t>
      </w:r>
      <w:r w:rsidR="001804DD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გადატანილი </w:t>
      </w: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მიოკარდიუმის ინფარქტის შემდეგ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. ეპლერენონის რეკომენდებული შემანარჩუნებელი დოზა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შეადგენს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50 მგ დღე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ში ერთხელ.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lastRenderedPageBreak/>
        <w:t xml:space="preserve">მკურნალობა უნდა დაიწყოს 25 მგ 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დოზით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დღე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ში ერთხელ და თანდათან გაიზარდოს სამიზნე დოზამდე 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50 მგ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დღე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ში ერთხელ. 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სასურველია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ეს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დოზ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მიღწეულ იქნას 4 კვირის განმავლობაში,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შრატში კალიუმის დონის გათვალისწინებით (იხ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ქვემოთ მოცემული ცხრილი).</w:t>
      </w:r>
    </w:p>
    <w:p w14:paraId="6C3A05B5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>ეპლერენონით მკურნალობა, როგორც წესი, იწყება მწვავე მიოკარდიუმის ინფარქტიდან 3-14 დღის შემდეგ.</w:t>
      </w:r>
    </w:p>
    <w:p w14:paraId="08F9E81E" w14:textId="4326A38F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პაციენტები </w:t>
      </w:r>
      <w:r w:rsidR="00521C5A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NYHA-ს კლასიფიკაციით </w:t>
      </w:r>
      <w:r w:rsidR="00A40652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II კლასის (ქრონიკული) გულის უკმარისობით</w:t>
      </w:r>
      <w:r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NYHA </w:t>
      </w:r>
      <w:r w:rsidR="00A40652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-ს კლასიფიკაციით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II კლასის ქრონიკული გულის უკმარისობის მქონე პაციენტების მკურნალობა უნდა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იქნას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დაწყ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ებული დოზით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25 მგ დღე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ში ერთხელ და თანდათან გაიზარდოს სამიზნე დოზამდე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50 მგ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დღე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ში ერთხელ.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სასურველია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ეს დოზა მიღწეულ იქნას 4 კვირის განმავლობაში,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შრატში კალიუმის დონის გათვალისწინებით (იხ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ქვემოთ მოცემული ცხრილი და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ნაწილი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„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ka-GE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).</w:t>
      </w:r>
    </w:p>
    <w:p w14:paraId="764A8802" w14:textId="3FE62E0F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პაციენტებმა, რომელთა შრატში კალიუმის დონე 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აღემატება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5 მმოლ/ლ-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არ უნდა დაიწყონ ეპლერენონი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თ მკურნალო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ბა (იხ</w:t>
      </w:r>
      <w:r w:rsidR="00521C5A" w:rsidRPr="001A6150">
        <w:rPr>
          <w:rFonts w:ascii="Sylfaen" w:hAnsi="Sylfaen"/>
          <w:bCs/>
          <w:sz w:val="24"/>
          <w:szCs w:val="24"/>
          <w:lang w:val="ka-GE" w:eastAsia="uk-UA"/>
        </w:rPr>
        <w:t>. 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„უკუჩვენებები“).</w:t>
      </w:r>
    </w:p>
    <w:p w14:paraId="2450AF03" w14:textId="7EC3DDA8" w:rsidR="009D3CF3" w:rsidRPr="001A6150" w:rsidRDefault="00521C5A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შრატში კალიუმის დონე უნდა გა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ნისაზღვრ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ოს ეპლერენონით მკურნალობის დაწყებ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ის წინ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მკურნალობის პირველი კვირის განმავლობაში და მკურნალობის დაწყებიდან ან დოზის კორექტირებიდან ერთი თვის შემდეგ. 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აუცილებლო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ბის შემთხვევაში</w:t>
      </w:r>
      <w:r w:rsidR="008C0A4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საჭიროა შემდგომ 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მკურნალობის </w:t>
      </w:r>
      <w:r w:rsidR="008C0A4E" w:rsidRPr="001A6150">
        <w:rPr>
          <w:rFonts w:ascii="Sylfaen" w:hAnsi="Sylfaen"/>
          <w:bCs/>
          <w:sz w:val="24"/>
          <w:szCs w:val="24"/>
          <w:lang w:val="ka-GE" w:eastAsia="uk-UA"/>
        </w:rPr>
        <w:t>განმავლობაში სისხლის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შრატში კალიუმის დონე პერიოდულად  გა</w:t>
      </w:r>
      <w:r w:rsidR="008C0A4E" w:rsidRPr="001A6150">
        <w:rPr>
          <w:rFonts w:ascii="Sylfaen" w:hAnsi="Sylfaen"/>
          <w:bCs/>
          <w:sz w:val="24"/>
          <w:szCs w:val="24"/>
          <w:lang w:val="ka-GE" w:eastAsia="uk-UA"/>
        </w:rPr>
        <w:t>ნისაზღვრ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ოს.</w:t>
      </w:r>
    </w:p>
    <w:p w14:paraId="4656CA59" w14:textId="0411FDCC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მკურნალობის დაწყების შემდეგ პრეპარატის დოზა უნდა დაკორექტირდეს </w:t>
      </w:r>
      <w:r w:rsidR="008C0A4E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შრატში კალიუმის კონცენტრაციის </w:t>
      </w:r>
      <w:r w:rsidR="008C0A4E" w:rsidRPr="001A6150">
        <w:rPr>
          <w:rFonts w:ascii="Sylfaen" w:hAnsi="Sylfaen"/>
          <w:bCs/>
          <w:sz w:val="24"/>
          <w:szCs w:val="24"/>
          <w:lang w:val="ka-GE" w:eastAsia="uk-UA"/>
        </w:rPr>
        <w:t>დათვალისწინებ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ით, როგორც ეს მითითებულია ქვემოთ მოცემულ ცხრილში.</w:t>
      </w:r>
    </w:p>
    <w:p w14:paraId="0A9DA462" w14:textId="77777777" w:rsidR="009D3CF3" w:rsidRPr="001A6150" w:rsidRDefault="009D3CF3" w:rsidP="001A6150">
      <w:pPr>
        <w:widowControl/>
        <w:suppressAutoHyphens w:val="0"/>
        <w:autoSpaceDE/>
        <w:spacing w:before="120" w:after="120"/>
        <w:jc w:val="center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დოზის კორექცია მკურნალობის დაწყების შემდეგ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2228"/>
        <w:gridCol w:w="5205"/>
      </w:tblGrid>
      <w:tr w:rsidR="009D3CF3" w:rsidRPr="001A6150" w14:paraId="278E1A02" w14:textId="77777777" w:rsidTr="00F33E39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F43B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კალიუმის კონცენტრაცია</w:t>
            </w:r>
          </w:p>
          <w:p w14:paraId="182150DB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სისხლის შრატში (მმოლ/ლ)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97BB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eastAsia="uk-UA"/>
              </w:rPr>
              <w:t>მოქმედება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C748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დოზის კორექტირება</w:t>
            </w:r>
          </w:p>
        </w:tc>
      </w:tr>
      <w:tr w:rsidR="009D3CF3" w:rsidRPr="001A6150" w14:paraId="438256BF" w14:textId="77777777" w:rsidTr="00F33E39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7427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&lt; 5.0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C333" w14:textId="43F4C599" w:rsidR="009D3CF3" w:rsidRPr="001A6150" w:rsidRDefault="008C0A4E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მომატე</w:t>
            </w:r>
            <w:r w:rsidR="009D3CF3"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ბა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5CDC" w14:textId="45307D4B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 xml:space="preserve">25 მგ-დან 2 დღეში ერთხელ 25 მგ-მდე 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 xml:space="preserve"> 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დღე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-ღამე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ში ერთხელ</w:t>
            </w:r>
          </w:p>
          <w:p w14:paraId="2DAC3BE4" w14:textId="1CE33D7C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25 მგ-დან დღე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-ღამე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ში ერთხელ 50 მგ-მდე დღე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-ღამე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ში ერთხელ</w:t>
            </w:r>
          </w:p>
        </w:tc>
      </w:tr>
      <w:tr w:rsidR="009D3CF3" w:rsidRPr="001A6150" w14:paraId="0EBCADBF" w14:textId="77777777" w:rsidTr="00F33E39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AAB6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 xml:space="preserve">5.0 </w:t>
            </w:r>
            <w:r w:rsidRPr="001A6150">
              <w:rPr>
                <w:rFonts w:ascii="Sylfaen" w:hAnsi="Sylfaen" w:cs="Arial"/>
                <w:sz w:val="24"/>
                <w:szCs w:val="24"/>
                <w:lang w:val="ru-RU" w:eastAsia="ru-RU"/>
              </w:rPr>
              <w:t xml:space="preserve">– 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5.4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F358" w14:textId="6777F0A1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ka-GE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ცვლილებები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ს გარეშე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27BF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დოზა არ იცვლება</w:t>
            </w:r>
          </w:p>
        </w:tc>
      </w:tr>
      <w:tr w:rsidR="009D3CF3" w:rsidRPr="001A6150" w14:paraId="1280ABD2" w14:textId="77777777" w:rsidTr="00F33E39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2677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 xml:space="preserve">5.5 </w:t>
            </w:r>
            <w:r w:rsidRPr="001A6150">
              <w:rPr>
                <w:rFonts w:ascii="Sylfaen" w:hAnsi="Sylfaen" w:cs="Arial"/>
                <w:sz w:val="24"/>
                <w:szCs w:val="24"/>
                <w:lang w:val="ru-RU" w:eastAsia="ru-RU"/>
              </w:rPr>
              <w:t xml:space="preserve">– 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5.9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9846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შემცირება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5E6B" w14:textId="331AF9D5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50 მგ-დან დღე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-ღამე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ში ერთხელ 25 მგ-მდე დღე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-ღამე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ში ერთხელ</w:t>
            </w:r>
          </w:p>
          <w:p w14:paraId="7312F00E" w14:textId="7F3CD063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25 მგ-დან დღე</w:t>
            </w:r>
            <w:r w:rsidR="008C0A4E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-ღამე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ში ერთხელ 25 მგ-მდე ყოველ 2 დღეში ერთხელ</w:t>
            </w:r>
          </w:p>
          <w:p w14:paraId="38904A57" w14:textId="611C5462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 xml:space="preserve">25 მგ-დან 2 დღეში ერთხელ დროებით </w:t>
            </w:r>
            <w:r w:rsidR="00FA1695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მოხსნ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ამდე</w:t>
            </w:r>
          </w:p>
        </w:tc>
      </w:tr>
      <w:tr w:rsidR="009D3CF3" w:rsidRPr="001A6150" w14:paraId="47498671" w14:textId="77777777" w:rsidTr="00F33E39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6450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sym w:font="Symbol" w:char="F0B3"/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6.0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46C7" w14:textId="7D1029A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 xml:space="preserve">დროებითი </w:t>
            </w:r>
            <w:r w:rsidR="00FA1695" w:rsidRPr="001A6150">
              <w:rPr>
                <w:rFonts w:ascii="Sylfaen" w:hAnsi="Sylfaen"/>
                <w:sz w:val="24"/>
                <w:szCs w:val="24"/>
                <w:lang w:val="ka-GE" w:eastAsia="ru-RU"/>
              </w:rPr>
              <w:t>მოხსნ</w:t>
            </w: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ა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018D" w14:textId="77777777" w:rsidR="009D3CF3" w:rsidRPr="001A6150" w:rsidRDefault="009D3CF3" w:rsidP="001A6150">
            <w:pPr>
              <w:widowControl/>
              <w:suppressAutoHyphens w:val="0"/>
              <w:autoSpaceDE/>
              <w:snapToGrid w:val="0"/>
              <w:rPr>
                <w:rFonts w:ascii="Sylfaen" w:hAnsi="Sylfaen"/>
                <w:sz w:val="24"/>
                <w:szCs w:val="24"/>
                <w:lang w:val="ru-RU" w:eastAsia="ru-RU"/>
              </w:rPr>
            </w:pPr>
            <w:r w:rsidRPr="001A6150">
              <w:rPr>
                <w:rFonts w:ascii="Sylfaen" w:hAnsi="Sylfaen"/>
                <w:sz w:val="24"/>
                <w:szCs w:val="24"/>
                <w:lang w:val="ru-RU" w:eastAsia="ru-RU"/>
              </w:rPr>
              <w:t>-</w:t>
            </w:r>
          </w:p>
        </w:tc>
      </w:tr>
    </w:tbl>
    <w:p w14:paraId="6AB77F94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</w:p>
    <w:p w14:paraId="1CA64B80" w14:textId="7E99A718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კალიუმის დონის </w:t>
      </w:r>
      <w:r w:rsidR="00FA1695" w:rsidRPr="001A6150">
        <w:rPr>
          <w:rFonts w:ascii="Sylfaen" w:hAnsi="Sylfaen"/>
          <w:sz w:val="24"/>
          <w:szCs w:val="24"/>
          <w:lang w:val="ru-RU" w:eastAsia="uk-UA"/>
        </w:rPr>
        <w:sym w:font="Symbol" w:char="F0B3"/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6 მმოლ/ლ-მდე მომატების გამო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FA1695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ეპლერენონის დროებითი 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>მოხსნ</w:t>
      </w:r>
      <w:r w:rsidR="00FA1695" w:rsidRPr="001A6150">
        <w:rPr>
          <w:rFonts w:ascii="Sylfaen" w:hAnsi="Sylfaen"/>
          <w:bCs/>
          <w:sz w:val="24"/>
          <w:szCs w:val="24"/>
          <w:lang w:val="ru-RU" w:eastAsia="uk-UA"/>
        </w:rPr>
        <w:t>ის შემდეგ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მკურნალობ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>ის განახლება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შე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>საძლებელია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25 მგ დოზით 2 დღეში ერთხელ, მას შემდეგ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რაც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კალიუმის კონცენტრაცი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 </w:t>
      </w:r>
      <w:r w:rsidR="00FA1695" w:rsidRPr="001A6150">
        <w:rPr>
          <w:rFonts w:ascii="Sylfaen" w:hAnsi="Sylfaen"/>
          <w:bCs/>
          <w:sz w:val="24"/>
          <w:szCs w:val="24"/>
          <w:lang w:val="ru-RU" w:eastAsia="uk-UA"/>
        </w:rPr>
        <w:t>შემცირ</w:t>
      </w:r>
      <w:r w:rsidR="00FA16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იდება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5 მმოლ/ლ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დონე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ზე ქვემოთ.</w:t>
      </w:r>
    </w:p>
    <w:p w14:paraId="32AB3535" w14:textId="39A3183D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ხანდაზმული</w:t>
      </w:r>
      <w:r w:rsidR="00602995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 ასაკის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 პაციენტები.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ხანდაზმული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ასაკის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პაციენტებისთვის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პრეპარატის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საწყისი დოზის კორექცია საჭირო არ არის. თირკმლის ფუნქციის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ინტენსივობის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BB51B5" w:rsidRPr="001A6150">
        <w:rPr>
          <w:rFonts w:ascii="Sylfaen" w:hAnsi="Sylfaen"/>
          <w:bCs/>
          <w:sz w:val="24"/>
          <w:szCs w:val="24"/>
          <w:lang w:val="ka-GE" w:eastAsia="uk-UA"/>
        </w:rPr>
        <w:t>ასაკობრივი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lastRenderedPageBreak/>
        <w:t>დაქვეითების გამო ხანდაზმულ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ი ასაკის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პაციენტებში ჰიპერკალიემიის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განვითარების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რისკი იზრდება. ეს რისკი შეიძლება კიდევ უფრო გაიზარდოს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ისეთი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თანმხლები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დაავად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ის არსებობისას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რომ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ლ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სა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ც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მოყვება პრეპარატის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სისტემურ ზემოქმედებ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602995" w:rsidRPr="001A6150">
        <w:rPr>
          <w:rFonts w:ascii="Sylfaen" w:hAnsi="Sylfaen"/>
          <w:bCs/>
          <w:sz w:val="24"/>
          <w:szCs w:val="24"/>
          <w:lang w:val="ru-RU" w:eastAsia="uk-UA"/>
        </w:rPr>
        <w:t>ზრდა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>კერძოდ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ღვიძლის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ფუნქციის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მსუბუქი და საშუალო სიმძიმის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დარღვევებისას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. რეკომენდებულია </w:t>
      </w:r>
      <w:r w:rsidR="00602995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შრატში კალიუმის დონის პერიოდული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კონტროლის ჩატარება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(იხ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ნაწილი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6D250592" w14:textId="49BB2014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თირკმლის ფუნქციის დარღვევა.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პაციენტებს თირკმლის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ფუნქციის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მსუბუქი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დარღვევ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ით საწყისი დოზის კორექცია არ სჭირდებათ. რეკომენდებულია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შრატში კალიუმის დონის პერიოდული მონიტორინგი და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პრეპარატის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დოზ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კორექ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ცია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ზემოთ მოცემული ცხრილის მიხედვით.</w:t>
      </w:r>
    </w:p>
    <w:p w14:paraId="4053B1A4" w14:textId="45078188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პაციენტებმა, რომლებსაც აქვთ თირკმლის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ფუნქციის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ზომიერი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დარღვევები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(კრეატინინის კლირენსი 30-60 მლ/წთ), მკურნალობა უნდა დაიწყონ 25 მგ-ი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ს მიღებით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 2 დღეში ერთხელ და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პრეპარატის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დოზა უნდა დაა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კორექტ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ირონ კალიუმის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კონცენტრაციიდან გამომდინარე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(იხ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ზემოთ მოცემული ცხრილი). რეკომენდებულია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შრატში კალიუმის დონის პერიოდული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კონტროლ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ს ჩატარება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(იხ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განყოფილება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65D2C74E" w14:textId="09D81CDD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არ არსებობს პრეპარატის გამოყენების გამოცდილება პაციენტებში, რომლებსაც აქვთ კრეატინინის კლირენსი &lt;50 მლ/წთ და </w:t>
      </w:r>
      <w:r w:rsidR="00880A07" w:rsidRPr="001A6150">
        <w:rPr>
          <w:rFonts w:ascii="Sylfaen" w:hAnsi="Sylfaen"/>
          <w:bCs/>
          <w:sz w:val="24"/>
          <w:szCs w:val="24"/>
          <w:lang w:val="ru-RU" w:eastAsia="uk-UA"/>
        </w:rPr>
        <w:t>გულის უკმარისობა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მიოკარდიუმის ინფარქტის შემდეგ. </w:t>
      </w:r>
      <w:r w:rsidR="00880A07" w:rsidRPr="001A6150">
        <w:rPr>
          <w:rFonts w:ascii="Sylfaen" w:hAnsi="Sylfaen"/>
          <w:bCs/>
          <w:sz w:val="24"/>
          <w:szCs w:val="24"/>
          <w:lang w:val="ru-RU" w:eastAsia="uk-UA"/>
        </w:rPr>
        <w:t>ასეთ პაციენტებ</w:t>
      </w:r>
      <w:r w:rsidR="00880A0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მკურნალობისას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ეპლერენონი  უნდა იქნას გამოყენებული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1323EB" w:rsidRPr="001A6150">
        <w:rPr>
          <w:rFonts w:ascii="Sylfaen" w:hAnsi="Sylfaen"/>
          <w:bCs/>
          <w:sz w:val="24"/>
          <w:szCs w:val="24"/>
          <w:lang w:val="ru-RU" w:eastAsia="uk-UA"/>
        </w:rPr>
        <w:t>სიფრთხილით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. 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დოზების გამოყენება, რომლებიც აჭარბებენ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25 მგ-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დღე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ში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>,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პაციენტებში, რომლებსაც აქვთ კრეატინინის კლირენსი &lt;50 მლ/წთ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</w:t>
      </w:r>
      <w:r w:rsidR="001323EB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არ არის </w:t>
      </w:r>
      <w:r w:rsidR="001323EB" w:rsidRPr="001A6150">
        <w:rPr>
          <w:rFonts w:ascii="Sylfaen" w:hAnsi="Sylfaen"/>
          <w:bCs/>
          <w:sz w:val="24"/>
          <w:szCs w:val="24"/>
          <w:lang w:val="ka-GE" w:eastAsia="uk-UA"/>
        </w:rPr>
        <w:t>გამოკვლეუ</w:t>
      </w:r>
      <w:r w:rsidR="001323EB" w:rsidRPr="001A6150">
        <w:rPr>
          <w:rFonts w:ascii="Sylfaen" w:hAnsi="Sylfaen"/>
          <w:bCs/>
          <w:sz w:val="24"/>
          <w:szCs w:val="24"/>
          <w:lang w:val="ru-RU" w:eastAsia="uk-UA"/>
        </w:rPr>
        <w:t>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6234D64C" w14:textId="43205B89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ეპლერენონი უკუნაჩვენებია თირკმლის მძიმე 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>დარღვევე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ბის მქონე პაციენტებში (კრეატინინის კლირენსი &lt;30 მლ/წთ) (იხ. 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>ნაწილი „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უკუჩვენებები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>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). ეპლერენონი ორგანიზმიდან </w:t>
      </w:r>
      <w:r w:rsidR="00345B79" w:rsidRPr="001A6150">
        <w:rPr>
          <w:rFonts w:ascii="Sylfaen" w:hAnsi="Sylfaen"/>
          <w:bCs/>
          <w:sz w:val="24"/>
          <w:szCs w:val="24"/>
          <w:lang w:val="ru-RU" w:eastAsia="uk-UA"/>
        </w:rPr>
        <w:t>არ გამოიყოფა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დიალიზ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>ის მეშვეობ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ით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</w:p>
    <w:p w14:paraId="200E0F15" w14:textId="71E7A56B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ღვიძლის ფუნქციის დარღვევა.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პაციენტებს, რომლებსაც აქვთ ღვიძლის მსუბუქი ან საშუალო სიმძიმის </w:t>
      </w:r>
      <w:r w:rsidR="00345B79" w:rsidRPr="001A6150">
        <w:rPr>
          <w:rFonts w:ascii="Sylfaen" w:hAnsi="Sylfaen"/>
          <w:bCs/>
          <w:sz w:val="24"/>
          <w:szCs w:val="24"/>
          <w:lang w:val="ka-GE" w:eastAsia="uk-UA"/>
        </w:rPr>
        <w:t>დარღვევ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ა, საწყისი დოზის კორექცია არ სჭირდებათ. </w:t>
      </w:r>
      <w:r w:rsidR="00C36367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ეპლერენონის სისტემური ზემოქმედების გაზრდის გამო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ამ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კატეგორიის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პაციენტებ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ს და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განსაკუთრებით ხანდაზმულ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ასაკის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პაციენტებ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ს ეძლევათ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სისხლის </w:t>
      </w:r>
      <w:r w:rsidR="00C36367" w:rsidRPr="001A6150">
        <w:rPr>
          <w:rFonts w:ascii="Sylfaen" w:hAnsi="Sylfaen"/>
          <w:bCs/>
          <w:sz w:val="24"/>
          <w:szCs w:val="24"/>
          <w:lang w:val="ru-RU" w:eastAsia="uk-UA"/>
        </w:rPr>
        <w:t>შრატში კალიუმის დონის  ხშირი და რეგულარული მონიტორინ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ჩატარების </w:t>
      </w:r>
      <w:r w:rsidR="00C36367" w:rsidRPr="001A6150">
        <w:rPr>
          <w:rFonts w:ascii="Sylfaen" w:hAnsi="Sylfaen"/>
          <w:bCs/>
          <w:sz w:val="24"/>
          <w:szCs w:val="24"/>
          <w:lang w:val="ru-RU" w:eastAsia="uk-UA"/>
        </w:rPr>
        <w:t>რეკომენდ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აც</w:t>
      </w:r>
      <w:r w:rsidR="00C36367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(იხ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56655A91" w14:textId="6138C995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კომბინირებული </w:t>
      </w:r>
      <w:r w:rsidR="00C36367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>გამოყენებ</w:t>
      </w: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ა.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CYP3A4-ის 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სუსტი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ან საშუალო სიმ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ძლავრ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ის ინჰიბიტორებთან (მაგ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ალითად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ამიოდარონ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თან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, დილთიაზემ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თან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 ვერაპამილ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თან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 ერთ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დროულ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ად 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ების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შემთხვევაში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მკურნალობა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ეპლერენონით შეიძლება დაიწყოს საწყისი დოზი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დან </w:t>
      </w:r>
      <w:r w:rsidR="006D504D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25 მგ 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დღე-ღამეში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ერთხელ. 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პრეპარატის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დოზა არ უნდა აღემატებოდეს 25 მგ-ს დღე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-ღამე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ში ერთხელ (იხ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6D504D" w:rsidRPr="001A6150">
        <w:rPr>
          <w:rFonts w:ascii="Sylfaen" w:hAnsi="Sylfaen"/>
          <w:bCs/>
          <w:sz w:val="24"/>
          <w:szCs w:val="24"/>
          <w:lang w:val="ka-GE" w:eastAsia="uk-UA"/>
        </w:rPr>
        <w:t>ნაწილი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„ურთიერთქმედება სხვა სამკურნალო საშუალებებთან და ურთიერთქმედების სხვა ფორმები“).</w:t>
      </w:r>
    </w:p>
    <w:p w14:paraId="09504086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</w:p>
    <w:p w14:paraId="66C811F8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/>
          <w:bCs/>
          <w:i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>ბავშვები</w:t>
      </w:r>
    </w:p>
    <w:p w14:paraId="24664743" w14:textId="0185B994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ბავშვებში ეპლერენონის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გამოყენების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უსაფრთხოება და ეფექტურობა დადგენილი არ არის. ამჟამად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არსებული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ინფორმაცია მო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ყვანი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ლია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ნაწილ</w:t>
      </w:r>
      <w:r w:rsidR="00C36367" w:rsidRPr="001A6150">
        <w:rPr>
          <w:rFonts w:ascii="Sylfaen" w:hAnsi="Sylfaen"/>
          <w:bCs/>
          <w:sz w:val="24"/>
          <w:szCs w:val="24"/>
          <w:lang w:val="ru-RU" w:eastAsia="uk-UA"/>
        </w:rPr>
        <w:t>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Pr="001A6150">
        <w:rPr>
          <w:rFonts w:ascii="Sylfaen" w:hAnsi="Sylfaen"/>
          <w:color w:val="000000"/>
          <w:sz w:val="24"/>
          <w:szCs w:val="24"/>
          <w:lang w:val="ru-RU" w:eastAsia="ru-RU"/>
        </w:rPr>
        <w:t xml:space="preserve">„ფარმაკოლოგიური თვისებები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“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</w:p>
    <w:p w14:paraId="02C8ABF6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</w:p>
    <w:p w14:paraId="6779AEF1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>დოზის გადაჭარბება</w:t>
      </w:r>
    </w:p>
    <w:p w14:paraId="423944B2" w14:textId="72F6A24C" w:rsidR="009D3CF3" w:rsidRPr="001A6150" w:rsidRDefault="00B4393D" w:rsidP="001A6150">
      <w:pPr>
        <w:widowControl/>
        <w:suppressAutoHyphens w:val="0"/>
        <w:autoSpaceDE/>
        <w:jc w:val="both"/>
        <w:rPr>
          <w:rFonts w:ascii="Sylfaen" w:hAnsi="Sylfaen"/>
          <w:sz w:val="24"/>
          <w:szCs w:val="24"/>
          <w:lang w:val="ru-RU" w:eastAsia="uk-UA"/>
        </w:rPr>
      </w:pPr>
      <w:r w:rsidRPr="001A6150">
        <w:rPr>
          <w:rFonts w:ascii="Sylfaen" w:hAnsi="Sylfaen"/>
          <w:sz w:val="24"/>
          <w:szCs w:val="24"/>
          <w:lang w:val="ru-RU" w:eastAsia="uk-UA"/>
        </w:rPr>
        <w:t>ცნობები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uk-UA"/>
        </w:rPr>
        <w:t>გვერდითი რეაქციების შესახებ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, რომლებიც </w:t>
      </w:r>
      <w:r w:rsidRPr="001A6150">
        <w:rPr>
          <w:rFonts w:ascii="Sylfaen" w:hAnsi="Sylfaen"/>
          <w:sz w:val="24"/>
          <w:szCs w:val="24"/>
          <w:lang w:val="ru-RU" w:eastAsia="uk-UA"/>
        </w:rPr>
        <w:t>დაკავშირებული</w:t>
      </w:r>
      <w:r w:rsidRPr="001A6150">
        <w:rPr>
          <w:rFonts w:ascii="Sylfaen" w:hAnsi="Sylfaen"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sz w:val="24"/>
          <w:szCs w:val="24"/>
          <w:lang w:val="ru-RU" w:eastAsia="uk-UA"/>
        </w:rPr>
        <w:t xml:space="preserve">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>ადამიანებში ეპლერენონის დოზის გადაჭარბებასთან</w:t>
      </w:r>
      <w:r w:rsidRPr="001A6150">
        <w:rPr>
          <w:rFonts w:ascii="Sylfaen" w:hAnsi="Sylfaen"/>
          <w:sz w:val="24"/>
          <w:szCs w:val="24"/>
          <w:lang w:val="ka-GE" w:eastAsia="uk-UA"/>
        </w:rPr>
        <w:t>, არ მიგვიღია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. 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მოსალოდნელია, რომ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>ადამიანებში დოზის გადაჭარბების ყველაზე სავარაუდო გამოვლინებები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 იქნება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 </w:t>
      </w:r>
      <w:r w:rsidR="003D35AE" w:rsidRPr="001A6150">
        <w:rPr>
          <w:rFonts w:ascii="Sylfaen" w:hAnsi="Sylfaen"/>
          <w:sz w:val="24"/>
          <w:szCs w:val="24"/>
          <w:lang w:val="ka-GE" w:eastAsia="uk-UA"/>
        </w:rPr>
        <w:t xml:space="preserve">არტერიული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ჰიპოტენზია ან ჰიპერკალიემიაა. 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შეუძლებელია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>ეპლერენონი</w:t>
      </w:r>
      <w:r w:rsidRPr="001A6150">
        <w:rPr>
          <w:rFonts w:ascii="Sylfaen" w:hAnsi="Sylfaen"/>
          <w:sz w:val="24"/>
          <w:szCs w:val="24"/>
          <w:lang w:val="ka-GE" w:eastAsia="uk-UA"/>
        </w:rPr>
        <w:t>ს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 ორგანიზმიდან ჰემოდიალიზის საშუალებით  გამოიდევნება. ნაჩვენები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 იყო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, რომ ეპლერენონი ეფექტურად უკავშირდება აქტივირებულ ნახშირს. 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არტერიული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ჰიპოტენზიის განვითარების შემთხვევაში უნდა 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იქნას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>და</w:t>
      </w:r>
      <w:r w:rsidRPr="001A6150">
        <w:rPr>
          <w:rFonts w:ascii="Sylfaen" w:hAnsi="Sylfaen"/>
          <w:sz w:val="24"/>
          <w:szCs w:val="24"/>
          <w:lang w:val="ka-GE" w:eastAsia="uk-UA"/>
        </w:rPr>
        <w:t xml:space="preserve">წყებული </w:t>
      </w:r>
      <w:r w:rsidRPr="001A6150">
        <w:rPr>
          <w:rFonts w:ascii="Sylfaen" w:hAnsi="Sylfaen"/>
          <w:sz w:val="24"/>
          <w:szCs w:val="24"/>
          <w:lang w:val="ka-GE" w:eastAsia="uk-UA"/>
        </w:rPr>
        <w:lastRenderedPageBreak/>
        <w:t xml:space="preserve">შემანარჩუნებელი 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მკურნალობა. ჰიპერკალიემიის განვითარების </w:t>
      </w:r>
      <w:r w:rsidRPr="001A6150">
        <w:rPr>
          <w:rFonts w:ascii="Sylfaen" w:hAnsi="Sylfaen"/>
          <w:sz w:val="24"/>
          <w:szCs w:val="24"/>
          <w:lang w:val="ka-GE" w:eastAsia="uk-UA"/>
        </w:rPr>
        <w:t>დროს</w:t>
      </w:r>
      <w:r w:rsidR="009D3CF3" w:rsidRPr="001A6150">
        <w:rPr>
          <w:rFonts w:ascii="Sylfaen" w:hAnsi="Sylfaen"/>
          <w:sz w:val="24"/>
          <w:szCs w:val="24"/>
          <w:lang w:val="ru-RU" w:eastAsia="uk-UA"/>
        </w:rPr>
        <w:t xml:space="preserve"> მკურნალობა უნდა დაიწყოს სტანდარტების შესაბამისად.</w:t>
      </w:r>
    </w:p>
    <w:p w14:paraId="2A0D35C9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</w:p>
    <w:p w14:paraId="57D520AE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i/>
          <w:sz w:val="24"/>
          <w:szCs w:val="24"/>
          <w:lang w:val="ru-RU" w:eastAsia="uk-UA"/>
        </w:rPr>
        <w:t>გვერდითი რეაქციები</w:t>
      </w:r>
    </w:p>
    <w:p w14:paraId="2653AA0D" w14:textId="676F165D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ორ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>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კვლევ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>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(EPHESUS და EMPHASIS-HF)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მსვლელობისას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>ნა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ჩვენ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>ები იყო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რომ გვერდითი რეაქციების საერთო 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განვითარების საერთო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სიხშირე  ეპლერენონისა და პლაცებოს მიღებისას</w:t>
      </w:r>
      <w:r w:rsidR="00B4393D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იყო ერთნაირი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72AF6B58" w14:textId="7CFE2E84" w:rsidR="009D3CF3" w:rsidRPr="001A6150" w:rsidRDefault="00B4393D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ქვემოთ მოყვანილია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გვერდითი რეაქციები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, რომლებიც,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შესაძლოა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>,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დაკავშირებულ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>ნ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 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>არიან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ეპლერენონთან და 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რომლებიც </w:t>
      </w:r>
      <w:r w:rsidR="00637B1C" w:rsidRPr="001A6150">
        <w:rPr>
          <w:rFonts w:ascii="Sylfaen" w:hAnsi="Sylfaen"/>
          <w:bCs/>
          <w:sz w:val="24"/>
          <w:szCs w:val="24"/>
          <w:lang w:val="ru-RU" w:eastAsia="uk-UA"/>
        </w:rPr>
        <w:t>მკურნალობის დროს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ვლინდებოდა უფრო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ხშირად, ვიდრე პლაცებოს დროს, ან სერიოზული გვერდითი რეაქციები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, რომლებიც წარმოიქმნებოდა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637B1C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მკურნალობის დროს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>უფრო ხშირად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>,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ვიდრე პლაცებოს 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გამოყენების 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დროს, ან </w:t>
      </w:r>
      <w:r w:rsidR="00637B1C" w:rsidRPr="001A6150">
        <w:rPr>
          <w:rFonts w:ascii="Sylfaen" w:hAnsi="Sylfaen"/>
          <w:bCs/>
          <w:sz w:val="24"/>
          <w:szCs w:val="24"/>
          <w:lang w:val="ka-GE" w:eastAsia="uk-UA"/>
        </w:rPr>
        <w:t>ისინი, რომლებიც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აღწერილი იყო</w:t>
      </w:r>
      <w:r w:rsidR="009D3CF3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პოსტმარკეტინგული დაკვირვების დროს.</w:t>
      </w:r>
    </w:p>
    <w:p w14:paraId="4EB5F8C4" w14:textId="2BC7242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გვერდითი 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რეაქცი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ები კლასიფიცირებულია ორგანოთა სისტემებისა და აბსოლუტური სიხშირის მიხედვით: ძალიან ხშირი (≥1/10), ხშირი (≥1/100 – &lt;1/10), არახშირი (≥1/1000 – &lt;1/100), იშვიათი (≥1/10000 – &lt;1/1000), ძალიან იშვიათი (&lt;1/10000), სიხშირე უცნობია (არსებული ინფორმაციის საფუძველზე შეფასება შეუძლებელია).</w:t>
      </w:r>
    </w:p>
    <w:p w14:paraId="36156353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ინფექციები და ინვაზიები.</w:t>
      </w:r>
    </w:p>
    <w:p w14:paraId="6D90451C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პიელონეფრიტი, ინფექციები, ფარინგიტი.</w:t>
      </w:r>
    </w:p>
    <w:p w14:paraId="52B83AD5" w14:textId="0C2FC5E5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ka-GE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სისხლისა და ლიმფური სისტემი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ს მხრივ</w:t>
      </w:r>
    </w:p>
    <w:p w14:paraId="00B5DA5E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ეოზინოფილია.</w:t>
      </w:r>
    </w:p>
    <w:p w14:paraId="5B870B95" w14:textId="0DFBFC8A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ენდოკრინული სისტემი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ს მხრივ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66D43F40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ჰიპოთირეოზი.</w:t>
      </w:r>
    </w:p>
    <w:p w14:paraId="778B63AC" w14:textId="4D74F9A5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მეტაბოლიზმისა და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 xml:space="preserve"> საჭმლის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მო</w:t>
      </w:r>
      <w:r w:rsidR="003D35AE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მნელებელი სისტემის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მხრი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397BAD21" w14:textId="2297917B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ჰიპერკალიემია (იხ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ნაწილები „უკუჩვენებები“ 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გამოყენების 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), ჰიპერქოლესტერინემია.</w:t>
      </w:r>
    </w:p>
    <w:p w14:paraId="58AD9757" w14:textId="080FA7BE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ჰიპონატრიემია, 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გაუწყლოვანებ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ა, ჰიპერტრიგლიცერიდემია.</w:t>
      </w:r>
    </w:p>
    <w:p w14:paraId="1693C1F8" w14:textId="6505FF02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ფსიქ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იკის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მხრი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3D850702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უძილობა.</w:t>
      </w:r>
    </w:p>
    <w:p w14:paraId="336AAF3E" w14:textId="62AC4E1C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ნერვული სისტემ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ის მხრივ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1ED1BD5C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სინკოპე, თავბრუსხვევა, თავის ტკივილი.</w:t>
      </w:r>
    </w:p>
    <w:p w14:paraId="6F5A321C" w14:textId="073D860E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ჰიპესთეზია.</w:t>
      </w:r>
    </w:p>
    <w:p w14:paraId="72414525" w14:textId="39F530A2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გულის მხრი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4D0688B6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მარცხენა პარკუჭის უკმარისობა, წინაგულების ფიბრილაცია.</w:t>
      </w:r>
    </w:p>
    <w:p w14:paraId="0EB79A18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ტაქიკარდია.</w:t>
      </w:r>
    </w:p>
    <w:p w14:paraId="349F3461" w14:textId="7CEEB510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სისხლძარღვების მხრი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5AA946C7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ჰიპოტენზია.</w:t>
      </w:r>
    </w:p>
    <w:p w14:paraId="2B0D1C75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კიდურების არტერიების თრომბოზი, ორთოსტატული ჰიპოტენზია.</w:t>
      </w:r>
    </w:p>
    <w:p w14:paraId="31097804" w14:textId="119EED4F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სასუნთქი სისტემის, გულმკერდის ორგანოებისა და შუასაყარის მხრი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534DFE2E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ხველა.</w:t>
      </w:r>
    </w:p>
    <w:p w14:paraId="721D048C" w14:textId="33326FCB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კუჭ-ნაწლავის ტრაქტი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ს მხრივ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5E4466E5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დიარეა, გულისრევა, ყაბზობა, ღებინება.</w:t>
      </w:r>
    </w:p>
    <w:p w14:paraId="012C38BC" w14:textId="76FCF188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>არახშირი:</w:t>
      </w:r>
      <w:r w:rsidR="008516B3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 </w:t>
      </w:r>
      <w:r w:rsidR="008516B3" w:rsidRPr="001A6150">
        <w:rPr>
          <w:rFonts w:ascii="Sylfaen" w:hAnsi="Sylfaen"/>
          <w:bCs/>
          <w:iCs/>
          <w:sz w:val="24"/>
          <w:szCs w:val="24"/>
          <w:lang w:val="ka-GE" w:eastAsia="uk-UA"/>
        </w:rPr>
        <w:t>მუ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ცლის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შებერილობა.</w:t>
      </w:r>
    </w:p>
    <w:p w14:paraId="18893A19" w14:textId="1C3F98EC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კანი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სა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და კანქვეშა ქსოვილები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ს მხრივ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63869497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გამონაყარი, ქავილი.</w:t>
      </w:r>
    </w:p>
    <w:p w14:paraId="3CFF6373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ანგიონევროზული შეშუპება, ჰიპერჰიდროზი.</w:t>
      </w:r>
    </w:p>
    <w:p w14:paraId="2C96F4DE" w14:textId="7C081D32" w:rsidR="009D3CF3" w:rsidRPr="001A6150" w:rsidRDefault="008516B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ძვალ-</w:t>
      </w:r>
      <w:r w:rsidR="009D3CF3"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კუნთოვანი სისტემისა და შემაერთებელი ქსოვილების მხრი</w:t>
      </w:r>
      <w:r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="009D3CF3"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363CA411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კუნთების სპაზმები, ზურგის ტკივილი.</w:t>
      </w:r>
    </w:p>
    <w:p w14:paraId="4F6EFB96" w14:textId="183A697E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lastRenderedPageBreak/>
        <w:t xml:space="preserve">არახშირი: </w:t>
      </w:r>
      <w:r w:rsidR="008516B3" w:rsidRPr="001A6150">
        <w:rPr>
          <w:rFonts w:ascii="Sylfaen" w:hAnsi="Sylfaen"/>
          <w:bCs/>
          <w:sz w:val="24"/>
          <w:szCs w:val="24"/>
          <w:lang w:val="ru-RU" w:eastAsia="uk-UA"/>
        </w:rPr>
        <w:t>ტკივილი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ძვალ-კუნთოვან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სისტემაში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6FB69A68" w14:textId="69C495BF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თირკმელებ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ისა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და 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შარდგამომყოფი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 გზები</w:t>
      </w:r>
      <w:r w:rsidR="008516B3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ს მხრივ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4B4E7DB8" w14:textId="5781357E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="001F6651" w:rsidRPr="001A6150">
        <w:rPr>
          <w:rFonts w:ascii="Sylfaen" w:hAnsi="Sylfaen"/>
          <w:bCs/>
          <w:i/>
          <w:iCs/>
          <w:sz w:val="24"/>
          <w:szCs w:val="24"/>
          <w:lang w:val="ka-GE" w:eastAsia="uk-UA"/>
        </w:rPr>
        <w:t xml:space="preserve">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თირკმლის ფუნქციის დარღვევა (იხ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.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ნაწილები „ურთიერთქმედება სხვა სამკურნალო საშუალებებთან და ურთიერთქმედების სხვა ფორმები“ და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„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გამოყენების </w:t>
      </w:r>
      <w:r w:rsidR="008516B3" w:rsidRPr="001A6150">
        <w:rPr>
          <w:rFonts w:ascii="Sylfaen" w:hAnsi="Sylfaen"/>
          <w:bCs/>
          <w:sz w:val="24"/>
          <w:szCs w:val="24"/>
          <w:lang w:val="ka-GE" w:eastAsia="uk-UA"/>
        </w:rPr>
        <w:t>თავისებურებ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ები </w:t>
      </w:r>
      <w:r w:rsidRPr="001A6150">
        <w:rPr>
          <w:rFonts w:ascii="Sylfaen" w:hAnsi="Sylfaen"/>
          <w:bCs/>
          <w:iCs/>
          <w:sz w:val="24"/>
          <w:szCs w:val="24"/>
          <w:lang w:val="ru-RU" w:eastAsia="uk-UA"/>
        </w:rPr>
        <w:t xml:space="preserve">“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).</w:t>
      </w:r>
    </w:p>
    <w:p w14:paraId="1D39D217" w14:textId="4D8D355F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ღვიძლისა და  </w:t>
      </w:r>
      <w:r w:rsidR="001F6651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 xml:space="preserve">ნაღველგამომყოფი 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გზების მხრი</w:t>
      </w:r>
      <w:r w:rsidR="001F6651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4E3D7274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ქოლეცისტიტი.</w:t>
      </w:r>
    </w:p>
    <w:p w14:paraId="265CAB87" w14:textId="0CC429BA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რეპროდუქციული სისტემისა და სარძევე ჯირკვლების მხრი</w:t>
      </w:r>
      <w:r w:rsidR="001F6651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ვ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4C2D1649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გინეკომასტია.</w:t>
      </w:r>
    </w:p>
    <w:p w14:paraId="78BCC9DB" w14:textId="149A0A62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 xml:space="preserve">ზოგადი დარღვევები და </w:t>
      </w:r>
      <w:r w:rsidR="001F6651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 xml:space="preserve">დაზიანებები 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შეყვანის ადგილ</w:t>
      </w:r>
      <w:r w:rsidR="001F6651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ზე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7D98C081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ასთენია.</w:t>
      </w:r>
    </w:p>
    <w:p w14:paraId="681E0F12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შეუძლოდ ყოფნა.</w:t>
      </w:r>
    </w:p>
    <w:p w14:paraId="64350944" w14:textId="11D93F05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u w:val="single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ლაბორატორიული კვლევ</w:t>
      </w:r>
      <w:r w:rsidR="001F6651" w:rsidRPr="001A6150">
        <w:rPr>
          <w:rFonts w:ascii="Sylfaen" w:hAnsi="Sylfaen"/>
          <w:bCs/>
          <w:sz w:val="24"/>
          <w:szCs w:val="24"/>
          <w:u w:val="single"/>
          <w:lang w:val="ka-GE" w:eastAsia="uk-UA"/>
        </w:rPr>
        <w:t>ები</w:t>
      </w:r>
      <w:r w:rsidRPr="001A6150">
        <w:rPr>
          <w:rFonts w:ascii="Sylfaen" w:hAnsi="Sylfaen"/>
          <w:bCs/>
          <w:sz w:val="24"/>
          <w:szCs w:val="24"/>
          <w:u w:val="single"/>
          <w:lang w:val="ru-RU" w:eastAsia="uk-UA"/>
        </w:rPr>
        <w:t>.</w:t>
      </w:r>
    </w:p>
    <w:p w14:paraId="61B16CD6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სისხლში შარდოვანას დონის მომატება, კრეატინინის დონის მომატება.</w:t>
      </w:r>
    </w:p>
    <w:p w14:paraId="6EA94699" w14:textId="77777777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i/>
          <w:iCs/>
          <w:sz w:val="24"/>
          <w:szCs w:val="24"/>
          <w:lang w:val="ru-RU" w:eastAsia="uk-UA"/>
        </w:rPr>
        <w:t xml:space="preserve">არახშირი: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ეპიდერმული ზრდის ფაქტორის რეცეპტორების რაოდენობის შემცირება, სისხლში გლუკოზის დონის მომატება.</w:t>
      </w:r>
    </w:p>
    <w:p w14:paraId="6F065B42" w14:textId="1C1B942C" w:rsidR="009D3CF3" w:rsidRPr="001A6150" w:rsidRDefault="009D3CF3" w:rsidP="001A6150">
      <w:pPr>
        <w:widowControl/>
        <w:suppressAutoHyphens w:val="0"/>
        <w:autoSpaceDE/>
        <w:jc w:val="both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EPHESUS კვლევ</w:t>
      </w:r>
      <w:r w:rsidR="001F6651" w:rsidRPr="001A6150">
        <w:rPr>
          <w:rFonts w:ascii="Sylfaen" w:hAnsi="Sylfaen"/>
          <w:bCs/>
          <w:sz w:val="24"/>
          <w:szCs w:val="24"/>
          <w:lang w:val="ka-GE" w:eastAsia="uk-UA"/>
        </w:rPr>
        <w:t>ის მსვლელობისას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1F6651" w:rsidRPr="001A6150">
        <w:rPr>
          <w:rFonts w:ascii="Sylfaen" w:hAnsi="Sylfaen"/>
          <w:bCs/>
          <w:sz w:val="24"/>
          <w:szCs w:val="24"/>
          <w:lang w:val="ru-RU" w:eastAsia="uk-UA"/>
        </w:rPr>
        <w:t>75 წლის და უფროსი ასაკის პაციენტებ</w:t>
      </w:r>
      <w:r w:rsidR="001F665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ის ჯგუფში დარეგისტრირებული იყო 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ინსულტის შემთხვევები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="001F6651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უფრო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</w:t>
      </w:r>
      <w:r w:rsidR="001F6651" w:rsidRPr="001A6150">
        <w:rPr>
          <w:rFonts w:ascii="Sylfaen" w:hAnsi="Sylfaen"/>
          <w:bCs/>
          <w:sz w:val="24"/>
          <w:szCs w:val="24"/>
          <w:lang w:val="ka-GE" w:eastAsia="uk-UA"/>
        </w:rPr>
        <w:t>მეტ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ი რაოდენობ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>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. </w:t>
      </w:r>
      <w:r w:rsidR="001F6651" w:rsidRPr="001A6150">
        <w:rPr>
          <w:rFonts w:ascii="Sylfaen" w:hAnsi="Sylfaen"/>
          <w:bCs/>
          <w:sz w:val="24"/>
          <w:szCs w:val="24"/>
          <w:lang w:val="ka-GE" w:eastAsia="uk-UA"/>
        </w:rPr>
        <w:t>ამავე დროს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, სტატისტიკურად </w:t>
      </w:r>
      <w:r w:rsidR="001F6651" w:rsidRPr="001A6150">
        <w:rPr>
          <w:rFonts w:ascii="Sylfaen" w:hAnsi="Sylfaen"/>
          <w:bCs/>
          <w:sz w:val="24"/>
          <w:szCs w:val="24"/>
          <w:lang w:val="ka-GE" w:eastAsia="uk-UA"/>
        </w:rPr>
        <w:t>უტყუარი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განსხვავება ინსულტის სიხშირეში ეპლერენონის (30) და პლაცებოს (22) ჯგუფებს შორის არ 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>ყოფი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ლა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გამოვლენილი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 EMPHASIS-HF კვლევაში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4645F7"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ინსულტის შემთხვევების რაოდენობა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75 წლის და უფროსი ასაკის პაციენტებში ეპლერენონ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>ით მკურნალობ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ის ჯგუფში </w:t>
      </w:r>
      <w:r w:rsidR="004645F7" w:rsidRPr="001A6150">
        <w:rPr>
          <w:rFonts w:ascii="Sylfaen" w:hAnsi="Sylfaen"/>
          <w:bCs/>
          <w:sz w:val="24"/>
          <w:szCs w:val="24"/>
          <w:lang w:val="ka-GE" w:eastAsia="uk-UA"/>
        </w:rPr>
        <w:t>შეადგინა 9 და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 xml:space="preserve"> პლაცებოს ჯგუფში - 8.</w:t>
      </w:r>
    </w:p>
    <w:p w14:paraId="61E7E098" w14:textId="77777777" w:rsidR="009D3CF3" w:rsidRPr="001A6150" w:rsidRDefault="009D3CF3" w:rsidP="001A6150">
      <w:pPr>
        <w:widowControl/>
        <w:suppressAutoHyphens w:val="0"/>
        <w:autoSpaceDE/>
        <w:rPr>
          <w:rFonts w:ascii="Sylfaen" w:hAnsi="Sylfaen"/>
          <w:bCs/>
          <w:sz w:val="24"/>
          <w:szCs w:val="24"/>
          <w:lang w:val="ru-RU" w:eastAsia="uk-UA"/>
        </w:rPr>
      </w:pPr>
    </w:p>
    <w:p w14:paraId="17A01D89" w14:textId="2F2280F9" w:rsidR="009D3CF3" w:rsidRPr="001A6150" w:rsidRDefault="004645F7" w:rsidP="001A6150">
      <w:pPr>
        <w:widowControl/>
        <w:suppressAutoHyphens w:val="0"/>
        <w:autoSpaceDE/>
        <w:adjustRightInd w:val="0"/>
        <w:rPr>
          <w:rFonts w:ascii="Sylfaen" w:hAnsi="Sylfaen"/>
          <w:sz w:val="24"/>
          <w:szCs w:val="24"/>
          <w:u w:val="single"/>
          <w:lang w:val="ru-RU" w:eastAsia="ru-RU"/>
        </w:rPr>
      </w:pPr>
      <w:r w:rsidRPr="001A6150">
        <w:rPr>
          <w:rFonts w:ascii="Sylfaen" w:hAnsi="Sylfaen"/>
          <w:sz w:val="24"/>
          <w:szCs w:val="24"/>
          <w:u w:val="single"/>
          <w:lang w:val="ru-RU" w:eastAsia="ru-RU"/>
        </w:rPr>
        <w:t>შეტყობინებ</w:t>
      </w:r>
      <w:r w:rsidRPr="001A6150">
        <w:rPr>
          <w:rFonts w:ascii="Sylfaen" w:hAnsi="Sylfaen"/>
          <w:sz w:val="24"/>
          <w:szCs w:val="24"/>
          <w:u w:val="single"/>
          <w:lang w:val="ka-GE" w:eastAsia="ru-RU"/>
        </w:rPr>
        <w:t xml:space="preserve">ები </w:t>
      </w:r>
      <w:r w:rsidR="009D3CF3" w:rsidRPr="001A6150">
        <w:rPr>
          <w:rFonts w:ascii="Sylfaen" w:hAnsi="Sylfaen"/>
          <w:sz w:val="24"/>
          <w:szCs w:val="24"/>
          <w:u w:val="single"/>
          <w:lang w:val="ru-RU" w:eastAsia="ru-RU"/>
        </w:rPr>
        <w:t xml:space="preserve">საეჭვო გვერდითი რეაქციების შესახებ </w:t>
      </w:r>
    </w:p>
    <w:p w14:paraId="7499BCF9" w14:textId="7F9B38C7" w:rsidR="009D3CF3" w:rsidRPr="001A6150" w:rsidRDefault="004645F7" w:rsidP="001A6150">
      <w:pPr>
        <w:widowControl/>
        <w:suppressAutoHyphens w:val="0"/>
        <w:autoSpaceDE/>
        <w:adjustRightInd w:val="0"/>
        <w:jc w:val="both"/>
        <w:rPr>
          <w:rFonts w:ascii="Sylfaen" w:hAnsi="Sylfaen"/>
          <w:sz w:val="24"/>
          <w:szCs w:val="24"/>
          <w:lang w:val="ru-RU" w:eastAsia="ru-RU"/>
        </w:rPr>
      </w:pPr>
      <w:r w:rsidRPr="001A6150">
        <w:rPr>
          <w:rFonts w:ascii="Sylfaen" w:hAnsi="Sylfaen"/>
          <w:sz w:val="24"/>
          <w:szCs w:val="24"/>
          <w:lang w:val="ru-RU" w:eastAsia="ru-RU"/>
        </w:rPr>
        <w:t>შეტყობინება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ru-RU"/>
        </w:rPr>
        <w:t>საეჭვო გვერდითი რეაქციების შესახებ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სამკურნალო პროდუქტის </w:t>
      </w:r>
      <w:r w:rsidRPr="001A6150">
        <w:rPr>
          <w:rFonts w:ascii="Sylfaen" w:hAnsi="Sylfaen"/>
          <w:sz w:val="24"/>
          <w:szCs w:val="24"/>
          <w:lang w:val="ka-GE" w:eastAsia="ru-RU"/>
        </w:rPr>
        <w:t>რეგისტრ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>აციის შემდეგ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 </w:t>
      </w:r>
      <w:r w:rsidRPr="001A6150">
        <w:rPr>
          <w:rFonts w:ascii="Sylfaen" w:hAnsi="Sylfaen"/>
          <w:sz w:val="24"/>
          <w:szCs w:val="24"/>
          <w:lang w:val="ru-RU" w:eastAsia="ru-RU"/>
        </w:rPr>
        <w:t>მნიშვნელოვანია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. ეს საშუალებას იძლევა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განხორციელდეს 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სამკურნალო პროდუქტის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გამოყენების 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სარგებლისა და რისკის </w:t>
      </w:r>
      <w:r w:rsidRPr="001A6150">
        <w:rPr>
          <w:rFonts w:ascii="Sylfaen" w:hAnsi="Sylfaen"/>
          <w:sz w:val="24"/>
          <w:szCs w:val="24"/>
          <w:lang w:val="ka-GE" w:eastAsia="ru-RU"/>
        </w:rPr>
        <w:t>თანაფარდობ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ის უწყვეტი მონიტორინგი.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მედიცინის 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 </w:t>
      </w:r>
      <w:r w:rsidRPr="001A6150">
        <w:rPr>
          <w:rFonts w:ascii="Sylfaen" w:hAnsi="Sylfaen"/>
          <w:sz w:val="24"/>
          <w:szCs w:val="24"/>
          <w:lang w:val="ka-GE" w:eastAsia="ru-RU"/>
        </w:rPr>
        <w:t>მუშაკ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ებს </w:t>
      </w:r>
      <w:r w:rsidRPr="001A6150">
        <w:rPr>
          <w:rFonts w:ascii="Sylfaen" w:hAnsi="Sylfaen"/>
          <w:sz w:val="24"/>
          <w:szCs w:val="24"/>
          <w:lang w:val="ka-GE" w:eastAsia="ru-RU"/>
        </w:rPr>
        <w:t>სთხოვენ,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 რომ </w:t>
      </w:r>
      <w:r w:rsidRPr="001A6150">
        <w:rPr>
          <w:rFonts w:ascii="Sylfaen" w:hAnsi="Sylfaen"/>
          <w:sz w:val="24"/>
          <w:szCs w:val="24"/>
          <w:lang w:val="ka-GE" w:eastAsia="ru-RU"/>
        </w:rPr>
        <w:t xml:space="preserve">მიაწოდონ ინფორმაცია 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>ნებისმიერი საეჭვო გვერდითი რეაქცი</w:t>
      </w:r>
      <w:r w:rsidRPr="001A6150">
        <w:rPr>
          <w:rFonts w:ascii="Sylfaen" w:hAnsi="Sylfaen"/>
          <w:sz w:val="24"/>
          <w:szCs w:val="24"/>
          <w:lang w:val="ka-GE" w:eastAsia="ru-RU"/>
        </w:rPr>
        <w:t>ების შესახებ</w:t>
      </w:r>
      <w:r w:rsidR="009D3CF3" w:rsidRPr="001A6150">
        <w:rPr>
          <w:rFonts w:ascii="Sylfaen" w:hAnsi="Sylfaen"/>
          <w:sz w:val="24"/>
          <w:szCs w:val="24"/>
          <w:lang w:val="ru-RU" w:eastAsia="ru-RU"/>
        </w:rPr>
        <w:t xml:space="preserve"> ადგილობრივი მოთხოვნების შესაბამისად.</w:t>
      </w:r>
    </w:p>
    <w:p w14:paraId="48F3A31A" w14:textId="77777777" w:rsidR="009D3CF3" w:rsidRPr="001A6150" w:rsidRDefault="009D3CF3" w:rsidP="001A6150">
      <w:pPr>
        <w:widowControl/>
        <w:suppressAutoHyphens w:val="0"/>
        <w:autoSpaceDE/>
        <w:adjustRightInd w:val="0"/>
        <w:rPr>
          <w:rFonts w:ascii="Sylfaen" w:hAnsi="Sylfaen"/>
          <w:sz w:val="24"/>
          <w:szCs w:val="24"/>
          <w:lang w:val="ru-RU" w:eastAsia="ru-RU"/>
        </w:rPr>
      </w:pPr>
    </w:p>
    <w:p w14:paraId="45C50605" w14:textId="65C4A469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 xml:space="preserve">ვარგისობის ვადა: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2 წელი.</w:t>
      </w:r>
    </w:p>
    <w:p w14:paraId="3284C509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eastAsia="uk-UA"/>
        </w:rPr>
      </w:pPr>
    </w:p>
    <w:p w14:paraId="2A87AE3B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>შენახვის პირობები</w:t>
      </w:r>
    </w:p>
    <w:p w14:paraId="3233DD9C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შეინახეთ ორიგინალ შეფუთვაში არაუმეტეს 25°C ტემპერატურაზე.</w:t>
      </w:r>
    </w:p>
    <w:p w14:paraId="0AC96ACA" w14:textId="29843F50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Cs/>
          <w:sz w:val="24"/>
          <w:szCs w:val="24"/>
          <w:lang w:val="ru-RU" w:eastAsia="uk-UA"/>
        </w:rPr>
        <w:t>შეინახეთ ბავშვებისთვის მიუწვდომელ ადგილ</w:t>
      </w:r>
      <w:r w:rsidR="0071697B" w:rsidRPr="001A6150">
        <w:rPr>
          <w:rFonts w:ascii="Sylfaen" w:hAnsi="Sylfaen"/>
          <w:bCs/>
          <w:sz w:val="24"/>
          <w:szCs w:val="24"/>
          <w:lang w:val="ka-GE" w:eastAsia="uk-UA"/>
        </w:rPr>
        <w:t>ზე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.</w:t>
      </w:r>
    </w:p>
    <w:p w14:paraId="6C1274F0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</w:p>
    <w:p w14:paraId="1B1D05D0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 xml:space="preserve">შეფუთვა: 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10 ტაბლეტი ბლისტერზე, 3 ბლისტერი შეფუთვაში.</w:t>
      </w:r>
    </w:p>
    <w:p w14:paraId="4374C252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eastAsia="uk-UA"/>
        </w:rPr>
      </w:pPr>
    </w:p>
    <w:p w14:paraId="714FA1BF" w14:textId="066FBDC5" w:rsidR="009D3CF3" w:rsidRDefault="00C36367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val="ka-GE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ka-GE" w:eastAsia="uk-UA"/>
        </w:rPr>
        <w:t>გაცემის</w:t>
      </w:r>
      <w:r w:rsidRPr="001A6150">
        <w:rPr>
          <w:rFonts w:ascii="Sylfaen" w:hAnsi="Sylfaen"/>
          <w:bCs/>
          <w:sz w:val="24"/>
          <w:szCs w:val="24"/>
          <w:lang w:val="ka-GE" w:eastAsia="uk-UA"/>
        </w:rPr>
        <w:t xml:space="preserve"> </w:t>
      </w:r>
      <w:r w:rsidR="003B1127">
        <w:rPr>
          <w:rFonts w:ascii="Sylfaen" w:hAnsi="Sylfaen"/>
          <w:b/>
          <w:bCs/>
          <w:sz w:val="24"/>
          <w:szCs w:val="24"/>
          <w:lang w:val="ka-GE" w:eastAsia="uk-UA"/>
        </w:rPr>
        <w:t>წესი:</w:t>
      </w:r>
    </w:p>
    <w:p w14:paraId="4C229D0C" w14:textId="27A05D85" w:rsidR="003B1127" w:rsidRPr="003B1127" w:rsidRDefault="003B1127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ka-GE" w:eastAsia="uk-UA"/>
        </w:rPr>
      </w:pPr>
      <w:r w:rsidRPr="003B1127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3B1127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3B1127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3B1127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3B1127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ჯგუფი - </w:t>
      </w:r>
      <w:r w:rsidRPr="003B1127">
        <w:rPr>
          <w:rFonts w:ascii="Sylfaen" w:hAnsi="Sylfaen" w:cs="Arial"/>
          <w:bCs/>
          <w:sz w:val="24"/>
          <w:szCs w:val="24"/>
        </w:rPr>
        <w:t>II , გაიცემა ფორმა №3 რეცეპტით</w:t>
      </w:r>
    </w:p>
    <w:p w14:paraId="16FD140D" w14:textId="77777777" w:rsidR="009D3CF3" w:rsidRPr="003B1127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</w:p>
    <w:p w14:paraId="05F6ED59" w14:textId="549E88F8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 xml:space="preserve">მწარმოებელი: </w:t>
      </w:r>
      <w:r w:rsidR="00C36367" w:rsidRPr="001A6150">
        <w:rPr>
          <w:rFonts w:ascii="Sylfaen" w:hAnsi="Sylfaen"/>
          <w:bCs/>
          <w:sz w:val="24"/>
          <w:szCs w:val="24"/>
          <w:lang w:val="ka-GE" w:eastAsia="uk-UA"/>
        </w:rPr>
        <w:t>ს</w:t>
      </w:r>
      <w:r w:rsidRPr="001A6150">
        <w:rPr>
          <w:rFonts w:ascii="Sylfaen" w:hAnsi="Sylfaen"/>
          <w:bCs/>
          <w:sz w:val="24"/>
          <w:szCs w:val="24"/>
          <w:lang w:val="ru-RU" w:eastAsia="uk-UA"/>
        </w:rPr>
        <w:t>სს „კიევმედპრეპარატი“.</w:t>
      </w:r>
    </w:p>
    <w:p w14:paraId="6CFC32C4" w14:textId="77777777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val="ru-RU" w:eastAsia="uk-UA"/>
        </w:rPr>
      </w:pPr>
    </w:p>
    <w:p w14:paraId="22347554" w14:textId="262C82EB" w:rsidR="009D3CF3" w:rsidRPr="001A6150" w:rsidRDefault="009D3CF3" w:rsidP="001A6150">
      <w:pPr>
        <w:suppressAutoHyphens w:val="0"/>
        <w:autoSpaceDE/>
        <w:adjustRightInd w:val="0"/>
        <w:rPr>
          <w:rFonts w:ascii="Sylfaen" w:hAnsi="Sylfaen"/>
          <w:b/>
          <w:bCs/>
          <w:sz w:val="24"/>
          <w:szCs w:val="24"/>
          <w:lang w:val="ru-RU" w:eastAsia="uk-UA"/>
        </w:rPr>
      </w:pP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 xml:space="preserve">მწარმოებლის ადგილმდებარეობა და მისი საქმიანობის </w:t>
      </w:r>
      <w:r w:rsidR="00C36367" w:rsidRPr="001A6150">
        <w:rPr>
          <w:rFonts w:ascii="Sylfaen" w:hAnsi="Sylfaen"/>
          <w:b/>
          <w:bCs/>
          <w:sz w:val="24"/>
          <w:szCs w:val="24"/>
          <w:lang w:val="ka-GE" w:eastAsia="uk-UA"/>
        </w:rPr>
        <w:t xml:space="preserve">განხორციელების </w:t>
      </w:r>
      <w:r w:rsidRPr="001A6150">
        <w:rPr>
          <w:rFonts w:ascii="Sylfaen" w:hAnsi="Sylfaen"/>
          <w:b/>
          <w:bCs/>
          <w:sz w:val="24"/>
          <w:szCs w:val="24"/>
          <w:lang w:val="ru-RU" w:eastAsia="uk-UA"/>
        </w:rPr>
        <w:t>ადგილი</w:t>
      </w:r>
    </w:p>
    <w:p w14:paraId="5185CF30" w14:textId="3D1463B5" w:rsidR="009D3CF3" w:rsidRPr="006020A1" w:rsidRDefault="009D3CF3" w:rsidP="001A6150">
      <w:pPr>
        <w:suppressAutoHyphens w:val="0"/>
        <w:autoSpaceDE/>
        <w:adjustRightInd w:val="0"/>
        <w:rPr>
          <w:rFonts w:ascii="Sylfaen" w:hAnsi="Sylfaen"/>
          <w:bCs/>
          <w:sz w:val="24"/>
          <w:szCs w:val="24"/>
          <w:lang w:eastAsia="uk-UA"/>
        </w:rPr>
      </w:pPr>
      <w:r w:rsidRPr="001A6150">
        <w:rPr>
          <w:rFonts w:ascii="Sylfaen" w:hAnsi="Sylfaen"/>
          <w:sz w:val="24"/>
          <w:szCs w:val="24"/>
          <w:lang w:val="ru-RU" w:eastAsia="uk-UA"/>
        </w:rPr>
        <w:t>უკრაინა, 01032, კიევი, სა</w:t>
      </w:r>
      <w:r w:rsidR="001804DD" w:rsidRPr="001A6150">
        <w:rPr>
          <w:rFonts w:ascii="Sylfaen" w:hAnsi="Sylfaen"/>
          <w:sz w:val="24"/>
          <w:szCs w:val="24"/>
          <w:lang w:val="ka-GE" w:eastAsia="uk-UA"/>
        </w:rPr>
        <w:t>კ</w:t>
      </w:r>
      <w:r w:rsidRPr="001A6150">
        <w:rPr>
          <w:rFonts w:ascii="Sylfaen" w:hAnsi="Sylfaen"/>
          <w:sz w:val="24"/>
          <w:szCs w:val="24"/>
          <w:lang w:val="ru-RU" w:eastAsia="uk-UA"/>
        </w:rPr>
        <w:t>საგანსკ</w:t>
      </w:r>
      <w:r w:rsidR="001804DD" w:rsidRPr="001A6150">
        <w:rPr>
          <w:rFonts w:ascii="Sylfaen" w:hAnsi="Sylfaen"/>
          <w:sz w:val="24"/>
          <w:szCs w:val="24"/>
          <w:lang w:val="ka-GE" w:eastAsia="uk-UA"/>
        </w:rPr>
        <w:t>ის ქუჩა</w:t>
      </w:r>
      <w:r w:rsidRPr="001A6150">
        <w:rPr>
          <w:rFonts w:ascii="Sylfaen" w:hAnsi="Sylfaen"/>
          <w:sz w:val="24"/>
          <w:szCs w:val="24"/>
          <w:lang w:val="ru-RU" w:eastAsia="uk-UA"/>
        </w:rPr>
        <w:t>, 139.</w:t>
      </w:r>
    </w:p>
    <w:p w14:paraId="156A3CB5" w14:textId="77777777" w:rsidR="009D3CF3" w:rsidRPr="006020A1" w:rsidRDefault="009D3CF3" w:rsidP="001A6150">
      <w:pPr>
        <w:widowControl/>
        <w:suppressAutoHyphens w:val="0"/>
        <w:autoSpaceDE/>
        <w:adjustRightInd w:val="0"/>
        <w:rPr>
          <w:rFonts w:ascii="Sylfaen" w:hAnsi="Sylfaen"/>
          <w:sz w:val="24"/>
          <w:szCs w:val="24"/>
          <w:lang w:val="ka-GE" w:eastAsia="ru-RU"/>
        </w:rPr>
      </w:pPr>
    </w:p>
    <w:p w14:paraId="27A79E2F" w14:textId="77777777" w:rsidR="009D3CF3" w:rsidRPr="006020A1" w:rsidRDefault="009D3CF3" w:rsidP="006020A1">
      <w:pPr>
        <w:autoSpaceDN w:val="0"/>
        <w:adjustRightInd w:val="0"/>
        <w:rPr>
          <w:rFonts w:ascii="Sylfaen" w:hAnsi="Sylfaen"/>
          <w:bCs/>
          <w:sz w:val="24"/>
          <w:szCs w:val="24"/>
        </w:rPr>
      </w:pPr>
    </w:p>
    <w:p w14:paraId="29F5415D" w14:textId="77777777" w:rsidR="00D86AA4" w:rsidRPr="006020A1" w:rsidRDefault="00D86AA4" w:rsidP="006020A1">
      <w:pPr>
        <w:rPr>
          <w:rFonts w:ascii="Sylfaen" w:hAnsi="Sylfaen"/>
          <w:sz w:val="24"/>
          <w:szCs w:val="24"/>
        </w:rPr>
      </w:pPr>
    </w:p>
    <w:sectPr w:rsidR="00D86AA4" w:rsidRPr="006020A1" w:rsidSect="006020A1">
      <w:footerReference w:type="default" r:id="rId6"/>
      <w:footnotePr>
        <w:pos w:val="beneathText"/>
      </w:footnotePr>
      <w:pgSz w:w="11905" w:h="16837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E7A75" w14:textId="77777777" w:rsidR="007A6909" w:rsidRDefault="007A6909">
      <w:r>
        <w:separator/>
      </w:r>
    </w:p>
  </w:endnote>
  <w:endnote w:type="continuationSeparator" w:id="0">
    <w:p w14:paraId="54C0390A" w14:textId="77777777" w:rsidR="007A6909" w:rsidRDefault="007A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2DEA" w14:textId="77777777" w:rsidR="00B4393D" w:rsidRPr="00BA3E2A" w:rsidRDefault="00B4393D">
    <w:pPr>
      <w:pStyle w:val="Footer"/>
      <w:jc w:val="center"/>
      <w:rPr>
        <w:sz w:val="24"/>
        <w:szCs w:val="24"/>
      </w:rPr>
    </w:pPr>
    <w:r w:rsidRPr="00BA3E2A">
      <w:rPr>
        <w:sz w:val="24"/>
        <w:szCs w:val="24"/>
      </w:rPr>
      <w:fldChar w:fldCharType="begin"/>
    </w:r>
    <w:r w:rsidRPr="00BA3E2A">
      <w:rPr>
        <w:sz w:val="24"/>
        <w:szCs w:val="24"/>
      </w:rPr>
      <w:instrText>PAGE   \* MERGEFORMAT</w:instrText>
    </w:r>
    <w:r w:rsidRPr="00BA3E2A">
      <w:rPr>
        <w:sz w:val="24"/>
        <w:szCs w:val="24"/>
      </w:rPr>
      <w:fldChar w:fldCharType="separate"/>
    </w:r>
    <w:r w:rsidRPr="009E147C">
      <w:rPr>
        <w:noProof/>
        <w:sz w:val="24"/>
        <w:szCs w:val="24"/>
        <w:lang w:val="ru-RU"/>
      </w:rPr>
      <w:t>1</w:t>
    </w:r>
    <w:r w:rsidRPr="00BA3E2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1FA86" w14:textId="77777777" w:rsidR="007A6909" w:rsidRDefault="007A6909">
      <w:r>
        <w:separator/>
      </w:r>
    </w:p>
  </w:footnote>
  <w:footnote w:type="continuationSeparator" w:id="0">
    <w:p w14:paraId="1E66DD46" w14:textId="77777777" w:rsidR="007A6909" w:rsidRDefault="007A6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A4"/>
    <w:rsid w:val="00006A01"/>
    <w:rsid w:val="00007236"/>
    <w:rsid w:val="000079AC"/>
    <w:rsid w:val="0002162F"/>
    <w:rsid w:val="00090418"/>
    <w:rsid w:val="000A7014"/>
    <w:rsid w:val="000D0D46"/>
    <w:rsid w:val="000F4330"/>
    <w:rsid w:val="001323EB"/>
    <w:rsid w:val="00134177"/>
    <w:rsid w:val="00161C42"/>
    <w:rsid w:val="001804DD"/>
    <w:rsid w:val="0019607C"/>
    <w:rsid w:val="001A6150"/>
    <w:rsid w:val="001F6651"/>
    <w:rsid w:val="002249C5"/>
    <w:rsid w:val="002454B7"/>
    <w:rsid w:val="00261E4C"/>
    <w:rsid w:val="00261F15"/>
    <w:rsid w:val="002963B2"/>
    <w:rsid w:val="002A5DFC"/>
    <w:rsid w:val="00307169"/>
    <w:rsid w:val="0033455A"/>
    <w:rsid w:val="00345B79"/>
    <w:rsid w:val="00365D0C"/>
    <w:rsid w:val="003871A4"/>
    <w:rsid w:val="003B1127"/>
    <w:rsid w:val="003B33E0"/>
    <w:rsid w:val="003D33F7"/>
    <w:rsid w:val="003D35AE"/>
    <w:rsid w:val="003F3134"/>
    <w:rsid w:val="004021A8"/>
    <w:rsid w:val="00441DAD"/>
    <w:rsid w:val="00443038"/>
    <w:rsid w:val="00460DF5"/>
    <w:rsid w:val="004645F7"/>
    <w:rsid w:val="004A0BA3"/>
    <w:rsid w:val="004B1216"/>
    <w:rsid w:val="004D48F3"/>
    <w:rsid w:val="004D5905"/>
    <w:rsid w:val="00500BD9"/>
    <w:rsid w:val="00511BAD"/>
    <w:rsid w:val="00521C5A"/>
    <w:rsid w:val="0059379B"/>
    <w:rsid w:val="005A31CC"/>
    <w:rsid w:val="005D1291"/>
    <w:rsid w:val="005E7820"/>
    <w:rsid w:val="006020A1"/>
    <w:rsid w:val="00602995"/>
    <w:rsid w:val="00613B9E"/>
    <w:rsid w:val="0062685F"/>
    <w:rsid w:val="00631A6D"/>
    <w:rsid w:val="0063284B"/>
    <w:rsid w:val="00637B1C"/>
    <w:rsid w:val="006B35D0"/>
    <w:rsid w:val="006D504D"/>
    <w:rsid w:val="0071697B"/>
    <w:rsid w:val="007402F8"/>
    <w:rsid w:val="00740A0C"/>
    <w:rsid w:val="007A6909"/>
    <w:rsid w:val="007C5F6E"/>
    <w:rsid w:val="00825C62"/>
    <w:rsid w:val="008516B3"/>
    <w:rsid w:val="00880A07"/>
    <w:rsid w:val="008C0A4E"/>
    <w:rsid w:val="008C701B"/>
    <w:rsid w:val="008E2CDC"/>
    <w:rsid w:val="00901F6E"/>
    <w:rsid w:val="00904266"/>
    <w:rsid w:val="00931C83"/>
    <w:rsid w:val="0095302A"/>
    <w:rsid w:val="0098068C"/>
    <w:rsid w:val="00993846"/>
    <w:rsid w:val="009D3CF3"/>
    <w:rsid w:val="009F0186"/>
    <w:rsid w:val="00A40652"/>
    <w:rsid w:val="00A9213D"/>
    <w:rsid w:val="00AB77A6"/>
    <w:rsid w:val="00B4393D"/>
    <w:rsid w:val="00B7092D"/>
    <w:rsid w:val="00B85021"/>
    <w:rsid w:val="00B86749"/>
    <w:rsid w:val="00BB51B5"/>
    <w:rsid w:val="00BE7A8D"/>
    <w:rsid w:val="00C0513F"/>
    <w:rsid w:val="00C36367"/>
    <w:rsid w:val="00C86511"/>
    <w:rsid w:val="00C93183"/>
    <w:rsid w:val="00CA7DD2"/>
    <w:rsid w:val="00CD3AB9"/>
    <w:rsid w:val="00D25965"/>
    <w:rsid w:val="00D768C2"/>
    <w:rsid w:val="00D86AA4"/>
    <w:rsid w:val="00D87895"/>
    <w:rsid w:val="00D9217B"/>
    <w:rsid w:val="00D92F02"/>
    <w:rsid w:val="00DE59D1"/>
    <w:rsid w:val="00E1506C"/>
    <w:rsid w:val="00E93CF8"/>
    <w:rsid w:val="00EB489C"/>
    <w:rsid w:val="00EC70D0"/>
    <w:rsid w:val="00EE3CC7"/>
    <w:rsid w:val="00EF0A13"/>
    <w:rsid w:val="00F155AE"/>
    <w:rsid w:val="00F26752"/>
    <w:rsid w:val="00F33E39"/>
    <w:rsid w:val="00F470F7"/>
    <w:rsid w:val="00F66FDE"/>
    <w:rsid w:val="00FA1695"/>
    <w:rsid w:val="00FC5449"/>
    <w:rsid w:val="00FE0BCA"/>
    <w:rsid w:val="00FF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305451"/>
  <w15:chartTrackingRefBased/>
  <w15:docId w15:val="{AE141A3E-C4E9-4FA6-BC23-A4F61E11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C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D3CF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CF3"/>
    <w:rPr>
      <w:rFonts w:ascii="Times New Roman" w:eastAsia="Times New Roman" w:hAnsi="Times New Roman" w:cs="Times New Roman"/>
      <w:sz w:val="20"/>
      <w:szCs w:val="20"/>
      <w:lang w:val="k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1</Pages>
  <Words>5672</Words>
  <Characters>32331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Lu</dc:creator>
  <cp:keywords/>
  <dc:description/>
  <cp:lastModifiedBy>Nino Asanidze</cp:lastModifiedBy>
  <cp:revision>25</cp:revision>
  <cp:lastPrinted>2025-09-29T09:44:00Z</cp:lastPrinted>
  <dcterms:created xsi:type="dcterms:W3CDTF">2025-09-23T18:02:00Z</dcterms:created>
  <dcterms:modified xsi:type="dcterms:W3CDTF">2026-04-16T12:26:00Z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4eb6a9dd-28e5-4a39-b084-f4ecba8b5829</vt:lpwstr>
  </property>
</Properties>
</file>