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E4C3D" w14:textId="4F9CC7BE" w:rsidR="00C373F1" w:rsidRPr="00F93015" w:rsidRDefault="00F61041" w:rsidP="00E76C4E">
      <w:pPr>
        <w:spacing w:after="0" w:line="240" w:lineRule="auto"/>
        <w:jc w:val="both"/>
        <w:rPr>
          <w:rFonts w:ascii="Sylfaen" w:hAnsi="Sylfaen"/>
          <w:b/>
          <w:bCs/>
          <w:noProof/>
          <w:sz w:val="24"/>
          <w:szCs w:val="24"/>
          <w:lang w:val="ka-GE"/>
        </w:rPr>
      </w:pPr>
      <w:r w:rsidRPr="00F93015">
        <w:rPr>
          <w:rFonts w:ascii="Sylfaen" w:hAnsi="Sylfaen"/>
          <w:b/>
          <w:bCs/>
          <w:noProof/>
          <w:sz w:val="24"/>
          <w:szCs w:val="24"/>
          <w:lang w:val="ka-GE"/>
        </w:rPr>
        <w:t>პროდუქტის მოკლე ინფორმაცია</w:t>
      </w:r>
    </w:p>
    <w:p w14:paraId="4CA7A9C7" w14:textId="77777777" w:rsidR="00E76C4E" w:rsidRPr="00F93015" w:rsidRDefault="00E76C4E" w:rsidP="00E76C4E">
      <w:pPr>
        <w:spacing w:after="0" w:line="240" w:lineRule="auto"/>
        <w:jc w:val="both"/>
        <w:rPr>
          <w:rFonts w:ascii="Sylfaen" w:hAnsi="Sylfaen"/>
          <w:b/>
          <w:bCs/>
          <w:noProof/>
          <w:sz w:val="24"/>
          <w:szCs w:val="24"/>
          <w:lang w:val="ka-GE"/>
        </w:rPr>
      </w:pPr>
    </w:p>
    <w:p w14:paraId="4EF29468" w14:textId="6064F767" w:rsidR="00F61041" w:rsidRPr="00F93015" w:rsidRDefault="00F61041" w:rsidP="00E76C4E">
      <w:pPr>
        <w:pStyle w:val="ListParagraph"/>
        <w:numPr>
          <w:ilvl w:val="0"/>
          <w:numId w:val="1"/>
        </w:numPr>
        <w:spacing w:after="0" w:line="240" w:lineRule="auto"/>
        <w:ind w:left="0" w:firstLine="0"/>
        <w:jc w:val="both"/>
        <w:rPr>
          <w:rFonts w:ascii="Sylfaen" w:hAnsi="Sylfaen"/>
          <w:b/>
          <w:bCs/>
          <w:noProof/>
          <w:sz w:val="24"/>
          <w:szCs w:val="24"/>
          <w:lang w:val="ka-GE"/>
        </w:rPr>
      </w:pPr>
      <w:r w:rsidRPr="00F93015">
        <w:rPr>
          <w:rFonts w:ascii="Sylfaen" w:hAnsi="Sylfaen"/>
          <w:b/>
          <w:bCs/>
          <w:noProof/>
          <w:sz w:val="24"/>
          <w:szCs w:val="24"/>
          <w:lang w:val="ka-GE"/>
        </w:rPr>
        <w:t>ადამიანებისთვის განკუთვნილი სამედიცინო პროდუქტის დასახელება</w:t>
      </w:r>
    </w:p>
    <w:p w14:paraId="1C7403A9" w14:textId="21FE260F" w:rsidR="00F61041" w:rsidRPr="00F93015" w:rsidRDefault="00F61041" w:rsidP="00E76C4E">
      <w:pPr>
        <w:spacing w:after="0" w:line="240" w:lineRule="auto"/>
        <w:jc w:val="both"/>
        <w:rPr>
          <w:rFonts w:ascii="Sylfaen" w:hAnsi="Sylfaen"/>
          <w:noProof/>
          <w:sz w:val="24"/>
          <w:szCs w:val="24"/>
          <w:lang w:val="ka-GE"/>
        </w:rPr>
      </w:pPr>
      <w:r w:rsidRPr="00F93015">
        <w:rPr>
          <w:rFonts w:ascii="Sylfaen" w:hAnsi="Sylfaen"/>
          <w:noProof/>
          <w:sz w:val="24"/>
          <w:szCs w:val="24"/>
          <w:lang w:val="ka-GE"/>
        </w:rPr>
        <w:t>ლორიტან D 0.5 მგ/ მლ სიროფი</w:t>
      </w:r>
    </w:p>
    <w:p w14:paraId="7997EC49" w14:textId="2CB2202D" w:rsidR="00F61041" w:rsidRPr="00F93015" w:rsidRDefault="00F61041" w:rsidP="00E76C4E">
      <w:pPr>
        <w:pStyle w:val="ListParagraph"/>
        <w:numPr>
          <w:ilvl w:val="0"/>
          <w:numId w:val="1"/>
        </w:numPr>
        <w:spacing w:after="0" w:line="240" w:lineRule="auto"/>
        <w:ind w:left="0" w:firstLine="0"/>
        <w:jc w:val="both"/>
        <w:rPr>
          <w:rFonts w:ascii="Sylfaen" w:hAnsi="Sylfaen"/>
          <w:b/>
          <w:bCs/>
          <w:noProof/>
          <w:sz w:val="24"/>
          <w:szCs w:val="24"/>
          <w:lang w:val="ka-GE"/>
        </w:rPr>
      </w:pPr>
      <w:r w:rsidRPr="00F93015">
        <w:rPr>
          <w:rFonts w:ascii="Sylfaen" w:hAnsi="Sylfaen"/>
          <w:b/>
          <w:bCs/>
          <w:noProof/>
          <w:sz w:val="24"/>
          <w:szCs w:val="24"/>
          <w:lang w:val="ka-GE"/>
        </w:rPr>
        <w:t>ხარისხობრივი და რაოდენობრივი შემადგენლობა</w:t>
      </w:r>
    </w:p>
    <w:p w14:paraId="72F4BED6" w14:textId="77777777" w:rsidR="00F61041" w:rsidRPr="00F93015" w:rsidRDefault="00F61041" w:rsidP="00E76C4E">
      <w:pPr>
        <w:spacing w:after="0" w:line="240" w:lineRule="auto"/>
        <w:jc w:val="both"/>
        <w:rPr>
          <w:rFonts w:ascii="Sylfaen" w:hAnsi="Sylfaen"/>
          <w:noProof/>
          <w:sz w:val="24"/>
          <w:szCs w:val="24"/>
          <w:lang w:val="ka-GE"/>
        </w:rPr>
      </w:pPr>
      <w:r w:rsidRPr="00F93015">
        <w:rPr>
          <w:rFonts w:ascii="Sylfaen" w:hAnsi="Sylfaen"/>
          <w:noProof/>
          <w:sz w:val="24"/>
          <w:szCs w:val="24"/>
          <w:lang w:val="ka-GE"/>
        </w:rPr>
        <w:t>აქტიური ნივთიერება: 0.5 მლ დესლორატადინი თითოეულ 1 მლ-ში.</w:t>
      </w:r>
    </w:p>
    <w:p w14:paraId="649A2FF7" w14:textId="77777777" w:rsidR="00F61041" w:rsidRPr="00F93015" w:rsidRDefault="00F61041"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დამხმარე ნივთიერება(ები):</w:t>
      </w:r>
    </w:p>
    <w:p w14:paraId="1E0C772E" w14:textId="77777777" w:rsidR="00F61041" w:rsidRPr="00F93015" w:rsidRDefault="00F61041"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საქაროზა 490 მგ / მლ</w:t>
      </w:r>
    </w:p>
    <w:p w14:paraId="31EAACE4" w14:textId="77777777" w:rsidR="00F61041" w:rsidRPr="00F93015" w:rsidRDefault="00F61041"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პროპილენ გლიკოლი 100 მგ / მლ</w:t>
      </w:r>
    </w:p>
    <w:p w14:paraId="78AA5B87" w14:textId="77777777" w:rsidR="00F61041" w:rsidRPr="00F93015" w:rsidRDefault="00F61041"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სორბიტოლი 150 მგ / მლ</w:t>
      </w:r>
    </w:p>
    <w:p w14:paraId="559E050D" w14:textId="77777777" w:rsidR="00F61041" w:rsidRPr="00F93015" w:rsidRDefault="00F61041"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ნატრიუმის ბენზოატი 1 მგ / მლ</w:t>
      </w:r>
    </w:p>
    <w:p w14:paraId="21DCA7DA" w14:textId="77777777" w:rsidR="00F61041" w:rsidRPr="00F93015" w:rsidRDefault="00F61041"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უწყლო ლიმონმჟავა 1.26 მგ / მლ</w:t>
      </w:r>
    </w:p>
    <w:p w14:paraId="14F165D5" w14:textId="77777777" w:rsidR="00F61041" w:rsidRPr="00F93015" w:rsidRDefault="00F61041"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დინატრიუმის ედეტატი 0.25 მგ / მლ</w:t>
      </w:r>
    </w:p>
    <w:p w14:paraId="488926BA" w14:textId="3053ABC5" w:rsidR="00F61041" w:rsidRPr="00F93015" w:rsidRDefault="00F61041"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დაისის ყვითელი FD &amp; C 6 0.023 მგ / მლ</w:t>
      </w:r>
    </w:p>
    <w:p w14:paraId="440ADECA" w14:textId="253A05D8" w:rsidR="00F61041" w:rsidRPr="00F93015" w:rsidRDefault="00F61041"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დამხმარე ნივთიერებების სრული ჩამონათვალისთვის იხ. 6.1</w:t>
      </w:r>
    </w:p>
    <w:p w14:paraId="3DFEE8A4" w14:textId="772FA5C1" w:rsidR="00F61041" w:rsidRPr="00F93015" w:rsidRDefault="00F61041" w:rsidP="00E76C4E">
      <w:pPr>
        <w:spacing w:after="0" w:line="240" w:lineRule="auto"/>
        <w:jc w:val="both"/>
        <w:rPr>
          <w:rFonts w:ascii="Sylfaen" w:eastAsia="Times New Roman" w:hAnsi="Sylfaen" w:cs="Times New Roman"/>
          <w:noProof/>
          <w:color w:val="000000"/>
          <w:sz w:val="24"/>
          <w:szCs w:val="24"/>
          <w:lang w:val="ka-GE"/>
        </w:rPr>
      </w:pPr>
    </w:p>
    <w:p w14:paraId="79F6D692" w14:textId="72DD9BE1" w:rsidR="00F61041" w:rsidRPr="00F93015" w:rsidRDefault="00F61041" w:rsidP="00E76C4E">
      <w:pPr>
        <w:pStyle w:val="ListParagraph"/>
        <w:numPr>
          <w:ilvl w:val="0"/>
          <w:numId w:val="1"/>
        </w:numPr>
        <w:spacing w:after="0" w:line="240" w:lineRule="auto"/>
        <w:ind w:left="0" w:firstLine="0"/>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ფარმაცევტული ფორმა</w:t>
      </w:r>
    </w:p>
    <w:p w14:paraId="3AB2031F" w14:textId="5BAAD782" w:rsidR="00F61041" w:rsidRPr="00F93015" w:rsidRDefault="00F61041"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სიროფი</w:t>
      </w:r>
    </w:p>
    <w:p w14:paraId="441A70F7" w14:textId="49CE8341" w:rsidR="00F61041" w:rsidRPr="00F93015" w:rsidRDefault="00F61041"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ყვითელი შეფერილობის სუფთა ხსნარი დამახასიათებელი სუნით (bubble gum გემოთი)</w:t>
      </w:r>
    </w:p>
    <w:p w14:paraId="128E32CD" w14:textId="77777777" w:rsidR="00151D1F" w:rsidRPr="00F93015" w:rsidRDefault="00151D1F" w:rsidP="00E76C4E">
      <w:pPr>
        <w:spacing w:after="0" w:line="240" w:lineRule="auto"/>
        <w:jc w:val="both"/>
        <w:rPr>
          <w:rFonts w:ascii="Sylfaen" w:eastAsia="Times New Roman" w:hAnsi="Sylfaen" w:cs="Times New Roman"/>
          <w:noProof/>
          <w:color w:val="000000"/>
          <w:sz w:val="24"/>
          <w:szCs w:val="24"/>
          <w:lang w:val="ka-GE"/>
        </w:rPr>
      </w:pPr>
    </w:p>
    <w:p w14:paraId="65E6FDF0" w14:textId="35A93AD9" w:rsidR="00F61041" w:rsidRPr="00F93015" w:rsidRDefault="00F61041" w:rsidP="00E76C4E">
      <w:pPr>
        <w:pStyle w:val="ListParagraph"/>
        <w:numPr>
          <w:ilvl w:val="0"/>
          <w:numId w:val="1"/>
        </w:numPr>
        <w:spacing w:after="0" w:line="240" w:lineRule="auto"/>
        <w:ind w:left="0" w:firstLine="0"/>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კლინიკური მახასიათებლები</w:t>
      </w:r>
    </w:p>
    <w:p w14:paraId="3843764B" w14:textId="4F705FFF" w:rsidR="00F61041" w:rsidRPr="00F93015" w:rsidRDefault="00F61041" w:rsidP="00E76C4E">
      <w:pPr>
        <w:pStyle w:val="ListParagraph"/>
        <w:numPr>
          <w:ilvl w:val="1"/>
          <w:numId w:val="1"/>
        </w:numPr>
        <w:spacing w:after="0" w:line="240" w:lineRule="auto"/>
        <w:ind w:left="0" w:firstLine="0"/>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თერაპიული მაჩვენებლები</w:t>
      </w:r>
    </w:p>
    <w:p w14:paraId="251F9B92" w14:textId="771FAA44" w:rsidR="00F61041" w:rsidRPr="00F93015" w:rsidRDefault="00F61041" w:rsidP="00E76C4E">
      <w:pPr>
        <w:spacing w:after="0" w:line="240" w:lineRule="auto"/>
        <w:jc w:val="both"/>
        <w:rPr>
          <w:rFonts w:ascii="Sylfaen" w:hAnsi="Sylfaen" w:cs="Sylfaen"/>
          <w:noProof/>
          <w:sz w:val="24"/>
          <w:szCs w:val="24"/>
          <w:lang w:val="ka-GE"/>
        </w:rPr>
      </w:pPr>
      <w:r w:rsidRPr="00F93015">
        <w:rPr>
          <w:rFonts w:ascii="Sylfaen" w:hAnsi="Sylfaen"/>
          <w:noProof/>
          <w:sz w:val="24"/>
          <w:szCs w:val="24"/>
          <w:lang w:val="ka-GE"/>
        </w:rPr>
        <w:t xml:space="preserve">ლორიტან D ნაჩვენებია </w:t>
      </w:r>
      <w:r w:rsidRPr="00F93015">
        <w:rPr>
          <w:rFonts w:ascii="Sylfaen" w:hAnsi="Sylfaen" w:cs="Sylfaen"/>
          <w:noProof/>
          <w:sz w:val="24"/>
          <w:szCs w:val="24"/>
          <w:lang w:val="ka-GE"/>
        </w:rPr>
        <w:t>ისეთი</w:t>
      </w:r>
      <w:r w:rsidRPr="00F93015">
        <w:rPr>
          <w:rFonts w:ascii="Sylfaen" w:hAnsi="Sylfaen"/>
          <w:noProof/>
          <w:sz w:val="24"/>
          <w:szCs w:val="24"/>
          <w:lang w:val="ka-GE"/>
        </w:rPr>
        <w:t xml:space="preserve"> </w:t>
      </w:r>
      <w:r w:rsidRPr="00F93015">
        <w:rPr>
          <w:rFonts w:ascii="Sylfaen" w:hAnsi="Sylfaen" w:cs="Sylfaen"/>
          <w:noProof/>
          <w:sz w:val="24"/>
          <w:szCs w:val="24"/>
          <w:lang w:val="ka-GE"/>
        </w:rPr>
        <w:t>სიმპტომების მოსახსნელად</w:t>
      </w:r>
      <w:r w:rsidRPr="00F93015">
        <w:rPr>
          <w:rFonts w:ascii="Sylfaen" w:hAnsi="Sylfaen"/>
          <w:noProof/>
          <w:sz w:val="24"/>
          <w:szCs w:val="24"/>
          <w:lang w:val="ka-GE"/>
        </w:rPr>
        <w:t xml:space="preserve">, </w:t>
      </w:r>
      <w:r w:rsidRPr="00F93015">
        <w:rPr>
          <w:rFonts w:ascii="Sylfaen" w:hAnsi="Sylfaen" w:cs="Sylfaen"/>
          <w:noProof/>
          <w:sz w:val="24"/>
          <w:szCs w:val="24"/>
          <w:lang w:val="ka-GE"/>
        </w:rPr>
        <w:t>როგორიცაა</w:t>
      </w:r>
      <w:r w:rsidRPr="00F93015">
        <w:rPr>
          <w:rFonts w:ascii="Sylfaen" w:hAnsi="Sylfaen"/>
          <w:noProof/>
          <w:sz w:val="24"/>
          <w:szCs w:val="24"/>
          <w:lang w:val="ka-GE"/>
        </w:rPr>
        <w:t xml:space="preserve"> </w:t>
      </w:r>
      <w:r w:rsidRPr="00F93015">
        <w:rPr>
          <w:rFonts w:ascii="Sylfaen" w:hAnsi="Sylfaen" w:cs="Sylfaen"/>
          <w:noProof/>
          <w:sz w:val="24"/>
          <w:szCs w:val="24"/>
          <w:lang w:val="ka-GE"/>
        </w:rPr>
        <w:t>ცემინება</w:t>
      </w:r>
      <w:r w:rsidRPr="00F93015">
        <w:rPr>
          <w:rFonts w:ascii="Sylfaen" w:hAnsi="Sylfaen"/>
          <w:noProof/>
          <w:sz w:val="24"/>
          <w:szCs w:val="24"/>
          <w:lang w:val="ka-GE"/>
        </w:rPr>
        <w:t xml:space="preserve">, </w:t>
      </w:r>
      <w:r w:rsidRPr="00F93015">
        <w:rPr>
          <w:rFonts w:ascii="Sylfaen" w:hAnsi="Sylfaen" w:cs="Sylfaen"/>
          <w:noProof/>
          <w:sz w:val="24"/>
          <w:szCs w:val="24"/>
          <w:lang w:val="ka-GE"/>
        </w:rPr>
        <w:t>გამონადენი და</w:t>
      </w:r>
      <w:r w:rsidRPr="00F93015">
        <w:rPr>
          <w:rFonts w:ascii="Sylfaen" w:hAnsi="Sylfaen"/>
          <w:noProof/>
          <w:sz w:val="24"/>
          <w:szCs w:val="24"/>
          <w:lang w:val="ka-GE"/>
        </w:rPr>
        <w:t xml:space="preserve"> </w:t>
      </w:r>
      <w:r w:rsidRPr="00F93015">
        <w:rPr>
          <w:rFonts w:ascii="Sylfaen" w:hAnsi="Sylfaen" w:cs="Sylfaen"/>
          <w:noProof/>
          <w:sz w:val="24"/>
          <w:szCs w:val="24"/>
          <w:lang w:val="ka-GE"/>
        </w:rPr>
        <w:t>ქავილი სხეულში</w:t>
      </w:r>
      <w:r w:rsidRPr="00F93015">
        <w:rPr>
          <w:rFonts w:ascii="Sylfaen" w:hAnsi="Sylfaen"/>
          <w:noProof/>
          <w:sz w:val="24"/>
          <w:szCs w:val="24"/>
          <w:lang w:val="ka-GE"/>
        </w:rPr>
        <w:t xml:space="preserve">, ცხვირის გაჭედვა/ობსტრუქცია, </w:t>
      </w:r>
      <w:r w:rsidRPr="00F93015">
        <w:rPr>
          <w:rFonts w:ascii="Sylfaen" w:hAnsi="Sylfaen" w:cs="Sylfaen"/>
          <w:noProof/>
          <w:sz w:val="24"/>
          <w:szCs w:val="24"/>
          <w:lang w:val="ka-GE"/>
        </w:rPr>
        <w:t>თვალის ქავილი, ოფლიანობა და სიწითლე, სასის ქავილი და ხველა, რომელიც დაკავშირებულია ალერგიულ რინიტთან.</w:t>
      </w:r>
    </w:p>
    <w:p w14:paraId="14D3DD1B" w14:textId="7C819A30" w:rsidR="00F836CC" w:rsidRPr="00F93015" w:rsidRDefault="00F836CC"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ლორიტან D ასევე ნაჩვენებია  ჭინჭრის ციებასთან დაკავშირებული ისეთი სიმპტომების მოსახსნელად, როგორიცაა ქავილი, გამონაყარი და სიწითლე.</w:t>
      </w:r>
    </w:p>
    <w:p w14:paraId="13052AFC" w14:textId="1B6EA5E0" w:rsidR="00F836CC" w:rsidRPr="00F93015" w:rsidRDefault="00F836CC"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 xml:space="preserve">4.2 დოზირება და მიღების წესი </w:t>
      </w:r>
    </w:p>
    <w:p w14:paraId="7EDE3027" w14:textId="1122DA61" w:rsidR="00F836CC" w:rsidRPr="00F93015" w:rsidRDefault="00F836CC"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დოზირება/მიღების სიხშირე და ხანგრძლივობა</w:t>
      </w:r>
    </w:p>
    <w:p w14:paraId="01207B15" w14:textId="30E21730" w:rsidR="00F836CC" w:rsidRPr="00F93015" w:rsidRDefault="00384F81"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მწვავე</w:t>
      </w:r>
      <w:r w:rsidR="00F836CC" w:rsidRPr="00F93015">
        <w:rPr>
          <w:rFonts w:ascii="Sylfaen" w:eastAsia="Times New Roman" w:hAnsi="Sylfaen" w:cs="Times New Roman"/>
          <w:noProof/>
          <w:color w:val="000000"/>
          <w:sz w:val="24"/>
          <w:szCs w:val="24"/>
          <w:lang w:val="ka-GE"/>
        </w:rPr>
        <w:t xml:space="preserve"> ალერგიული რინიტის, რომლის სიმპტომები გრძელდება 4 დღეზე ან 4 კვირაზე ნაკლებ დროზე, მკურნალობა უნდა მოხდეს პაციენტის დაავადების ისტორიის შეფასების მიხედვით. მკურნალობა უნდა შეწყდეს, თუ სიმპტომები შემსუბუქდება და განმეორდება.</w:t>
      </w:r>
      <w:r w:rsidRPr="00F93015">
        <w:rPr>
          <w:rFonts w:ascii="Sylfaen" w:eastAsia="Times New Roman" w:hAnsi="Sylfaen" w:cs="Times New Roman"/>
          <w:noProof/>
          <w:color w:val="000000"/>
          <w:sz w:val="24"/>
          <w:szCs w:val="24"/>
          <w:lang w:val="ka-GE"/>
        </w:rPr>
        <w:t xml:space="preserve"> ქრონიკული ალერგიული რინიტის შემთხვევაში, რომლის სიმპტომები კვირაში 4 დღეზე მეტის და 4 კვირაზე მეტი ხნის განმავლობაში ვლინდება, </w:t>
      </w:r>
      <w:r w:rsidR="00772D52" w:rsidRPr="00F93015">
        <w:rPr>
          <w:rFonts w:ascii="Sylfaen" w:eastAsia="Times New Roman" w:hAnsi="Sylfaen" w:cs="Times New Roman"/>
          <w:noProof/>
          <w:color w:val="000000"/>
          <w:sz w:val="24"/>
          <w:szCs w:val="24"/>
          <w:lang w:val="ka-GE"/>
        </w:rPr>
        <w:t xml:space="preserve">პაციენტში ალერგიის გამოჩენის შემთხვევაში, რეკომენდებული უნდა იყოს უწყვეტი თერაპია. </w:t>
      </w:r>
    </w:p>
    <w:p w14:paraId="6CA049BA" w14:textId="075385AA" w:rsidR="00772D52" w:rsidRPr="00F93015" w:rsidRDefault="00772D52" w:rsidP="00E76C4E">
      <w:pPr>
        <w:spacing w:after="0" w:line="240" w:lineRule="auto"/>
        <w:jc w:val="both"/>
        <w:rPr>
          <w:rFonts w:ascii="Sylfaen" w:eastAsia="Times New Roman" w:hAnsi="Sylfaen" w:cs="Times New Roman"/>
          <w:b/>
          <w:bCs/>
          <w:noProof/>
          <w:color w:val="000000"/>
          <w:sz w:val="24"/>
          <w:szCs w:val="24"/>
          <w:lang w:val="ka-GE"/>
        </w:rPr>
      </w:pPr>
    </w:p>
    <w:p w14:paraId="2A3B71A6" w14:textId="49E85E80" w:rsidR="00772D52" w:rsidRPr="00F93015" w:rsidRDefault="00772D52"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მიღების წესი:</w:t>
      </w:r>
    </w:p>
    <w:p w14:paraId="727E4304" w14:textId="225BCE9D" w:rsidR="00772D52" w:rsidRPr="00F93015" w:rsidRDefault="007509F2" w:rsidP="00E76C4E">
      <w:pPr>
        <w:spacing w:after="0" w:line="240" w:lineRule="auto"/>
        <w:jc w:val="both"/>
        <w:rPr>
          <w:rFonts w:ascii="Sylfaen" w:hAnsi="Sylfaen" w:cs="Sylfaen"/>
          <w:noProof/>
          <w:sz w:val="24"/>
          <w:szCs w:val="24"/>
          <w:lang w:val="ka-GE"/>
        </w:rPr>
      </w:pPr>
      <w:r w:rsidRPr="00F93015">
        <w:rPr>
          <w:rFonts w:ascii="Sylfaen" w:hAnsi="Sylfaen" w:cs="Sylfaen"/>
          <w:noProof/>
          <w:sz w:val="24"/>
          <w:szCs w:val="24"/>
          <w:lang w:val="ka-GE"/>
        </w:rPr>
        <w:t>წარმოდგენილია ყუთში</w:t>
      </w:r>
      <w:r w:rsidRPr="00F93015">
        <w:rPr>
          <w:rFonts w:ascii="Sylfaen" w:hAnsi="Sylfaen"/>
          <w:noProof/>
          <w:sz w:val="24"/>
          <w:szCs w:val="24"/>
          <w:lang w:val="ka-GE"/>
        </w:rPr>
        <w:t xml:space="preserve"> </w:t>
      </w:r>
      <w:r w:rsidRPr="00F93015">
        <w:rPr>
          <w:rFonts w:ascii="Sylfaen" w:hAnsi="Sylfaen" w:cs="Sylfaen"/>
          <w:noProof/>
          <w:sz w:val="24"/>
          <w:szCs w:val="24"/>
          <w:lang w:val="ka-GE"/>
        </w:rPr>
        <w:t>ქარვისფერი</w:t>
      </w:r>
      <w:r w:rsidRPr="00F93015">
        <w:rPr>
          <w:rFonts w:ascii="Sylfaen" w:hAnsi="Sylfaen"/>
          <w:noProof/>
          <w:sz w:val="24"/>
          <w:szCs w:val="24"/>
          <w:lang w:val="ka-GE"/>
        </w:rPr>
        <w:t xml:space="preserve"> III </w:t>
      </w:r>
      <w:r w:rsidRPr="00F93015">
        <w:rPr>
          <w:rFonts w:ascii="Sylfaen" w:hAnsi="Sylfaen" w:cs="Sylfaen"/>
          <w:noProof/>
          <w:sz w:val="24"/>
          <w:szCs w:val="24"/>
          <w:lang w:val="ka-GE"/>
        </w:rPr>
        <w:t>ტიპის</w:t>
      </w:r>
      <w:r w:rsidRPr="00F93015">
        <w:rPr>
          <w:rFonts w:ascii="Sylfaen" w:hAnsi="Sylfaen"/>
          <w:noProof/>
          <w:sz w:val="24"/>
          <w:szCs w:val="24"/>
          <w:lang w:val="ka-GE"/>
        </w:rPr>
        <w:t xml:space="preserve"> </w:t>
      </w:r>
      <w:r w:rsidRPr="00F93015">
        <w:rPr>
          <w:rFonts w:ascii="Sylfaen" w:hAnsi="Sylfaen" w:cs="Sylfaen"/>
          <w:noProof/>
          <w:sz w:val="24"/>
          <w:szCs w:val="24"/>
          <w:lang w:val="ka-GE"/>
        </w:rPr>
        <w:t>მინის</w:t>
      </w:r>
      <w:r w:rsidRPr="00F93015">
        <w:rPr>
          <w:rFonts w:ascii="Sylfaen" w:hAnsi="Sylfaen"/>
          <w:noProof/>
          <w:sz w:val="24"/>
          <w:szCs w:val="24"/>
          <w:lang w:val="ka-GE"/>
        </w:rPr>
        <w:t xml:space="preserve"> </w:t>
      </w:r>
      <w:r w:rsidRPr="00F93015">
        <w:rPr>
          <w:rFonts w:ascii="Sylfaen" w:hAnsi="Sylfaen" w:cs="Sylfaen"/>
          <w:noProof/>
          <w:sz w:val="24"/>
          <w:szCs w:val="24"/>
          <w:lang w:val="ka-GE"/>
        </w:rPr>
        <w:t>ბოთლით</w:t>
      </w:r>
      <w:r w:rsidRPr="00F93015">
        <w:rPr>
          <w:rFonts w:ascii="Sylfaen" w:hAnsi="Sylfaen"/>
          <w:noProof/>
          <w:sz w:val="24"/>
          <w:szCs w:val="24"/>
          <w:lang w:val="ka-GE"/>
        </w:rPr>
        <w:t xml:space="preserve"> (150 </w:t>
      </w:r>
      <w:r w:rsidRPr="00F93015">
        <w:rPr>
          <w:rFonts w:ascii="Sylfaen" w:hAnsi="Sylfaen" w:cs="Sylfaen"/>
          <w:noProof/>
          <w:sz w:val="24"/>
          <w:szCs w:val="24"/>
          <w:lang w:val="ka-GE"/>
        </w:rPr>
        <w:t>მლ</w:t>
      </w:r>
      <w:r w:rsidRPr="00F93015">
        <w:rPr>
          <w:rFonts w:ascii="Sylfaen" w:hAnsi="Sylfaen"/>
          <w:noProof/>
          <w:sz w:val="24"/>
          <w:szCs w:val="24"/>
          <w:lang w:val="ka-GE"/>
        </w:rPr>
        <w:t xml:space="preserve">) </w:t>
      </w:r>
      <w:r w:rsidRPr="00F93015">
        <w:rPr>
          <w:rFonts w:ascii="Sylfaen" w:hAnsi="Sylfaen" w:cs="Sylfaen"/>
          <w:noProof/>
          <w:sz w:val="24"/>
          <w:szCs w:val="24"/>
          <w:lang w:val="ka-GE"/>
        </w:rPr>
        <w:t>და</w:t>
      </w:r>
      <w:r w:rsidRPr="00F93015">
        <w:rPr>
          <w:rFonts w:ascii="Sylfaen" w:hAnsi="Sylfaen"/>
          <w:noProof/>
          <w:sz w:val="24"/>
          <w:szCs w:val="24"/>
          <w:lang w:val="ka-GE"/>
        </w:rPr>
        <w:t xml:space="preserve"> </w:t>
      </w:r>
      <w:r w:rsidRPr="00F93015">
        <w:rPr>
          <w:rFonts w:ascii="Sylfaen" w:hAnsi="Sylfaen" w:cs="Sylfaen"/>
          <w:noProof/>
          <w:sz w:val="24"/>
          <w:szCs w:val="24"/>
          <w:lang w:val="ka-GE"/>
        </w:rPr>
        <w:t>აქვს</w:t>
      </w:r>
      <w:r w:rsidRPr="00F93015">
        <w:rPr>
          <w:rFonts w:ascii="Sylfaen" w:hAnsi="Sylfaen"/>
          <w:noProof/>
          <w:sz w:val="24"/>
          <w:szCs w:val="24"/>
          <w:lang w:val="ka-GE"/>
        </w:rPr>
        <w:t xml:space="preserve"> 2, 2.5 </w:t>
      </w:r>
      <w:r w:rsidRPr="00F93015">
        <w:rPr>
          <w:rFonts w:ascii="Sylfaen" w:hAnsi="Sylfaen" w:cs="Sylfaen"/>
          <w:noProof/>
          <w:sz w:val="24"/>
          <w:szCs w:val="24"/>
          <w:lang w:val="ka-GE"/>
        </w:rPr>
        <w:t>და</w:t>
      </w:r>
      <w:r w:rsidRPr="00F93015">
        <w:rPr>
          <w:rFonts w:ascii="Sylfaen" w:hAnsi="Sylfaen"/>
          <w:noProof/>
          <w:sz w:val="24"/>
          <w:szCs w:val="24"/>
          <w:lang w:val="ka-GE"/>
        </w:rPr>
        <w:t xml:space="preserve"> 5 </w:t>
      </w:r>
      <w:r w:rsidRPr="00F93015">
        <w:rPr>
          <w:rFonts w:ascii="Sylfaen" w:hAnsi="Sylfaen" w:cs="Sylfaen"/>
          <w:noProof/>
          <w:sz w:val="24"/>
          <w:szCs w:val="24"/>
          <w:lang w:val="ka-GE"/>
        </w:rPr>
        <w:t>მლ</w:t>
      </w:r>
      <w:r w:rsidRPr="00F93015">
        <w:rPr>
          <w:rFonts w:ascii="Sylfaen" w:hAnsi="Sylfaen"/>
          <w:noProof/>
          <w:sz w:val="24"/>
          <w:szCs w:val="24"/>
          <w:lang w:val="ka-GE"/>
        </w:rPr>
        <w:t>-იანი PP</w:t>
      </w:r>
      <w:r w:rsidRPr="00F93015">
        <w:rPr>
          <w:rFonts w:ascii="Sylfaen" w:hAnsi="Sylfaen" w:cs="Sylfaen"/>
          <w:noProof/>
          <w:sz w:val="24"/>
          <w:szCs w:val="24"/>
          <w:lang w:val="ka-GE"/>
        </w:rPr>
        <w:t xml:space="preserve"> საზომი</w:t>
      </w:r>
      <w:r w:rsidRPr="00F93015">
        <w:rPr>
          <w:rFonts w:ascii="Sylfaen" w:hAnsi="Sylfaen"/>
          <w:noProof/>
          <w:sz w:val="24"/>
          <w:szCs w:val="24"/>
          <w:lang w:val="ka-GE"/>
        </w:rPr>
        <w:t xml:space="preserve"> </w:t>
      </w:r>
      <w:r w:rsidRPr="00F93015">
        <w:rPr>
          <w:rFonts w:ascii="Sylfaen" w:hAnsi="Sylfaen" w:cs="Sylfaen"/>
          <w:noProof/>
          <w:sz w:val="24"/>
          <w:szCs w:val="24"/>
          <w:lang w:val="ka-GE"/>
        </w:rPr>
        <w:t>კოვზი</w:t>
      </w:r>
    </w:p>
    <w:p w14:paraId="371220D9" w14:textId="540EA2C5" w:rsidR="007509F2" w:rsidRPr="00F93015" w:rsidRDefault="007509F2" w:rsidP="00E76C4E">
      <w:pPr>
        <w:spacing w:after="0" w:line="240" w:lineRule="auto"/>
        <w:jc w:val="both"/>
        <w:rPr>
          <w:rFonts w:ascii="Sylfaen" w:hAnsi="Sylfaen" w:cs="Sylfaen"/>
          <w:noProof/>
          <w:sz w:val="24"/>
          <w:szCs w:val="24"/>
          <w:lang w:val="ka-GE"/>
        </w:rPr>
      </w:pPr>
      <w:r w:rsidRPr="00F93015">
        <w:rPr>
          <w:rFonts w:ascii="Sylfaen" w:hAnsi="Sylfaen" w:cs="Sylfaen"/>
          <w:noProof/>
          <w:sz w:val="24"/>
          <w:szCs w:val="24"/>
          <w:lang w:val="ka-GE"/>
        </w:rPr>
        <w:t>ბავშვები 6-დან 11 თვემდე:</w:t>
      </w:r>
    </w:p>
    <w:p w14:paraId="5087313D" w14:textId="72CCDBF0" w:rsidR="007509F2" w:rsidRPr="00F93015" w:rsidRDefault="007509F2" w:rsidP="00E76C4E">
      <w:pPr>
        <w:spacing w:after="0" w:line="240" w:lineRule="auto"/>
        <w:jc w:val="both"/>
        <w:rPr>
          <w:rFonts w:ascii="Sylfaen" w:hAnsi="Sylfaen" w:cs="Sylfaen"/>
          <w:noProof/>
          <w:sz w:val="24"/>
          <w:szCs w:val="24"/>
          <w:lang w:val="ka-GE"/>
        </w:rPr>
      </w:pPr>
      <w:r w:rsidRPr="00F93015">
        <w:rPr>
          <w:rFonts w:ascii="Sylfaen" w:hAnsi="Sylfaen" w:cs="Sylfaen"/>
          <w:noProof/>
          <w:sz w:val="24"/>
          <w:szCs w:val="24"/>
          <w:lang w:val="ka-GE"/>
        </w:rPr>
        <w:t>ლორიტან D, ალერგიული რინიტი</w:t>
      </w:r>
      <w:r w:rsidR="00B951AF" w:rsidRPr="00F93015">
        <w:rPr>
          <w:rFonts w:ascii="Sylfaen" w:hAnsi="Sylfaen" w:cs="Sylfaen"/>
          <w:noProof/>
          <w:sz w:val="24"/>
          <w:szCs w:val="24"/>
          <w:lang w:val="ka-GE"/>
        </w:rPr>
        <w:t xml:space="preserve"> მწვავე და ქრონიკულ</w:t>
      </w:r>
      <w:r w:rsidRPr="00F93015">
        <w:rPr>
          <w:rFonts w:ascii="Sylfaen" w:hAnsi="Sylfaen" w:cs="Sylfaen"/>
          <w:noProof/>
          <w:sz w:val="24"/>
          <w:szCs w:val="24"/>
          <w:lang w:val="ka-GE"/>
        </w:rPr>
        <w:t>ი ალერგიული რინიტით,</w:t>
      </w:r>
      <w:r w:rsidR="00B951AF" w:rsidRPr="00F93015">
        <w:rPr>
          <w:rFonts w:ascii="Sylfaen" w:hAnsi="Sylfaen" w:cs="Sylfaen"/>
          <w:noProof/>
          <w:sz w:val="24"/>
          <w:szCs w:val="24"/>
          <w:lang w:val="ka-GE"/>
        </w:rPr>
        <w:t xml:space="preserve"> მიიღება</w:t>
      </w:r>
      <w:r w:rsidRPr="00F93015">
        <w:rPr>
          <w:rFonts w:ascii="Sylfaen" w:hAnsi="Sylfaen" w:cs="Sylfaen"/>
          <w:noProof/>
          <w:sz w:val="24"/>
          <w:szCs w:val="24"/>
          <w:lang w:val="ka-GE"/>
        </w:rPr>
        <w:t xml:space="preserve"> 2 მლ (1 მგ) ცალკე ან საკვებთან ერთად დღეში ერთხელ ჭინჭრის ციებასთან დაკავშირებული სიმპტომების შესამსუბუქებლად. გამოიყენეთ საზომი კოვზი 2 მლ-მდე ავსებით.</w:t>
      </w:r>
    </w:p>
    <w:p w14:paraId="381E765B" w14:textId="77777777" w:rsidR="00B951AF" w:rsidRPr="00F93015" w:rsidRDefault="00B951AF" w:rsidP="00E76C4E">
      <w:pPr>
        <w:spacing w:after="0" w:line="240" w:lineRule="auto"/>
        <w:jc w:val="both"/>
        <w:rPr>
          <w:rFonts w:ascii="Sylfaen" w:hAnsi="Sylfaen" w:cs="Sylfaen"/>
          <w:noProof/>
          <w:sz w:val="24"/>
          <w:szCs w:val="24"/>
          <w:lang w:val="ka-GE"/>
        </w:rPr>
      </w:pPr>
    </w:p>
    <w:p w14:paraId="6F05A2D3" w14:textId="514931D5" w:rsidR="007509F2" w:rsidRPr="00F93015" w:rsidRDefault="007509F2" w:rsidP="00E76C4E">
      <w:pPr>
        <w:spacing w:after="0" w:line="240" w:lineRule="auto"/>
        <w:jc w:val="both"/>
        <w:rPr>
          <w:rFonts w:ascii="Sylfaen" w:hAnsi="Sylfaen" w:cs="Sylfaen"/>
          <w:noProof/>
          <w:sz w:val="24"/>
          <w:szCs w:val="24"/>
          <w:lang w:val="ka-GE"/>
        </w:rPr>
      </w:pPr>
      <w:r w:rsidRPr="00F93015">
        <w:rPr>
          <w:rFonts w:ascii="Sylfaen" w:hAnsi="Sylfaen" w:cs="Sylfaen"/>
          <w:noProof/>
          <w:sz w:val="24"/>
          <w:szCs w:val="24"/>
          <w:lang w:val="ka-GE"/>
        </w:rPr>
        <w:t>ბავშვები 1-დან 5 წლამდე:</w:t>
      </w:r>
    </w:p>
    <w:p w14:paraId="067EE52F" w14:textId="1738A2DE" w:rsidR="00B951AF" w:rsidRPr="00F93015" w:rsidRDefault="00B951AF" w:rsidP="00E76C4E">
      <w:pPr>
        <w:spacing w:after="0" w:line="240" w:lineRule="auto"/>
        <w:jc w:val="both"/>
        <w:rPr>
          <w:rFonts w:ascii="Sylfaen" w:hAnsi="Sylfaen" w:cs="Sylfaen"/>
          <w:noProof/>
          <w:sz w:val="24"/>
          <w:szCs w:val="24"/>
          <w:lang w:val="ka-GE"/>
        </w:rPr>
      </w:pPr>
      <w:r w:rsidRPr="00F93015">
        <w:rPr>
          <w:rFonts w:ascii="Sylfaen" w:hAnsi="Sylfaen" w:cs="Sylfaen"/>
          <w:noProof/>
          <w:sz w:val="24"/>
          <w:szCs w:val="24"/>
          <w:lang w:val="ka-GE"/>
        </w:rPr>
        <w:lastRenderedPageBreak/>
        <w:t>ლორიტან D, ალერგიული რინიტი მწვავე და ქრონიკული ალერგიული რინიტით, მიიღება 2.5 მლ (1.25 მგ) ცალკე ან საკვებთან ერთად დღეში ერთხელ ჭინჭრის ციებასთან დაკავშირებული სიმპტომების შესამსუბუქებლად. გამოიყენეთ საზომი კოვზი 2.5 მლ-მდე ავსებით.</w:t>
      </w:r>
    </w:p>
    <w:p w14:paraId="00099871" w14:textId="77777777" w:rsidR="00B951AF" w:rsidRPr="00F93015" w:rsidRDefault="00B951AF" w:rsidP="00E76C4E">
      <w:pPr>
        <w:spacing w:after="0" w:line="240" w:lineRule="auto"/>
        <w:jc w:val="both"/>
        <w:rPr>
          <w:rFonts w:ascii="Sylfaen" w:hAnsi="Sylfaen" w:cs="Sylfaen"/>
          <w:noProof/>
          <w:sz w:val="24"/>
          <w:szCs w:val="24"/>
          <w:lang w:val="ka-GE"/>
        </w:rPr>
      </w:pPr>
    </w:p>
    <w:p w14:paraId="73EC8DBF" w14:textId="249E5809" w:rsidR="007509F2" w:rsidRPr="00F93015" w:rsidRDefault="007509F2" w:rsidP="00E76C4E">
      <w:pPr>
        <w:spacing w:after="0" w:line="240" w:lineRule="auto"/>
        <w:jc w:val="both"/>
        <w:rPr>
          <w:rFonts w:ascii="Sylfaen" w:hAnsi="Sylfaen" w:cs="Sylfaen"/>
          <w:noProof/>
          <w:sz w:val="24"/>
          <w:szCs w:val="24"/>
          <w:lang w:val="ka-GE"/>
        </w:rPr>
      </w:pPr>
      <w:r w:rsidRPr="00F93015">
        <w:rPr>
          <w:rFonts w:ascii="Sylfaen" w:hAnsi="Sylfaen" w:cs="Sylfaen"/>
          <w:noProof/>
          <w:sz w:val="24"/>
          <w:szCs w:val="24"/>
          <w:lang w:val="ka-GE"/>
        </w:rPr>
        <w:t>ბავშვები 6-დან 11 წელს შორის:</w:t>
      </w:r>
    </w:p>
    <w:p w14:paraId="68AB5A0D" w14:textId="28EE17CD" w:rsidR="00B951AF" w:rsidRPr="00F93015" w:rsidRDefault="00B951AF" w:rsidP="00E76C4E">
      <w:pPr>
        <w:spacing w:after="0" w:line="240" w:lineRule="auto"/>
        <w:jc w:val="both"/>
        <w:rPr>
          <w:rFonts w:ascii="Sylfaen" w:hAnsi="Sylfaen" w:cs="Sylfaen"/>
          <w:noProof/>
          <w:sz w:val="24"/>
          <w:szCs w:val="24"/>
          <w:lang w:val="ka-GE"/>
        </w:rPr>
      </w:pPr>
      <w:r w:rsidRPr="00F93015">
        <w:rPr>
          <w:rFonts w:ascii="Sylfaen" w:hAnsi="Sylfaen" w:cs="Sylfaen"/>
          <w:noProof/>
          <w:sz w:val="24"/>
          <w:szCs w:val="24"/>
          <w:lang w:val="ka-GE"/>
        </w:rPr>
        <w:t>ლორიტან D, ალერგიული რინიტი მწვავე და ქრონიკული ალერგიული რინიტით, მიიღება 5 მლ (2.5 მგ) ცალკე ან საკვებთან ერთად დღეში ერთხელ ჭინჭრის ციებასთან დაკავშირებული სიმპტომების შესამსუბუქებლად. გამოიყენეთ საზომი კოვზი 5 მლ-მდე ავსებით.</w:t>
      </w:r>
    </w:p>
    <w:p w14:paraId="78C640A8" w14:textId="77777777" w:rsidR="00B951AF" w:rsidRPr="00F93015" w:rsidRDefault="00B951AF" w:rsidP="00E76C4E">
      <w:pPr>
        <w:spacing w:after="0" w:line="240" w:lineRule="auto"/>
        <w:jc w:val="both"/>
        <w:rPr>
          <w:rFonts w:ascii="Sylfaen" w:hAnsi="Sylfaen" w:cs="Sylfaen"/>
          <w:noProof/>
          <w:sz w:val="24"/>
          <w:szCs w:val="24"/>
          <w:lang w:val="ka-GE"/>
        </w:rPr>
      </w:pPr>
    </w:p>
    <w:p w14:paraId="69A41A9F" w14:textId="7D770545" w:rsidR="007509F2" w:rsidRPr="00F93015" w:rsidRDefault="00151D1F" w:rsidP="00E76C4E">
      <w:pPr>
        <w:spacing w:after="0" w:line="240" w:lineRule="auto"/>
        <w:jc w:val="both"/>
        <w:rPr>
          <w:rFonts w:ascii="Sylfaen" w:hAnsi="Sylfaen" w:cs="Sylfaen"/>
          <w:noProof/>
          <w:sz w:val="24"/>
          <w:szCs w:val="24"/>
          <w:lang w:val="ka-GE"/>
        </w:rPr>
      </w:pPr>
      <w:r w:rsidRPr="00F93015">
        <w:rPr>
          <w:rFonts w:ascii="Sylfaen" w:hAnsi="Sylfaen" w:cs="Sylfaen"/>
          <w:noProof/>
          <w:sz w:val="24"/>
          <w:szCs w:val="24"/>
          <w:lang w:val="ka-GE"/>
        </w:rPr>
        <w:t>მოზრიდლები</w:t>
      </w:r>
      <w:r w:rsidR="007509F2" w:rsidRPr="00F93015">
        <w:rPr>
          <w:rFonts w:ascii="Sylfaen" w:hAnsi="Sylfaen" w:cs="Sylfaen"/>
          <w:noProof/>
          <w:sz w:val="24"/>
          <w:szCs w:val="24"/>
          <w:lang w:val="ka-GE"/>
        </w:rPr>
        <w:t>, 12 წლის და ზემოთ ასაკის ბავშვები:</w:t>
      </w:r>
    </w:p>
    <w:p w14:paraId="0B0D289E" w14:textId="353F99DF" w:rsidR="00B951AF" w:rsidRPr="00F93015" w:rsidRDefault="00B951AF" w:rsidP="00E76C4E">
      <w:pPr>
        <w:spacing w:after="0" w:line="240" w:lineRule="auto"/>
        <w:jc w:val="both"/>
        <w:rPr>
          <w:rFonts w:ascii="Sylfaen" w:hAnsi="Sylfaen" w:cs="Sylfaen"/>
          <w:noProof/>
          <w:sz w:val="24"/>
          <w:szCs w:val="24"/>
          <w:lang w:val="ka-GE"/>
        </w:rPr>
      </w:pPr>
      <w:r w:rsidRPr="00F93015">
        <w:rPr>
          <w:rFonts w:ascii="Sylfaen" w:hAnsi="Sylfaen" w:cs="Sylfaen"/>
          <w:noProof/>
          <w:sz w:val="24"/>
          <w:szCs w:val="24"/>
          <w:lang w:val="ka-GE"/>
        </w:rPr>
        <w:t>ლორიტან D, ალერგიული რინიტი მწვავე და ქრონიკული ალერგიული რინიტით, მიიღება 10 მლ (5 მგ) ცალკე ან საკვებთან ერთად დღეში ერთხელ ჭინჭრის ციებასთან დაკავშირებული სიმპტომების შესამსუბუქებლად.  მიიღეთ 10 მლ სიროფი დღეში ერთხელ. გამოიყენეთ საზომი კოვზი ორჯერ 5 მლ-მდე ავსებით.</w:t>
      </w:r>
    </w:p>
    <w:p w14:paraId="63FECAA3" w14:textId="40B0CC1F" w:rsidR="00B951AF" w:rsidRPr="00F93015" w:rsidRDefault="00B951AF" w:rsidP="00E76C4E">
      <w:pPr>
        <w:spacing w:after="0" w:line="240" w:lineRule="auto"/>
        <w:jc w:val="both"/>
        <w:rPr>
          <w:rFonts w:ascii="Sylfaen" w:hAnsi="Sylfaen" w:cs="Sylfaen"/>
          <w:noProof/>
          <w:sz w:val="24"/>
          <w:szCs w:val="24"/>
          <w:lang w:val="ka-GE"/>
        </w:rPr>
      </w:pPr>
    </w:p>
    <w:p w14:paraId="5993933B" w14:textId="672F569B" w:rsidR="00B951AF" w:rsidRPr="00F93015" w:rsidRDefault="00B951AF" w:rsidP="00E76C4E">
      <w:pPr>
        <w:spacing w:after="0" w:line="240" w:lineRule="auto"/>
        <w:jc w:val="both"/>
        <w:rPr>
          <w:rFonts w:ascii="Sylfaen" w:hAnsi="Sylfaen" w:cs="Sylfaen"/>
          <w:b/>
          <w:bCs/>
          <w:noProof/>
          <w:sz w:val="24"/>
          <w:szCs w:val="24"/>
          <w:lang w:val="ka-GE"/>
        </w:rPr>
      </w:pPr>
      <w:r w:rsidRPr="00F93015">
        <w:rPr>
          <w:rFonts w:ascii="Sylfaen" w:hAnsi="Sylfaen" w:cs="Sylfaen"/>
          <w:b/>
          <w:bCs/>
          <w:noProof/>
          <w:sz w:val="24"/>
          <w:szCs w:val="24"/>
          <w:lang w:val="ka-GE"/>
        </w:rPr>
        <w:t>დამატებითი ინფორმაცია სპეციალურ პოპულაციებთან დაკავშირებით:</w:t>
      </w:r>
    </w:p>
    <w:p w14:paraId="1E1A57C5" w14:textId="03589A51" w:rsidR="00B951AF" w:rsidRPr="00F93015" w:rsidRDefault="00B951AF" w:rsidP="00E76C4E">
      <w:pPr>
        <w:spacing w:after="0" w:line="240" w:lineRule="auto"/>
        <w:jc w:val="both"/>
        <w:rPr>
          <w:rFonts w:ascii="Sylfaen" w:hAnsi="Sylfaen" w:cs="Sylfaen"/>
          <w:b/>
          <w:bCs/>
          <w:noProof/>
          <w:sz w:val="24"/>
          <w:szCs w:val="24"/>
          <w:lang w:val="ka-GE"/>
        </w:rPr>
      </w:pPr>
      <w:r w:rsidRPr="00F93015">
        <w:rPr>
          <w:rFonts w:ascii="Sylfaen" w:hAnsi="Sylfaen" w:cs="Sylfaen"/>
          <w:b/>
          <w:bCs/>
          <w:noProof/>
          <w:sz w:val="24"/>
          <w:szCs w:val="24"/>
          <w:lang w:val="ka-GE"/>
        </w:rPr>
        <w:t>თირკმლის უკმარისობა:</w:t>
      </w:r>
    </w:p>
    <w:p w14:paraId="7924BAD0" w14:textId="50FA0AB3" w:rsidR="00B951AF" w:rsidRPr="00F93015" w:rsidRDefault="007401B0" w:rsidP="00E76C4E">
      <w:pPr>
        <w:spacing w:after="0" w:line="240" w:lineRule="auto"/>
        <w:jc w:val="both"/>
        <w:rPr>
          <w:rFonts w:ascii="Sylfaen" w:hAnsi="Sylfaen" w:cs="Sylfaen"/>
          <w:noProof/>
          <w:sz w:val="24"/>
          <w:szCs w:val="24"/>
          <w:lang w:val="ka-GE"/>
        </w:rPr>
      </w:pPr>
      <w:r w:rsidRPr="00F93015">
        <w:rPr>
          <w:rFonts w:ascii="Sylfaen" w:hAnsi="Sylfaen" w:cs="Sylfaen"/>
          <w:noProof/>
          <w:sz w:val="24"/>
          <w:szCs w:val="24"/>
          <w:lang w:val="ka-GE"/>
        </w:rPr>
        <w:t>მწვავე თირკმლის უკმარიოსბის მქონე პაციენტებში უნდა იქნას გამოყენებული სიფრთხილით.</w:t>
      </w:r>
    </w:p>
    <w:p w14:paraId="4570309E" w14:textId="5AB2BB10" w:rsidR="007401B0" w:rsidRPr="00F93015" w:rsidRDefault="007401B0" w:rsidP="00E76C4E">
      <w:pPr>
        <w:spacing w:after="0" w:line="240" w:lineRule="auto"/>
        <w:jc w:val="both"/>
        <w:rPr>
          <w:rFonts w:ascii="Sylfaen" w:hAnsi="Sylfaen" w:cs="Sylfaen"/>
          <w:b/>
          <w:bCs/>
          <w:noProof/>
          <w:sz w:val="24"/>
          <w:szCs w:val="24"/>
          <w:lang w:val="ka-GE"/>
        </w:rPr>
      </w:pPr>
      <w:r w:rsidRPr="00F93015">
        <w:rPr>
          <w:rFonts w:ascii="Sylfaen" w:hAnsi="Sylfaen" w:cs="Sylfaen"/>
          <w:b/>
          <w:bCs/>
          <w:noProof/>
          <w:sz w:val="24"/>
          <w:szCs w:val="24"/>
          <w:lang w:val="ka-GE"/>
        </w:rPr>
        <w:t>ღვიძლის უკმარისობა:</w:t>
      </w:r>
    </w:p>
    <w:p w14:paraId="15BF4E0D" w14:textId="40BDEEC8" w:rsidR="007401B0" w:rsidRPr="00F93015" w:rsidRDefault="007401B0" w:rsidP="00E76C4E">
      <w:pPr>
        <w:spacing w:after="0" w:line="240" w:lineRule="auto"/>
        <w:jc w:val="both"/>
        <w:rPr>
          <w:rFonts w:ascii="Sylfaen" w:hAnsi="Sylfaen" w:cs="Sylfaen"/>
          <w:noProof/>
          <w:sz w:val="24"/>
          <w:szCs w:val="24"/>
          <w:lang w:val="ka-GE"/>
        </w:rPr>
      </w:pPr>
      <w:r w:rsidRPr="00F93015">
        <w:rPr>
          <w:rFonts w:ascii="Sylfaen" w:hAnsi="Sylfaen" w:cs="Sylfaen"/>
          <w:noProof/>
          <w:sz w:val="24"/>
          <w:szCs w:val="24"/>
          <w:lang w:val="ka-GE"/>
        </w:rPr>
        <w:t>ღვიძლის უკმარისობის მქონე პაციენტებში გამოყენების შესახებ ინფორმაცია არ არის ხელმისაწვდომი.</w:t>
      </w:r>
    </w:p>
    <w:p w14:paraId="517E486B" w14:textId="22BD7877" w:rsidR="007401B0" w:rsidRPr="00F93015" w:rsidRDefault="007401B0" w:rsidP="00E76C4E">
      <w:pPr>
        <w:spacing w:after="0" w:line="240" w:lineRule="auto"/>
        <w:jc w:val="both"/>
        <w:rPr>
          <w:rFonts w:ascii="Sylfaen" w:hAnsi="Sylfaen" w:cs="Sylfaen"/>
          <w:b/>
          <w:bCs/>
          <w:noProof/>
          <w:sz w:val="24"/>
          <w:szCs w:val="24"/>
          <w:lang w:val="ka-GE"/>
        </w:rPr>
      </w:pPr>
      <w:r w:rsidRPr="00F93015">
        <w:rPr>
          <w:rFonts w:ascii="Sylfaen" w:hAnsi="Sylfaen" w:cs="Sylfaen"/>
          <w:b/>
          <w:bCs/>
          <w:noProof/>
          <w:sz w:val="24"/>
          <w:szCs w:val="24"/>
          <w:lang w:val="ka-GE"/>
        </w:rPr>
        <w:t>პედიატრიული პოპულაცია:</w:t>
      </w:r>
    </w:p>
    <w:p w14:paraId="59C32534" w14:textId="6D5E4CE6" w:rsidR="007401B0" w:rsidRPr="00F93015" w:rsidRDefault="007401B0" w:rsidP="00E76C4E">
      <w:pPr>
        <w:spacing w:after="0" w:line="240" w:lineRule="auto"/>
        <w:jc w:val="both"/>
        <w:rPr>
          <w:rFonts w:ascii="Sylfaen" w:hAnsi="Sylfaen" w:cs="Sylfaen"/>
          <w:noProof/>
          <w:sz w:val="24"/>
          <w:szCs w:val="24"/>
          <w:lang w:val="ka-GE"/>
        </w:rPr>
      </w:pPr>
      <w:r w:rsidRPr="00F93015">
        <w:rPr>
          <w:rFonts w:ascii="Sylfaen" w:hAnsi="Sylfaen" w:cs="Sylfaen"/>
          <w:noProof/>
          <w:sz w:val="24"/>
          <w:szCs w:val="24"/>
          <w:lang w:val="ka-GE"/>
        </w:rPr>
        <w:t>პედიატრიულ პოპულაციაში მედიკამენტის მიღების შესახებ ინფორმაცია მოცემულია ზემოთ.</w:t>
      </w:r>
    </w:p>
    <w:p w14:paraId="55B8F496" w14:textId="0AFD28BE" w:rsidR="007401B0" w:rsidRPr="00F93015" w:rsidRDefault="007401B0" w:rsidP="00E76C4E">
      <w:pPr>
        <w:spacing w:after="0" w:line="240" w:lineRule="auto"/>
        <w:jc w:val="both"/>
        <w:rPr>
          <w:rFonts w:ascii="Sylfaen" w:hAnsi="Sylfaen" w:cs="Sylfaen"/>
          <w:b/>
          <w:bCs/>
          <w:noProof/>
          <w:sz w:val="24"/>
          <w:szCs w:val="24"/>
          <w:lang w:val="ka-GE"/>
        </w:rPr>
      </w:pPr>
      <w:r w:rsidRPr="00F93015">
        <w:rPr>
          <w:rFonts w:ascii="Sylfaen" w:hAnsi="Sylfaen" w:cs="Sylfaen"/>
          <w:b/>
          <w:bCs/>
          <w:noProof/>
          <w:sz w:val="24"/>
          <w:szCs w:val="24"/>
          <w:lang w:val="ka-GE"/>
        </w:rPr>
        <w:t>გერიატრიული პოპულაცია:</w:t>
      </w:r>
    </w:p>
    <w:p w14:paraId="2D10B134" w14:textId="2BBCDB10" w:rsidR="007401B0" w:rsidRPr="00F93015" w:rsidRDefault="007401B0" w:rsidP="00E76C4E">
      <w:pPr>
        <w:spacing w:after="0" w:line="240" w:lineRule="auto"/>
        <w:jc w:val="both"/>
        <w:rPr>
          <w:rFonts w:ascii="Sylfaen" w:hAnsi="Sylfaen" w:cs="Sylfaen"/>
          <w:noProof/>
          <w:sz w:val="24"/>
          <w:szCs w:val="24"/>
          <w:lang w:val="ka-GE"/>
        </w:rPr>
      </w:pPr>
      <w:r w:rsidRPr="00F93015">
        <w:rPr>
          <w:rFonts w:ascii="Sylfaen" w:hAnsi="Sylfaen" w:cs="Sylfaen"/>
          <w:noProof/>
          <w:sz w:val="24"/>
          <w:szCs w:val="24"/>
          <w:lang w:val="ka-GE"/>
        </w:rPr>
        <w:t>გერიატრიულ პუპლაციაში ეფექტურობა და უსაფრთხოება ჯერჯერობით დადგენილი არ არის.</w:t>
      </w:r>
    </w:p>
    <w:p w14:paraId="072CB73D" w14:textId="32D6F013" w:rsidR="007401B0" w:rsidRPr="00F93015" w:rsidRDefault="007401B0" w:rsidP="00E76C4E">
      <w:pPr>
        <w:spacing w:after="0" w:line="240" w:lineRule="auto"/>
        <w:jc w:val="both"/>
        <w:rPr>
          <w:rFonts w:ascii="Sylfaen" w:hAnsi="Sylfaen" w:cs="Sylfaen"/>
          <w:b/>
          <w:bCs/>
          <w:noProof/>
          <w:sz w:val="24"/>
          <w:szCs w:val="24"/>
          <w:lang w:val="ka-GE"/>
        </w:rPr>
      </w:pPr>
      <w:r w:rsidRPr="00F93015">
        <w:rPr>
          <w:rFonts w:ascii="Sylfaen" w:hAnsi="Sylfaen" w:cs="Sylfaen"/>
          <w:b/>
          <w:bCs/>
          <w:noProof/>
          <w:sz w:val="24"/>
          <w:szCs w:val="24"/>
          <w:lang w:val="ka-GE"/>
        </w:rPr>
        <w:t>4.3 უკუჩვენებები</w:t>
      </w:r>
    </w:p>
    <w:p w14:paraId="7AC4C8F6" w14:textId="65CB5BAC" w:rsidR="007401B0" w:rsidRPr="00F93015" w:rsidRDefault="007401B0" w:rsidP="00E76C4E">
      <w:pPr>
        <w:spacing w:after="0" w:line="240" w:lineRule="auto"/>
        <w:jc w:val="both"/>
        <w:rPr>
          <w:rFonts w:ascii="Sylfaen" w:hAnsi="Sylfaen" w:cs="Sylfaen"/>
          <w:noProof/>
          <w:sz w:val="24"/>
          <w:szCs w:val="24"/>
          <w:lang w:val="ka-GE"/>
        </w:rPr>
      </w:pPr>
      <w:r w:rsidRPr="00F93015">
        <w:rPr>
          <w:rFonts w:ascii="Sylfaen" w:hAnsi="Sylfaen" w:cs="Sylfaen"/>
          <w:noProof/>
          <w:sz w:val="24"/>
          <w:szCs w:val="24"/>
          <w:lang w:val="ka-GE"/>
        </w:rPr>
        <w:t xml:space="preserve">აქტიური ნივთიერება უკუნაჩვენებია რომელიმე დამხმარე </w:t>
      </w:r>
      <w:r w:rsidR="00151D1F" w:rsidRPr="00F93015">
        <w:rPr>
          <w:rFonts w:ascii="Sylfaen" w:hAnsi="Sylfaen" w:cs="Sylfaen"/>
          <w:noProof/>
          <w:sz w:val="24"/>
          <w:szCs w:val="24"/>
          <w:lang w:val="ka-GE"/>
        </w:rPr>
        <w:t xml:space="preserve">კომპონენტის </w:t>
      </w:r>
      <w:r w:rsidRPr="00F93015">
        <w:rPr>
          <w:rFonts w:ascii="Sylfaen" w:hAnsi="Sylfaen" w:cs="Sylfaen"/>
          <w:noProof/>
          <w:sz w:val="24"/>
          <w:szCs w:val="24"/>
          <w:lang w:val="ka-GE"/>
        </w:rPr>
        <w:t xml:space="preserve">ან ლორატადინის მიმართ ჰიპერმგრძნობელობის მქონე პაციენტებში. </w:t>
      </w:r>
    </w:p>
    <w:p w14:paraId="5AD40C34" w14:textId="46891C75" w:rsidR="007401B0" w:rsidRPr="00F93015" w:rsidRDefault="007401B0" w:rsidP="00E76C4E">
      <w:pPr>
        <w:spacing w:after="0" w:line="240" w:lineRule="auto"/>
        <w:jc w:val="both"/>
        <w:rPr>
          <w:rFonts w:ascii="Sylfaen" w:hAnsi="Sylfaen" w:cs="Sylfaen"/>
          <w:b/>
          <w:bCs/>
          <w:noProof/>
          <w:sz w:val="24"/>
          <w:szCs w:val="24"/>
          <w:lang w:val="ka-GE"/>
        </w:rPr>
      </w:pPr>
      <w:r w:rsidRPr="00F93015">
        <w:rPr>
          <w:rFonts w:ascii="Sylfaen" w:hAnsi="Sylfaen" w:cs="Sylfaen"/>
          <w:b/>
          <w:bCs/>
          <w:noProof/>
          <w:sz w:val="24"/>
          <w:szCs w:val="24"/>
          <w:lang w:val="ka-GE"/>
        </w:rPr>
        <w:t>4.4.  სპეციალური გაფრთხილებები და სიფრთხილის ზომები</w:t>
      </w:r>
    </w:p>
    <w:p w14:paraId="151597B6" w14:textId="55C29AB3" w:rsidR="007401B0" w:rsidRPr="00F93015" w:rsidRDefault="00C332DB" w:rsidP="00E76C4E">
      <w:pPr>
        <w:spacing w:after="0" w:line="240" w:lineRule="auto"/>
        <w:jc w:val="both"/>
        <w:rPr>
          <w:rFonts w:ascii="Sylfaen" w:hAnsi="Sylfaen" w:cs="Sylfaen"/>
          <w:noProof/>
          <w:sz w:val="24"/>
          <w:szCs w:val="24"/>
          <w:lang w:val="ka-GE"/>
        </w:rPr>
      </w:pPr>
      <w:r w:rsidRPr="00F93015">
        <w:rPr>
          <w:rFonts w:ascii="Sylfaen" w:hAnsi="Sylfaen" w:cs="Sylfaen"/>
          <w:noProof/>
          <w:sz w:val="24"/>
          <w:szCs w:val="24"/>
          <w:lang w:val="ka-GE"/>
        </w:rPr>
        <w:t>ლორიტან D-ის უსაფრთხოება და ეფექტურობა 6 თვემდე ბავშვებში ჯერჯერობით დადგენილი არ არის (იხ. ნაწილი 5.1).</w:t>
      </w:r>
    </w:p>
    <w:p w14:paraId="25B5A277" w14:textId="4426761D" w:rsidR="00C332DB" w:rsidRPr="00F93015" w:rsidRDefault="00C332DB" w:rsidP="00E76C4E">
      <w:pPr>
        <w:spacing w:after="0" w:line="240" w:lineRule="auto"/>
        <w:jc w:val="both"/>
        <w:rPr>
          <w:rFonts w:ascii="Sylfaen" w:hAnsi="Sylfaen" w:cs="Sylfaen"/>
          <w:noProof/>
          <w:sz w:val="24"/>
          <w:szCs w:val="24"/>
          <w:lang w:val="ka-GE"/>
        </w:rPr>
      </w:pPr>
    </w:p>
    <w:p w14:paraId="128E09EF" w14:textId="74DB713B" w:rsidR="00C332DB" w:rsidRPr="00F93015" w:rsidRDefault="00C332DB" w:rsidP="00E76C4E">
      <w:pPr>
        <w:spacing w:after="0" w:line="240" w:lineRule="auto"/>
        <w:jc w:val="both"/>
        <w:rPr>
          <w:rFonts w:ascii="Sylfaen" w:hAnsi="Sylfaen" w:cs="Sylfaen"/>
          <w:noProof/>
          <w:sz w:val="24"/>
          <w:szCs w:val="24"/>
          <w:lang w:val="ka-GE"/>
        </w:rPr>
      </w:pPr>
      <w:r w:rsidRPr="00F93015">
        <w:rPr>
          <w:rFonts w:ascii="Sylfaen" w:hAnsi="Sylfaen" w:cs="Sylfaen"/>
          <w:noProof/>
          <w:sz w:val="24"/>
          <w:szCs w:val="24"/>
          <w:lang w:val="ka-GE"/>
        </w:rPr>
        <w:t xml:space="preserve">2 წლამდე ბავშვებში ალერგიული რინიტის და სხვა სახის რინიტის ერთმანეთისგან გარჩევა რთულია. თუ პაციენტს არ აქვს ზედა სასუნთქი გზების ინფექცია ან სტრუქტურული დარღვევები, ასევე უნდა იქნას გათვალისწინებული პაციენტის ისტორია, ფიზიკური გამოკვლევა და შესაბამისი ლაბორატორიული და კანის ტესტების შედეგები. </w:t>
      </w:r>
    </w:p>
    <w:p w14:paraId="2193E53D" w14:textId="4A75936E" w:rsidR="00C332DB" w:rsidRPr="00F93015" w:rsidRDefault="00C332DB" w:rsidP="00E76C4E">
      <w:pPr>
        <w:spacing w:after="0" w:line="240" w:lineRule="auto"/>
        <w:jc w:val="both"/>
        <w:rPr>
          <w:rFonts w:ascii="Sylfaen" w:hAnsi="Sylfaen" w:cs="Sylfaen"/>
          <w:noProof/>
          <w:sz w:val="24"/>
          <w:szCs w:val="24"/>
          <w:lang w:val="ka-GE"/>
        </w:rPr>
      </w:pPr>
      <w:r w:rsidRPr="00F93015">
        <w:rPr>
          <w:rFonts w:ascii="Sylfaen" w:hAnsi="Sylfaen" w:cs="Sylfaen"/>
          <w:noProof/>
          <w:sz w:val="24"/>
          <w:szCs w:val="24"/>
          <w:lang w:val="ka-GE"/>
        </w:rPr>
        <w:t>2-11 წლის ასაკის მოზრდილებისა და ბავშვების დაახლოებით 6% მეტაბოლიზებს დესლორატადინს ფენოტიპურად და ავლენს ექსპოზიციის მაღალ დონეს. ლორიტან D-ის უსაფრთხოება ცუდი მეტაბოლიზმის მქონე ბავშვებში 2-დან 11 წლამდე იგივეა, რაც ნორმალური მეტაბოლიზმის მქონე ბავშვებში. ლორიტან D-ის ზემოქმედება 2 წელზე ნაკლები ასაკის ბავშვებში, რომლებსაც არ შეუძლიათ დესლორატადინის მეტაბოლიზება, შესწავლილი არ არის.</w:t>
      </w:r>
    </w:p>
    <w:p w14:paraId="013C8D80" w14:textId="70379FD4" w:rsidR="00B951AF" w:rsidRPr="00F93015" w:rsidRDefault="00C332DB"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მწვავე თირკმლის უკმარისობის მქონე პაციენტებში ლორიტან D სიფრთხილით უნდა იქნას გამოყენებული (იხ. ნაწილი 5.2).</w:t>
      </w:r>
    </w:p>
    <w:p w14:paraId="20FB8992" w14:textId="4E074AD5" w:rsidR="00C332DB" w:rsidRPr="00F93015" w:rsidRDefault="00C332DB" w:rsidP="00E76C4E">
      <w:pPr>
        <w:spacing w:after="0" w:line="240" w:lineRule="auto"/>
        <w:jc w:val="both"/>
        <w:rPr>
          <w:rFonts w:ascii="Sylfaen" w:eastAsia="Times New Roman" w:hAnsi="Sylfaen" w:cs="Times New Roman"/>
          <w:noProof/>
          <w:color w:val="000000"/>
          <w:sz w:val="24"/>
          <w:szCs w:val="24"/>
          <w:lang w:val="ka-GE"/>
        </w:rPr>
      </w:pPr>
    </w:p>
    <w:p w14:paraId="08CEBC80" w14:textId="08000EC7" w:rsidR="00231804" w:rsidRPr="00F93015" w:rsidRDefault="00231804"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საქაროზა და სორბიტოლი:</w:t>
      </w:r>
    </w:p>
    <w:p w14:paraId="0543946E" w14:textId="09AB03F9" w:rsidR="00231804" w:rsidRPr="00F93015" w:rsidRDefault="00231804"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lastRenderedPageBreak/>
        <w:t>ეს სამედიცინო პროდუქტი შეიცავს საქაროზას და სორბიტოლს; ასერომ, იშვიათი მემკვიდრული ფქუროტოზას აუტანლობის, გლუკოზა-გალაქტოზას მალაბსობრციის, ან საქაროზა-იზომალტაზას უკმარისობის პრობლემების მქონე პაციენტებში ამ მედიკამენტის გამოყენება არ შეიძლება.</w:t>
      </w:r>
    </w:p>
    <w:p w14:paraId="00C40B80" w14:textId="7BF9EF22" w:rsidR="00231804" w:rsidRPr="00F93015" w:rsidRDefault="00231804" w:rsidP="00E76C4E">
      <w:pPr>
        <w:spacing w:after="0" w:line="240" w:lineRule="auto"/>
        <w:jc w:val="both"/>
        <w:rPr>
          <w:rFonts w:ascii="Sylfaen" w:eastAsia="Times New Roman" w:hAnsi="Sylfaen" w:cs="Times New Roman"/>
          <w:noProof/>
          <w:color w:val="000000"/>
          <w:sz w:val="24"/>
          <w:szCs w:val="24"/>
          <w:lang w:val="ka-GE"/>
        </w:rPr>
      </w:pPr>
    </w:p>
    <w:p w14:paraId="3E57F00D" w14:textId="1B35969A" w:rsidR="00231804" w:rsidRPr="00F93015" w:rsidRDefault="00231804"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FD &amp; C 6 დაისის ყვითელი:</w:t>
      </w:r>
    </w:p>
    <w:p w14:paraId="71DF602B" w14:textId="10FFCFA2" w:rsidR="00231804" w:rsidRPr="00F93015" w:rsidRDefault="00231804"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 xml:space="preserve">ეს სამედიცინო პროდუქტი საღებავის სახით შეიცავს FD &amp; C 6 დაისის ყვითელს, რომელმაც შესაძლოა გამოიწვიოს ალერგიული რეაქციები. </w:t>
      </w:r>
    </w:p>
    <w:p w14:paraId="6DB3D8C4" w14:textId="77777777" w:rsidR="00CF7598" w:rsidRPr="00F93015" w:rsidRDefault="00CF7598" w:rsidP="00E76C4E">
      <w:pPr>
        <w:spacing w:after="0" w:line="240" w:lineRule="auto"/>
        <w:jc w:val="both"/>
        <w:rPr>
          <w:rFonts w:ascii="Sylfaen" w:eastAsia="Times New Roman" w:hAnsi="Sylfaen" w:cs="Times New Roman"/>
          <w:b/>
          <w:bCs/>
          <w:noProof/>
          <w:color w:val="000000"/>
          <w:sz w:val="24"/>
          <w:szCs w:val="24"/>
          <w:lang w:val="ka-GE"/>
        </w:rPr>
      </w:pPr>
    </w:p>
    <w:p w14:paraId="40CD3652" w14:textId="7FE0CA0A" w:rsidR="00CF7598" w:rsidRPr="00F93015" w:rsidRDefault="00CF7598"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ნატრიუმი:</w:t>
      </w:r>
    </w:p>
    <w:p w14:paraId="48EE7A90" w14:textId="36B83155" w:rsidR="00CF7598" w:rsidRPr="00F93015" w:rsidRDefault="00CF7598"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 xml:space="preserve">ეს სამედიცინო პროდუქტი შეიცავს 1 მმოლ-ზე ნაკლებ (23 მგ) ნატრიუმს ერთ დოზაზე; დოზის მიხედვით გვერდითი მოვლენები მოსალოდნელი არ არის. </w:t>
      </w:r>
    </w:p>
    <w:p w14:paraId="53495C60" w14:textId="4069A831" w:rsidR="00CF7598" w:rsidRPr="00F93015" w:rsidRDefault="00CF7598" w:rsidP="00E76C4E">
      <w:pPr>
        <w:spacing w:after="0" w:line="240" w:lineRule="auto"/>
        <w:jc w:val="both"/>
        <w:rPr>
          <w:rFonts w:ascii="Sylfaen" w:eastAsia="Times New Roman" w:hAnsi="Sylfaen" w:cs="Times New Roman"/>
          <w:noProof/>
          <w:color w:val="000000"/>
          <w:sz w:val="24"/>
          <w:szCs w:val="24"/>
          <w:lang w:val="ka-GE"/>
        </w:rPr>
      </w:pPr>
    </w:p>
    <w:p w14:paraId="3066270F" w14:textId="41C08EFA" w:rsidR="00CF7598" w:rsidRPr="00F93015" w:rsidRDefault="00CF7598"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პროპილენ გლიკოლი:</w:t>
      </w:r>
    </w:p>
    <w:p w14:paraId="1339F712" w14:textId="75B93ECC" w:rsidR="00CF7598" w:rsidRPr="00F93015" w:rsidRDefault="00CF7598"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 xml:space="preserve">ეს სამედიცინო პროდუქტი შეიცავს 100 მგ/მლ პროპილენ გლიკოლს. ამ დოზაზე პროპილენ გლიკოლის მიერ გამოწვეული გვერდითი მოვლენები მოსალოდნელი არ არის. </w:t>
      </w:r>
    </w:p>
    <w:p w14:paraId="5EAB0979" w14:textId="6297606A" w:rsidR="00CF7598" w:rsidRPr="00F93015" w:rsidRDefault="00CF7598" w:rsidP="00E76C4E">
      <w:pPr>
        <w:spacing w:after="0" w:line="240" w:lineRule="auto"/>
        <w:jc w:val="both"/>
        <w:rPr>
          <w:rFonts w:ascii="Sylfaen" w:eastAsia="Times New Roman" w:hAnsi="Sylfaen" w:cs="Times New Roman"/>
          <w:noProof/>
          <w:color w:val="000000"/>
          <w:sz w:val="24"/>
          <w:szCs w:val="24"/>
          <w:lang w:val="ka-GE"/>
        </w:rPr>
      </w:pPr>
    </w:p>
    <w:p w14:paraId="645AAD34" w14:textId="133E522B" w:rsidR="00CF7598" w:rsidRPr="00F93015" w:rsidRDefault="00CF7598"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4.5 სხვა სამკურნალო საშუალებებთან ურთიერთქმედება და ურთიერთქმედების სხვა ფორმები</w:t>
      </w:r>
    </w:p>
    <w:p w14:paraId="58E2F910" w14:textId="086E2B9E" w:rsidR="00CF7598" w:rsidRPr="00F93015" w:rsidRDefault="00CF7598"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დესლორატადინის კლინიკურ კვლევებში, სადაც ერითრომიცინი და კეტოკონაზოლი ერთად გამოიყენებოდა, კლინიკური ურთიერთქმედება არ დაფიქსირებულა.</w:t>
      </w:r>
    </w:p>
    <w:p w14:paraId="05C5EEA1" w14:textId="77777777" w:rsidR="009B35E3" w:rsidRPr="00F93015" w:rsidRDefault="009B35E3" w:rsidP="00E76C4E">
      <w:pPr>
        <w:spacing w:after="0" w:line="240" w:lineRule="auto"/>
        <w:jc w:val="both"/>
        <w:rPr>
          <w:rFonts w:ascii="Sylfaen" w:eastAsia="Times New Roman" w:hAnsi="Sylfaen" w:cs="Times New Roman"/>
          <w:noProof/>
          <w:color w:val="000000"/>
          <w:sz w:val="24"/>
          <w:szCs w:val="24"/>
          <w:lang w:val="ka-GE"/>
        </w:rPr>
      </w:pPr>
    </w:p>
    <w:p w14:paraId="058BF8FC" w14:textId="654D7BD2" w:rsidR="009B35E3" w:rsidRPr="00F93015" w:rsidRDefault="009B35E3"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კლინიკურ ფარმაკოლოგიურ კვლევებში, რომლებშიც ლორიტან D გამოიყენებოდა ალკოჰოლთან ერთად, ლორიტან D-მ არ გაზარდა ალკოჰოლის მავნე მოქმედება (იხ. ნაწილი 5.1 ).</w:t>
      </w:r>
    </w:p>
    <w:p w14:paraId="68941714" w14:textId="62CE3291" w:rsidR="009B35E3" w:rsidRPr="00F93015" w:rsidRDefault="009B35E3"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ლორიტან D ურთიერთქმედებს პერორალურ კონტრაცეპტივებთან. ამის გამო მკურნალობისას უნდა იქნას გამოყენებული ალტერნატიული, ეფექტური და საიმედო კონტრაცეპტული მეთოდი.</w:t>
      </w:r>
    </w:p>
    <w:p w14:paraId="1B76D0BA" w14:textId="38322033" w:rsidR="009B35E3" w:rsidRPr="00F93015" w:rsidRDefault="009B35E3" w:rsidP="00E76C4E">
      <w:pPr>
        <w:spacing w:after="0" w:line="240" w:lineRule="auto"/>
        <w:jc w:val="both"/>
        <w:rPr>
          <w:rFonts w:ascii="Sylfaen" w:eastAsia="Times New Roman" w:hAnsi="Sylfaen" w:cs="Times New Roman"/>
          <w:noProof/>
          <w:color w:val="000000"/>
          <w:sz w:val="24"/>
          <w:szCs w:val="24"/>
          <w:lang w:val="ka-GE"/>
        </w:rPr>
      </w:pPr>
    </w:p>
    <w:p w14:paraId="760A19F1" w14:textId="2F7D9AE7" w:rsidR="009B35E3" w:rsidRPr="00F93015" w:rsidRDefault="009B35E3"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4.6 ორსულობა და ლაქტაცია</w:t>
      </w:r>
    </w:p>
    <w:p w14:paraId="00AC5289" w14:textId="60902176" w:rsidR="009B35E3" w:rsidRPr="00F93015" w:rsidRDefault="009B35E3"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ზოგადი რჩევა</w:t>
      </w:r>
    </w:p>
    <w:p w14:paraId="14608782" w14:textId="46840550" w:rsidR="009B35E3" w:rsidRPr="00F93015" w:rsidRDefault="009B35E3"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ორსულობის კატეგორია არის C.</w:t>
      </w:r>
    </w:p>
    <w:p w14:paraId="51CCB47D" w14:textId="353504DD" w:rsidR="009B35E3" w:rsidRPr="00F93015" w:rsidRDefault="009B35E3" w:rsidP="00E76C4E">
      <w:pPr>
        <w:spacing w:after="0" w:line="240" w:lineRule="auto"/>
        <w:jc w:val="both"/>
        <w:rPr>
          <w:rFonts w:ascii="Sylfaen" w:eastAsia="Times New Roman" w:hAnsi="Sylfaen" w:cs="Times New Roman"/>
          <w:noProof/>
          <w:color w:val="000000"/>
          <w:sz w:val="24"/>
          <w:szCs w:val="24"/>
          <w:lang w:val="ka-GE"/>
        </w:rPr>
      </w:pPr>
    </w:p>
    <w:p w14:paraId="4E0869E0" w14:textId="720D5B47" w:rsidR="009B35E3" w:rsidRPr="00F93015" w:rsidRDefault="005262B0"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ქალები დაორსულების პოტენციალით/ შობადობის რეგულირება(კონტრაცეფცია)</w:t>
      </w:r>
    </w:p>
    <w:p w14:paraId="2EF3BC59" w14:textId="77777777" w:rsidR="005262B0" w:rsidRPr="00F93015" w:rsidRDefault="005262B0"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ლორიტან D ურთიერთქმედებს პერორალურ კონტრაცეპტივებთან. ამის გამო მკურნალობისას უნდა იქნას გამოყენებული ალტერნატიული, ეფექტური და საიმედო კონტრაცეპტული მეთოდი.</w:t>
      </w:r>
    </w:p>
    <w:p w14:paraId="0573B566" w14:textId="618360A6" w:rsidR="005262B0" w:rsidRPr="00F93015" w:rsidRDefault="005262B0" w:rsidP="00E76C4E">
      <w:pPr>
        <w:spacing w:after="0" w:line="240" w:lineRule="auto"/>
        <w:jc w:val="both"/>
        <w:rPr>
          <w:rFonts w:ascii="Sylfaen" w:eastAsia="Times New Roman" w:hAnsi="Sylfaen" w:cs="Times New Roman"/>
          <w:noProof/>
          <w:color w:val="000000"/>
          <w:sz w:val="24"/>
          <w:szCs w:val="24"/>
          <w:lang w:val="ka-GE"/>
        </w:rPr>
      </w:pPr>
    </w:p>
    <w:p w14:paraId="081FB007" w14:textId="251A34BC" w:rsidR="005262B0" w:rsidRPr="00F93015" w:rsidRDefault="005262B0"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 xml:space="preserve">ორსულობის პერიოდი </w:t>
      </w:r>
    </w:p>
    <w:p w14:paraId="7965DF58" w14:textId="7A844A12" w:rsidR="005262B0" w:rsidRPr="00F93015" w:rsidRDefault="00832EC7"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 xml:space="preserve">ორსულ ქალებში ლორიტან D-ის გამოყენებასთან დაკავშირებული მონაცემები არ არის საკმარისი. ცხოველების კვლევებში არ არის შემჩნეული რეპროდუქციული ტოქსიკურობა. </w:t>
      </w:r>
    </w:p>
    <w:p w14:paraId="401A7FC3" w14:textId="7DB4772D" w:rsidR="00832EC7" w:rsidRPr="00F93015" w:rsidRDefault="00832EC7"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 xml:space="preserve">პოტენციური რისკი ადამიანებში არ არის ცნობილი (იხ. ნაწილი 5.3.). ამის გამო, ორსულობის პერიოდში მისი გამოყენება არ არის რეკომენდებული. </w:t>
      </w:r>
    </w:p>
    <w:p w14:paraId="0F4CE938" w14:textId="149BC42A" w:rsidR="00832EC7" w:rsidRPr="00F93015" w:rsidRDefault="00832EC7" w:rsidP="00E76C4E">
      <w:pPr>
        <w:spacing w:after="0" w:line="240" w:lineRule="auto"/>
        <w:jc w:val="both"/>
        <w:rPr>
          <w:rFonts w:ascii="Sylfaen" w:eastAsia="Times New Roman" w:hAnsi="Sylfaen" w:cs="Times New Roman"/>
          <w:noProof/>
          <w:color w:val="000000"/>
          <w:sz w:val="24"/>
          <w:szCs w:val="24"/>
          <w:lang w:val="ka-GE"/>
        </w:rPr>
      </w:pPr>
    </w:p>
    <w:p w14:paraId="36C1494A" w14:textId="6C99ECAA" w:rsidR="00832EC7" w:rsidRPr="00F93015" w:rsidRDefault="00832EC7"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ლაქტაციის პერიოდი</w:t>
      </w:r>
    </w:p>
    <w:p w14:paraId="68193296" w14:textId="02593895" w:rsidR="00832EC7" w:rsidRPr="00F93015" w:rsidRDefault="00832EC7"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დესლორატადინი გამოიყოფა დედის რძეში იმდენად, რომ მას შეუძლია გავლენა მოახდინოს ბავშვზე ძუძუთი კვების დროს, თუ ლორიტან D მიეწოდება ქალებს, რომლებიც იყენებენ თერაპიულ დოზებს.</w:t>
      </w:r>
    </w:p>
    <w:p w14:paraId="33DC5F3B" w14:textId="6C1033D3" w:rsidR="00832EC7" w:rsidRPr="00F93015" w:rsidRDefault="00832EC7"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 xml:space="preserve">ლორიტან D არ უნდა იქნას გამოყენებული ძუძუთი კვების დროს. </w:t>
      </w:r>
    </w:p>
    <w:p w14:paraId="44A103EA" w14:textId="701FEEF6" w:rsidR="00832EC7" w:rsidRPr="00F93015" w:rsidRDefault="00832EC7" w:rsidP="00E76C4E">
      <w:pPr>
        <w:spacing w:after="0" w:line="240" w:lineRule="auto"/>
        <w:jc w:val="both"/>
        <w:rPr>
          <w:rFonts w:ascii="Sylfaen" w:eastAsia="Times New Roman" w:hAnsi="Sylfaen" w:cs="Times New Roman"/>
          <w:noProof/>
          <w:color w:val="000000"/>
          <w:sz w:val="24"/>
          <w:szCs w:val="24"/>
          <w:lang w:val="ka-GE"/>
        </w:rPr>
      </w:pPr>
    </w:p>
    <w:p w14:paraId="141F5419" w14:textId="21B57C6D" w:rsidR="00832EC7" w:rsidRPr="00F93015" w:rsidRDefault="00832EC7"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lastRenderedPageBreak/>
        <w:t>რეპროდუქციის უნარი/ ფერტილობა</w:t>
      </w:r>
    </w:p>
    <w:p w14:paraId="4A733165" w14:textId="17FCDDB6" w:rsidR="00832EC7" w:rsidRPr="00F93015" w:rsidRDefault="00832EC7"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ცხოველების კვლევებში რეპროდუქციული ტოქსიკურობა არ არის აღმოჩენილი.</w:t>
      </w:r>
    </w:p>
    <w:p w14:paraId="5AD24B22" w14:textId="5E86CDDC" w:rsidR="00832EC7" w:rsidRPr="00F93015" w:rsidRDefault="00832EC7"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პოტენციური რისკი ადამიანებში არ არის ცნობილი.</w:t>
      </w:r>
    </w:p>
    <w:p w14:paraId="7494534D" w14:textId="794C9DC4" w:rsidR="00832EC7" w:rsidRPr="00F93015" w:rsidRDefault="00832EC7" w:rsidP="00E76C4E">
      <w:pPr>
        <w:spacing w:after="0" w:line="240" w:lineRule="auto"/>
        <w:jc w:val="both"/>
        <w:rPr>
          <w:rFonts w:ascii="Sylfaen" w:eastAsia="Times New Roman" w:hAnsi="Sylfaen" w:cs="Times New Roman"/>
          <w:noProof/>
          <w:color w:val="000000"/>
          <w:sz w:val="24"/>
          <w:szCs w:val="24"/>
          <w:lang w:val="ka-GE"/>
        </w:rPr>
      </w:pPr>
    </w:p>
    <w:p w14:paraId="0B4D5E85" w14:textId="630A1B5A" w:rsidR="00832EC7" w:rsidRPr="00F93015" w:rsidRDefault="00832EC7"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4.7 ავტომობილის მართვასა და მექანიზმებთან მუშაობ</w:t>
      </w:r>
      <w:r w:rsidR="0016666E" w:rsidRPr="00F93015">
        <w:rPr>
          <w:rFonts w:ascii="Sylfaen" w:eastAsia="Times New Roman" w:hAnsi="Sylfaen" w:cs="Times New Roman"/>
          <w:b/>
          <w:bCs/>
          <w:noProof/>
          <w:color w:val="000000"/>
          <w:sz w:val="24"/>
          <w:szCs w:val="24"/>
          <w:lang w:val="ka-GE"/>
        </w:rPr>
        <w:t>ის უნარზე</w:t>
      </w:r>
      <w:r w:rsidRPr="00F93015">
        <w:rPr>
          <w:rFonts w:ascii="Sylfaen" w:eastAsia="Times New Roman" w:hAnsi="Sylfaen" w:cs="Times New Roman"/>
          <w:b/>
          <w:bCs/>
          <w:noProof/>
          <w:color w:val="000000"/>
          <w:sz w:val="24"/>
          <w:szCs w:val="24"/>
          <w:lang w:val="ka-GE"/>
        </w:rPr>
        <w:t xml:space="preserve"> ზეგავლენა</w:t>
      </w:r>
    </w:p>
    <w:p w14:paraId="6567E12F" w14:textId="25E31A0B" w:rsidR="00832EC7" w:rsidRPr="00F93015" w:rsidRDefault="0016666E"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ლორიტან D-ის ავტომობილის მართვასა და მექანიზმებთან მუშაობის უნარზე ზეგავლენა არ არის დაფ</w:t>
      </w:r>
      <w:r w:rsidR="00151D1F" w:rsidRPr="00F93015">
        <w:rPr>
          <w:rFonts w:ascii="Sylfaen" w:eastAsia="Times New Roman" w:hAnsi="Sylfaen" w:cs="Times New Roman"/>
          <w:noProof/>
          <w:color w:val="000000"/>
          <w:sz w:val="24"/>
          <w:szCs w:val="24"/>
          <w:lang w:val="ka-GE"/>
        </w:rPr>
        <w:t>იქსირბული. თუმცა, იშვიათად ლორიტა</w:t>
      </w:r>
      <w:r w:rsidRPr="00F93015">
        <w:rPr>
          <w:rFonts w:ascii="Sylfaen" w:eastAsia="Times New Roman" w:hAnsi="Sylfaen" w:cs="Times New Roman"/>
          <w:noProof/>
          <w:color w:val="000000"/>
          <w:sz w:val="24"/>
          <w:szCs w:val="24"/>
          <w:lang w:val="ka-GE"/>
        </w:rPr>
        <w:t>ტ</w:t>
      </w:r>
      <w:r w:rsidR="00151D1F" w:rsidRPr="00F93015">
        <w:rPr>
          <w:rFonts w:ascii="Sylfaen" w:eastAsia="Times New Roman" w:hAnsi="Sylfaen" w:cs="Times New Roman"/>
          <w:noProof/>
          <w:color w:val="000000"/>
          <w:sz w:val="24"/>
          <w:szCs w:val="24"/>
          <w:lang w:val="ka-GE"/>
        </w:rPr>
        <w:t>ნ</w:t>
      </w:r>
      <w:r w:rsidRPr="00F93015">
        <w:rPr>
          <w:rFonts w:ascii="Sylfaen" w:eastAsia="Times New Roman" w:hAnsi="Sylfaen" w:cs="Times New Roman"/>
          <w:noProof/>
          <w:color w:val="000000"/>
          <w:sz w:val="24"/>
          <w:szCs w:val="24"/>
          <w:lang w:val="ka-GE"/>
        </w:rPr>
        <w:t xml:space="preserve"> D-მ ზოგიერთ პაციენტში შესაძლოა გამოიწვიოს ძილიანობა. ამან შეიძლება გავლენა იქონიოს ავტომობილის მართვისა და მექანიზმებთან მუშაობის უნარზე.</w:t>
      </w:r>
    </w:p>
    <w:p w14:paraId="24AD2622" w14:textId="219C9988" w:rsidR="0016666E" w:rsidRPr="00F93015" w:rsidRDefault="0016666E" w:rsidP="00E76C4E">
      <w:pPr>
        <w:spacing w:after="0" w:line="240" w:lineRule="auto"/>
        <w:jc w:val="both"/>
        <w:rPr>
          <w:rFonts w:ascii="Sylfaen" w:eastAsia="Times New Roman" w:hAnsi="Sylfaen" w:cs="Times New Roman"/>
          <w:noProof/>
          <w:color w:val="000000"/>
          <w:sz w:val="24"/>
          <w:szCs w:val="24"/>
          <w:lang w:val="ka-GE"/>
        </w:rPr>
      </w:pPr>
    </w:p>
    <w:p w14:paraId="0FBAAC35" w14:textId="16ED3A94" w:rsidR="0016666E" w:rsidRPr="00F93015" w:rsidRDefault="0016666E"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4.8. გვერდითი მოვლენები</w:t>
      </w:r>
    </w:p>
    <w:p w14:paraId="23D4763C" w14:textId="77777777" w:rsidR="00243108" w:rsidRPr="00F93015" w:rsidRDefault="00DE60B8"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კლინიკურ კვლევებში პედიატრიულ პოპულაციაში დესლორატადინი მისცეს 246 ბავშვს 6 თვიდან 11 წლამდე. გვერდითი მოვლენების სიხშირე 2-დან 11 წლამდე ბავშვებში მსგავსი იყო ჯგუფებში, რომლებიც იყენებდნენ დესლორატადინს და პლაცებოს. ყველაზე</w:t>
      </w:r>
    </w:p>
    <w:p w14:paraId="25ECFF88" w14:textId="0ABD8643" w:rsidR="0016666E" w:rsidRPr="00F93015" w:rsidRDefault="00DE60B8"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ხშირად მოხსენებული გვერდითი მოვლენები 6-დან 23 თვემდე ასაკის ჩვილებში, პლაცებოსთან შედარებით, იყო დიარეა (3.7%), ცხელება (2.3%) და უძილობა (2.3%).</w:t>
      </w:r>
    </w:p>
    <w:p w14:paraId="2AB7C607" w14:textId="6A260D0D" w:rsidR="00DE60B8" w:rsidRPr="00F93015" w:rsidRDefault="00DE60B8"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კლინიკურმა კვლევებმა მოზრდილებში და მოზარდებში, რომლებიც მოიცავდა ჩვენებებს, მათ შორის ალერგიული რინიტი და ქრონიკული იდიოპათიური ჭინჭრის ციება, აჩვენა მეტი გვერდითი ეფექტები პლაცებოში პაციენტების 3%-ში, რომლებიც იღებდნენ დესლორატადინს რეკომენდებული დოზებით. პლაცებოზე დაფიქსირებული ყველაზე მეტი გვერდითი მოვლენა იყო დაღლილობა (1.2%), პირის სიმშრალე (0.8%) და თავის ტკივილი (0.6%).</w:t>
      </w:r>
    </w:p>
    <w:p w14:paraId="50CFA5DB" w14:textId="491A9F3F" w:rsidR="00DE60B8" w:rsidRPr="00F93015" w:rsidRDefault="00DE60B8" w:rsidP="00E76C4E">
      <w:pPr>
        <w:spacing w:after="0" w:line="240" w:lineRule="auto"/>
        <w:jc w:val="both"/>
        <w:rPr>
          <w:rFonts w:ascii="Sylfaen" w:eastAsia="Times New Roman" w:hAnsi="Sylfaen" w:cs="Times New Roman"/>
          <w:noProof/>
          <w:color w:val="000000"/>
          <w:sz w:val="24"/>
          <w:szCs w:val="24"/>
          <w:lang w:val="ka-GE"/>
        </w:rPr>
      </w:pPr>
    </w:p>
    <w:p w14:paraId="0F83849F" w14:textId="1C176AB9" w:rsidR="00DE60B8" w:rsidRPr="00F93015" w:rsidRDefault="00DE60B8" w:rsidP="00E76C4E">
      <w:pPr>
        <w:spacing w:after="0" w:line="240" w:lineRule="auto"/>
        <w:jc w:val="both"/>
        <w:rPr>
          <w:rFonts w:ascii="Sylfaen" w:eastAsia="Times New Roman" w:hAnsi="Sylfaen" w:cs="Times New Roman"/>
          <w:noProof/>
          <w:color w:val="000000"/>
          <w:sz w:val="24"/>
          <w:szCs w:val="24"/>
          <w:lang w:val="ka-GE"/>
        </w:rPr>
      </w:pPr>
      <w:bookmarkStart w:id="0" w:name="_Hlk104738367"/>
      <w:r w:rsidRPr="00F93015">
        <w:rPr>
          <w:rFonts w:ascii="Sylfaen" w:eastAsia="Times New Roman" w:hAnsi="Sylfaen" w:cs="Times New Roman"/>
          <w:noProof/>
          <w:color w:val="000000"/>
          <w:sz w:val="24"/>
          <w:szCs w:val="24"/>
          <w:lang w:val="ka-GE"/>
        </w:rPr>
        <w:t xml:space="preserve">ქვემოთ ჩამოთვლილი გვერდითი მოვლენები </w:t>
      </w:r>
      <w:r w:rsidRPr="00F93015">
        <w:rPr>
          <w:rFonts w:ascii="Sylfaen" w:eastAsia="Times New Roman" w:hAnsi="Sylfaen" w:cs="Sylfaen"/>
          <w:noProof/>
          <w:color w:val="000000"/>
          <w:sz w:val="24"/>
          <w:szCs w:val="24"/>
          <w:lang w:val="ka-GE"/>
        </w:rPr>
        <w:t>კლასიფიცირებულია</w:t>
      </w:r>
      <w:r w:rsidRPr="00F93015">
        <w:rPr>
          <w:rFonts w:ascii="Sylfaen" w:eastAsia="Times New Roman" w:hAnsi="Sylfaen" w:cs="Times New Roman"/>
          <w:noProof/>
          <w:color w:val="000000"/>
          <w:sz w:val="24"/>
          <w:szCs w:val="24"/>
          <w:lang w:val="ka-GE"/>
        </w:rPr>
        <w:t xml:space="preserve"> </w:t>
      </w:r>
      <w:r w:rsidRPr="00F93015">
        <w:rPr>
          <w:rFonts w:ascii="Sylfaen" w:eastAsia="Times New Roman" w:hAnsi="Sylfaen" w:cs="Sylfaen"/>
          <w:noProof/>
          <w:color w:val="000000"/>
          <w:sz w:val="24"/>
          <w:szCs w:val="24"/>
          <w:lang w:val="ka-GE"/>
        </w:rPr>
        <w:t>ორგანოთა</w:t>
      </w:r>
      <w:r w:rsidRPr="00F93015">
        <w:rPr>
          <w:rFonts w:ascii="Sylfaen" w:eastAsia="Times New Roman" w:hAnsi="Sylfaen" w:cs="Times New Roman"/>
          <w:noProof/>
          <w:color w:val="000000"/>
          <w:sz w:val="24"/>
          <w:szCs w:val="24"/>
          <w:lang w:val="ka-GE"/>
        </w:rPr>
        <w:t xml:space="preserve"> </w:t>
      </w:r>
      <w:r w:rsidRPr="00F93015">
        <w:rPr>
          <w:rFonts w:ascii="Sylfaen" w:eastAsia="Times New Roman" w:hAnsi="Sylfaen" w:cs="Sylfaen"/>
          <w:noProof/>
          <w:color w:val="000000"/>
          <w:sz w:val="24"/>
          <w:szCs w:val="24"/>
          <w:lang w:val="ka-GE"/>
        </w:rPr>
        <w:t>კლასის</w:t>
      </w:r>
      <w:r w:rsidRPr="00F93015">
        <w:rPr>
          <w:rFonts w:ascii="Sylfaen" w:eastAsia="Times New Roman" w:hAnsi="Sylfaen" w:cs="Times New Roman"/>
          <w:noProof/>
          <w:color w:val="000000"/>
          <w:sz w:val="24"/>
          <w:szCs w:val="24"/>
          <w:lang w:val="ka-GE"/>
        </w:rPr>
        <w:t xml:space="preserve"> სისტემის </w:t>
      </w:r>
      <w:r w:rsidRPr="00F93015">
        <w:rPr>
          <w:rFonts w:ascii="Sylfaen" w:eastAsia="Times New Roman" w:hAnsi="Sylfaen" w:cs="Sylfaen"/>
          <w:noProof/>
          <w:color w:val="000000"/>
          <w:sz w:val="24"/>
          <w:szCs w:val="24"/>
          <w:lang w:val="ka-GE"/>
        </w:rPr>
        <w:t>მიხედვით</w:t>
      </w:r>
      <w:r w:rsidRPr="00F93015">
        <w:rPr>
          <w:rFonts w:ascii="Sylfaen" w:eastAsia="Times New Roman" w:hAnsi="Sylfaen" w:cs="Times New Roman"/>
          <w:noProof/>
          <w:color w:val="000000"/>
          <w:sz w:val="24"/>
          <w:szCs w:val="24"/>
          <w:lang w:val="ka-GE"/>
        </w:rPr>
        <w:t xml:space="preserve">. </w:t>
      </w:r>
      <w:r w:rsidRPr="00F93015">
        <w:rPr>
          <w:rFonts w:ascii="Sylfaen" w:eastAsia="Times New Roman" w:hAnsi="Sylfaen" w:cs="Sylfaen"/>
          <w:noProof/>
          <w:color w:val="000000"/>
          <w:sz w:val="24"/>
          <w:szCs w:val="24"/>
          <w:lang w:val="ka-GE"/>
        </w:rPr>
        <w:t>სიხშირეები</w:t>
      </w:r>
      <w:r w:rsidRPr="00F93015">
        <w:rPr>
          <w:rFonts w:ascii="Sylfaen" w:eastAsia="Times New Roman" w:hAnsi="Sylfaen" w:cs="Times New Roman"/>
          <w:noProof/>
          <w:color w:val="000000"/>
          <w:sz w:val="24"/>
          <w:szCs w:val="24"/>
          <w:lang w:val="ka-GE"/>
        </w:rPr>
        <w:t xml:space="preserve"> </w:t>
      </w:r>
      <w:r w:rsidRPr="00F93015">
        <w:rPr>
          <w:rFonts w:ascii="Sylfaen" w:eastAsia="Times New Roman" w:hAnsi="Sylfaen" w:cs="Sylfaen"/>
          <w:noProof/>
          <w:color w:val="000000"/>
          <w:sz w:val="24"/>
          <w:szCs w:val="24"/>
          <w:lang w:val="ka-GE"/>
        </w:rPr>
        <w:t>განისაზღვრება</w:t>
      </w:r>
      <w:r w:rsidRPr="00F93015">
        <w:rPr>
          <w:rFonts w:ascii="Sylfaen" w:eastAsia="Times New Roman" w:hAnsi="Sylfaen" w:cs="Times New Roman"/>
          <w:noProof/>
          <w:color w:val="000000"/>
          <w:sz w:val="24"/>
          <w:szCs w:val="24"/>
          <w:lang w:val="ka-GE"/>
        </w:rPr>
        <w:t xml:space="preserve"> </w:t>
      </w:r>
      <w:r w:rsidRPr="00F93015">
        <w:rPr>
          <w:rFonts w:ascii="Sylfaen" w:eastAsia="Times New Roman" w:hAnsi="Sylfaen" w:cs="Sylfaen"/>
          <w:noProof/>
          <w:color w:val="000000"/>
          <w:sz w:val="24"/>
          <w:szCs w:val="24"/>
          <w:lang w:val="ka-GE"/>
        </w:rPr>
        <w:t>შემდეგნაირად</w:t>
      </w:r>
      <w:r w:rsidRPr="00F93015">
        <w:rPr>
          <w:rFonts w:ascii="Sylfaen" w:eastAsia="Times New Roman" w:hAnsi="Sylfaen" w:cs="Times New Roman"/>
          <w:noProof/>
          <w:color w:val="000000"/>
          <w:sz w:val="24"/>
          <w:szCs w:val="24"/>
          <w:lang w:val="ka-GE"/>
        </w:rPr>
        <w:t>:</w:t>
      </w:r>
    </w:p>
    <w:p w14:paraId="4A59266E" w14:textId="28C890A0" w:rsidR="00DE60B8" w:rsidRPr="00F93015" w:rsidRDefault="00DE60B8"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ძალიან ხშირი (≥1/10), ხშირი (≥ 1/100 to &lt;1/10), არახშირი (≥ 1 / 1,000 to &lt; 1/100), იშვიათი (≥ 1 / 10,000 to &lt;1/1,000) ძალიან იშვიათი (&lt;l / 10,000), უცნობი (ხელმისაწვდომი მონაცემებით განსაზღვრა შეუძლებელია).</w:t>
      </w:r>
    </w:p>
    <w:p w14:paraId="3160FFC6" w14:textId="7930DE0F" w:rsidR="00243108" w:rsidRPr="00F93015" w:rsidRDefault="00243108"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ნერვული სისტემის დარღვევები:</w:t>
      </w:r>
    </w:p>
    <w:p w14:paraId="62C3E8CC" w14:textId="17BBA54F" w:rsidR="00243108" w:rsidRPr="00F93015" w:rsidRDefault="00243108"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ხშირი: დაღლილობა</w:t>
      </w:r>
    </w:p>
    <w:p w14:paraId="1D5C01D1" w14:textId="68BAD454" w:rsidR="00DE60B8" w:rsidRPr="00F93015" w:rsidRDefault="00243108"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არახშირი: თავის ტკივილი</w:t>
      </w:r>
      <w:bookmarkEnd w:id="0"/>
    </w:p>
    <w:p w14:paraId="627084B0" w14:textId="119F3C8A" w:rsidR="00243108" w:rsidRPr="00F93015" w:rsidRDefault="00243108" w:rsidP="00E76C4E">
      <w:pPr>
        <w:spacing w:after="0" w:line="240" w:lineRule="auto"/>
        <w:jc w:val="both"/>
        <w:rPr>
          <w:rFonts w:ascii="Sylfaen" w:eastAsia="Times New Roman" w:hAnsi="Sylfaen" w:cs="Times New Roman"/>
          <w:noProof/>
          <w:color w:val="000000"/>
          <w:sz w:val="24"/>
          <w:szCs w:val="24"/>
          <w:lang w:val="ka-GE"/>
        </w:rPr>
      </w:pPr>
    </w:p>
    <w:p w14:paraId="24E2437D" w14:textId="195CD8C3" w:rsidR="00243108" w:rsidRPr="00F93015" w:rsidRDefault="00243108"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კუჭ-ნაწლავის დარღვევები:</w:t>
      </w:r>
    </w:p>
    <w:p w14:paraId="19F46631" w14:textId="27A54DDA" w:rsidR="00243108" w:rsidRPr="00F93015" w:rsidRDefault="00243108"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არახშირი: პირის სიმშრალე</w:t>
      </w:r>
    </w:p>
    <w:p w14:paraId="0BA86D1B" w14:textId="576E4E2B" w:rsidR="00243108" w:rsidRPr="00F93015" w:rsidRDefault="00243108" w:rsidP="00E76C4E">
      <w:pPr>
        <w:spacing w:after="0" w:line="240" w:lineRule="auto"/>
        <w:jc w:val="both"/>
        <w:rPr>
          <w:rFonts w:ascii="Sylfaen" w:eastAsia="Times New Roman" w:hAnsi="Sylfaen" w:cs="Times New Roman"/>
          <w:noProof/>
          <w:color w:val="000000"/>
          <w:sz w:val="24"/>
          <w:szCs w:val="24"/>
          <w:lang w:val="ka-GE"/>
        </w:rPr>
      </w:pPr>
    </w:p>
    <w:p w14:paraId="3DB9ABA7" w14:textId="7F5D575B" w:rsidR="00243108" w:rsidRPr="00F93015" w:rsidRDefault="00243108"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პოსტ-მარკეტინგული გამოცდილება</w:t>
      </w:r>
    </w:p>
    <w:p w14:paraId="3AED4215" w14:textId="366B2E5C" w:rsidR="00243108" w:rsidRPr="00F93015" w:rsidRDefault="00243108"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პოსტ-მარკეტული გამოცდილებისას აღმოჩენილი ძალიან იშვიათი გვერდითი მოვლენებია:</w:t>
      </w:r>
    </w:p>
    <w:p w14:paraId="48DE4BEC" w14:textId="13138809" w:rsidR="00243108" w:rsidRPr="00F93015" w:rsidRDefault="00243108" w:rsidP="00E76C4E">
      <w:pPr>
        <w:spacing w:after="0" w:line="240" w:lineRule="auto"/>
        <w:jc w:val="both"/>
        <w:rPr>
          <w:rFonts w:ascii="Sylfaen" w:eastAsia="Times New Roman" w:hAnsi="Sylfaen" w:cs="Times New Roman"/>
          <w:noProof/>
          <w:color w:val="000000"/>
          <w:sz w:val="24"/>
          <w:szCs w:val="24"/>
          <w:lang w:val="ka-GE"/>
        </w:rPr>
      </w:pPr>
    </w:p>
    <w:p w14:paraId="6F5678F0" w14:textId="53852E9C" w:rsidR="00243108" w:rsidRPr="00F93015" w:rsidRDefault="00243108"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ფსიქიატრიული დარღვევები:</w:t>
      </w:r>
    </w:p>
    <w:p w14:paraId="3759FEC0" w14:textId="78F5536A" w:rsidR="00243108" w:rsidRPr="00F93015" w:rsidRDefault="00243108"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ძალიან იშვიათი: ჰალუცინაციები.</w:t>
      </w:r>
    </w:p>
    <w:p w14:paraId="768E0044" w14:textId="2548D3EF" w:rsidR="00243108" w:rsidRPr="00F93015" w:rsidRDefault="00243108" w:rsidP="00E76C4E">
      <w:pPr>
        <w:spacing w:after="0" w:line="240" w:lineRule="auto"/>
        <w:jc w:val="both"/>
        <w:rPr>
          <w:rFonts w:ascii="Sylfaen" w:eastAsia="Times New Roman" w:hAnsi="Sylfaen" w:cs="Times New Roman"/>
          <w:noProof/>
          <w:color w:val="000000"/>
          <w:sz w:val="24"/>
          <w:szCs w:val="24"/>
          <w:lang w:val="ka-GE"/>
        </w:rPr>
      </w:pPr>
    </w:p>
    <w:p w14:paraId="75F741B3" w14:textId="324384C5" w:rsidR="00243108" w:rsidRPr="00F93015" w:rsidRDefault="00243108"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 xml:space="preserve">ნერვული სისტემის დარღვევები: </w:t>
      </w:r>
    </w:p>
    <w:p w14:paraId="63493BF3" w14:textId="15E23462" w:rsidR="00243108" w:rsidRPr="00F93015" w:rsidRDefault="00243108"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 xml:space="preserve">ძალიან იშვიათი: თავბრუსხვევა, ძილიანობა, ინსომნია, ფსიქომოტორული ჰიპერაქტივობა, </w:t>
      </w:r>
      <w:r w:rsidR="00B21943" w:rsidRPr="00F93015">
        <w:rPr>
          <w:rFonts w:ascii="Sylfaen" w:eastAsia="Times New Roman" w:hAnsi="Sylfaen" w:cs="Times New Roman"/>
          <w:noProof/>
          <w:color w:val="000000"/>
          <w:sz w:val="24"/>
          <w:szCs w:val="24"/>
          <w:lang w:val="ka-GE"/>
        </w:rPr>
        <w:t>ინსულტი</w:t>
      </w:r>
      <w:r w:rsidR="00E91834" w:rsidRPr="00F93015">
        <w:rPr>
          <w:rFonts w:ascii="Sylfaen" w:eastAsia="Times New Roman" w:hAnsi="Sylfaen" w:cs="Times New Roman"/>
          <w:noProof/>
          <w:color w:val="000000"/>
          <w:sz w:val="24"/>
          <w:szCs w:val="24"/>
          <w:lang w:val="ka-GE"/>
        </w:rPr>
        <w:t>.</w:t>
      </w:r>
      <w:r w:rsidR="00E76C4E" w:rsidRPr="00F93015">
        <w:rPr>
          <w:rFonts w:ascii="Sylfaen" w:eastAsia="Times New Roman" w:hAnsi="Sylfaen" w:cs="Times New Roman"/>
          <w:noProof/>
          <w:color w:val="000000"/>
          <w:sz w:val="24"/>
          <w:szCs w:val="24"/>
          <w:lang w:val="ka-GE"/>
        </w:rPr>
        <w:t xml:space="preserve"> </w:t>
      </w:r>
    </w:p>
    <w:p w14:paraId="1FD8485C" w14:textId="475CA7E5" w:rsidR="00B21943" w:rsidRPr="00F93015" w:rsidRDefault="00B21943" w:rsidP="00E76C4E">
      <w:pPr>
        <w:spacing w:after="0" w:line="240" w:lineRule="auto"/>
        <w:jc w:val="both"/>
        <w:rPr>
          <w:rFonts w:ascii="Sylfaen" w:eastAsia="Times New Roman" w:hAnsi="Sylfaen" w:cs="Times New Roman"/>
          <w:noProof/>
          <w:color w:val="000000"/>
          <w:sz w:val="24"/>
          <w:szCs w:val="24"/>
          <w:lang w:val="ka-GE"/>
        </w:rPr>
      </w:pPr>
    </w:p>
    <w:p w14:paraId="48A1D80E" w14:textId="0B4EB381" w:rsidR="00B21943" w:rsidRPr="00F93015" w:rsidRDefault="00B21943"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დარღვევები გულის მხრივ:</w:t>
      </w:r>
    </w:p>
    <w:p w14:paraId="27AD26F0" w14:textId="312308F2" w:rsidR="00B21943" w:rsidRPr="00F93015" w:rsidRDefault="00B21943"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ძალიან იშვიათი: ტაქიკარდია, ძლიერი გულისცემა</w:t>
      </w:r>
    </w:p>
    <w:p w14:paraId="281AE95B" w14:textId="2B771FCD" w:rsidR="00B21943" w:rsidRPr="00F93015" w:rsidRDefault="00B21943" w:rsidP="00E76C4E">
      <w:pPr>
        <w:spacing w:after="0" w:line="240" w:lineRule="auto"/>
        <w:jc w:val="both"/>
        <w:rPr>
          <w:rFonts w:ascii="Sylfaen" w:eastAsia="Times New Roman" w:hAnsi="Sylfaen" w:cs="Times New Roman"/>
          <w:noProof/>
          <w:color w:val="000000"/>
          <w:sz w:val="24"/>
          <w:szCs w:val="24"/>
          <w:lang w:val="ka-GE"/>
        </w:rPr>
      </w:pPr>
    </w:p>
    <w:p w14:paraId="0C8DD835" w14:textId="77777777" w:rsidR="003E4FFA" w:rsidRPr="00F93015" w:rsidRDefault="00B21943"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ჰეპატობილიარული დარღვევები</w:t>
      </w:r>
      <w:r w:rsidR="003E4FFA" w:rsidRPr="00F93015">
        <w:rPr>
          <w:rFonts w:ascii="Sylfaen" w:eastAsia="Times New Roman" w:hAnsi="Sylfaen" w:cs="Times New Roman"/>
          <w:b/>
          <w:bCs/>
          <w:noProof/>
          <w:color w:val="000000"/>
          <w:sz w:val="24"/>
          <w:szCs w:val="24"/>
          <w:lang w:val="ka-GE"/>
        </w:rPr>
        <w:t>:</w:t>
      </w:r>
    </w:p>
    <w:p w14:paraId="72C4B0A7" w14:textId="38AC1217" w:rsidR="003E4FFA" w:rsidRPr="00F93015" w:rsidRDefault="003E4FFA"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ძალიან იშვიათი: ღვიძლის ფერმენტების მატება, ჰეპატიტის და ბილირუბინის მომატება.</w:t>
      </w:r>
    </w:p>
    <w:p w14:paraId="3C3ED5F8" w14:textId="4ABA52AA" w:rsidR="003E4FFA" w:rsidRPr="00F93015" w:rsidRDefault="003E4FFA" w:rsidP="00E76C4E">
      <w:pPr>
        <w:spacing w:after="0" w:line="240" w:lineRule="auto"/>
        <w:jc w:val="both"/>
        <w:rPr>
          <w:rFonts w:ascii="Sylfaen" w:eastAsia="Times New Roman" w:hAnsi="Sylfaen" w:cs="Times New Roman"/>
          <w:b/>
          <w:bCs/>
          <w:noProof/>
          <w:color w:val="000000"/>
          <w:sz w:val="24"/>
          <w:szCs w:val="24"/>
          <w:lang w:val="ka-GE"/>
        </w:rPr>
      </w:pPr>
    </w:p>
    <w:p w14:paraId="2DD09054" w14:textId="596C147E" w:rsidR="003E4FFA" w:rsidRPr="00F93015" w:rsidRDefault="003E4FFA"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ჩონჩხ-კუნთოვანი დარღვევები, შემაერთებელი ქსოვილისა და ძვლის დარღვევები:</w:t>
      </w:r>
    </w:p>
    <w:p w14:paraId="690226BC" w14:textId="7ED84534" w:rsidR="003E4FFA" w:rsidRPr="00F93015" w:rsidRDefault="003E4FFA"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ძალიან იშვიათი: მიალგია.</w:t>
      </w:r>
    </w:p>
    <w:p w14:paraId="49E3E3F6" w14:textId="46AD28D0" w:rsidR="003E4FFA" w:rsidRPr="00F93015" w:rsidRDefault="003E4FFA" w:rsidP="00E76C4E">
      <w:pPr>
        <w:spacing w:after="0" w:line="240" w:lineRule="auto"/>
        <w:jc w:val="both"/>
        <w:rPr>
          <w:rFonts w:ascii="Sylfaen" w:eastAsia="Times New Roman" w:hAnsi="Sylfaen" w:cs="Times New Roman"/>
          <w:noProof/>
          <w:color w:val="000000"/>
          <w:sz w:val="24"/>
          <w:szCs w:val="24"/>
          <w:lang w:val="ka-GE"/>
        </w:rPr>
      </w:pPr>
    </w:p>
    <w:p w14:paraId="7E8616F4" w14:textId="093356BA" w:rsidR="003E4FFA" w:rsidRPr="00F93015" w:rsidRDefault="003E4FFA"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ზოგადი დარღვევები და გამოყენების ადგილის დარღვევები:</w:t>
      </w:r>
    </w:p>
    <w:p w14:paraId="7C03823C" w14:textId="7EAB0586" w:rsidR="003E4FFA" w:rsidRPr="00F93015" w:rsidRDefault="003E4FFA"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ძალიან იშვიათი: ჰიპერმგრძნობელობის რეაქციები (ანაფილაქსია, ანგიონევროზული შეშუპება, ქო</w:t>
      </w:r>
      <w:r w:rsidR="00C673E1" w:rsidRPr="00F93015">
        <w:rPr>
          <w:rFonts w:ascii="Sylfaen" w:eastAsia="Times New Roman" w:hAnsi="Sylfaen" w:cs="Times New Roman"/>
          <w:noProof/>
          <w:color w:val="000000"/>
          <w:sz w:val="24"/>
          <w:szCs w:val="24"/>
          <w:lang w:val="ka-GE"/>
        </w:rPr>
        <w:t>შინი, ქავილი, გამონაყარი და ურტი</w:t>
      </w:r>
      <w:r w:rsidRPr="00F93015">
        <w:rPr>
          <w:rFonts w:ascii="Sylfaen" w:eastAsia="Times New Roman" w:hAnsi="Sylfaen" w:cs="Times New Roman"/>
          <w:noProof/>
          <w:color w:val="000000"/>
          <w:sz w:val="24"/>
          <w:szCs w:val="24"/>
          <w:lang w:val="ka-GE"/>
        </w:rPr>
        <w:t>კარია).</w:t>
      </w:r>
    </w:p>
    <w:p w14:paraId="77C433EF" w14:textId="3D0946B8" w:rsidR="003E4FFA" w:rsidRPr="00F93015" w:rsidRDefault="003E4FFA" w:rsidP="00E76C4E">
      <w:pPr>
        <w:spacing w:after="0" w:line="240" w:lineRule="auto"/>
        <w:jc w:val="both"/>
        <w:rPr>
          <w:rFonts w:ascii="Sylfaen" w:eastAsia="Times New Roman" w:hAnsi="Sylfaen" w:cs="Times New Roman"/>
          <w:noProof/>
          <w:color w:val="000000"/>
          <w:sz w:val="24"/>
          <w:szCs w:val="24"/>
          <w:lang w:val="ka-GE"/>
        </w:rPr>
      </w:pPr>
    </w:p>
    <w:p w14:paraId="27EAD417" w14:textId="48C657FC" w:rsidR="003E4FFA" w:rsidRPr="00F93015" w:rsidRDefault="005D616A" w:rsidP="00E76C4E">
      <w:pPr>
        <w:spacing w:after="0" w:line="240" w:lineRule="auto"/>
        <w:jc w:val="both"/>
        <w:rPr>
          <w:rFonts w:ascii="Sylfaen" w:eastAsia="Times New Roman" w:hAnsi="Sylfaen" w:cs="Times New Roman"/>
          <w:b/>
          <w:bCs/>
          <w:noProof/>
          <w:color w:val="000000"/>
          <w:sz w:val="24"/>
          <w:szCs w:val="24"/>
          <w:u w:val="single"/>
          <w:lang w:val="ka-GE"/>
        </w:rPr>
      </w:pPr>
      <w:r w:rsidRPr="00F93015">
        <w:rPr>
          <w:rFonts w:ascii="Sylfaen" w:eastAsia="Times New Roman" w:hAnsi="Sylfaen" w:cs="Times New Roman"/>
          <w:b/>
          <w:bCs/>
          <w:noProof/>
          <w:color w:val="000000"/>
          <w:sz w:val="24"/>
          <w:szCs w:val="24"/>
          <w:u w:val="single"/>
          <w:lang w:val="ka-GE"/>
        </w:rPr>
        <w:t>საეჭვო გვერდითი მოვლენების შეტყობინება</w:t>
      </w:r>
    </w:p>
    <w:p w14:paraId="11C282EE" w14:textId="59EB7174" w:rsidR="009500AA" w:rsidRPr="00F93015" w:rsidRDefault="009500AA"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 xml:space="preserve">პრეპარატის შესახებ საეჭვო გვერდითი მოვლენების შესახებ შეტყობინებას რეგისტრაციის შემდეგ დიდი მნიშვნელობა აქვს. მოხსენება წამლის სარგებელი/რისკის ბალანსის მუდმივი მონიტორინგის საშუალებას იძლევა. სამედიცინო პერსონალს ევალება ნებისმიერი საეჭვო გვერდითი მოვლენის შეტყობინება თურქეთის ფამარკოვიგილაციის ცენტრისთვის </w:t>
      </w:r>
      <w:r w:rsidRPr="00F93015">
        <w:rPr>
          <w:rFonts w:ascii="Sylfaen" w:hAnsi="Sylfaen"/>
          <w:noProof/>
          <w:sz w:val="24"/>
          <w:szCs w:val="24"/>
          <w:lang w:val="ka-GE"/>
        </w:rPr>
        <w:t xml:space="preserve">(TÜFAM). </w:t>
      </w:r>
      <w:r w:rsidRPr="00F93015">
        <w:rPr>
          <w:rFonts w:ascii="Sylfaen" w:eastAsia="Times New Roman" w:hAnsi="Sylfaen" w:cs="Times New Roman"/>
          <w:noProof/>
          <w:color w:val="000000"/>
          <w:sz w:val="24"/>
          <w:szCs w:val="24"/>
          <w:lang w:val="ka-GE"/>
        </w:rPr>
        <w:t>(www.titck.gov.tr, ელ-ფოსტა: tufam@titck.gov.tr, ტელ: 0 800 314 00 08, ფაქსი: 0 312 218 35 99)</w:t>
      </w:r>
    </w:p>
    <w:p w14:paraId="7C2A28B9" w14:textId="4D8DA0C6" w:rsidR="005D616A" w:rsidRPr="00F93015" w:rsidRDefault="009500AA"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4.9 ჭარბი დოზირება და მკურნალობა</w:t>
      </w:r>
    </w:p>
    <w:p w14:paraId="4D5DBC0F" w14:textId="2763B907" w:rsidR="009500AA" w:rsidRPr="00F93015" w:rsidRDefault="009500AA"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ჭარბი დოზირების შემთხვევაში, არააბსორბირებული აქტიური ნივთიერების მოცილება ხდება სტანდარტული ზომებით.</w:t>
      </w:r>
    </w:p>
    <w:p w14:paraId="37BE1B75" w14:textId="7771CDC5" w:rsidR="009500AA" w:rsidRPr="00F93015" w:rsidRDefault="009500AA"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 xml:space="preserve">რეკომენდებულია სიმპტომური და დამხმარე მკურნალობა. </w:t>
      </w:r>
    </w:p>
    <w:p w14:paraId="592D62E8" w14:textId="723FCC22" w:rsidR="008D3F4D" w:rsidRPr="00F93015" w:rsidRDefault="008D3F4D"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მულტიდოზურ კლინიკურ კვლევაში მოზრდილებში და მოზარდებში (9-ჯერ მეტი კლინიკური დოზა) ქლორატადინით 45 მგ-მდე, კლინიკურად მნიშვნელოვანი ეფექტები არ დაფიქსირებულა.</w:t>
      </w:r>
    </w:p>
    <w:p w14:paraId="63EFFFF7" w14:textId="1990CFF2" w:rsidR="009500AA" w:rsidRPr="00F93015" w:rsidRDefault="008D3F4D"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დესლორატადინი არ გამოიყოფა ჰემოდიალიზით; არ არის ცნობილი მისი გამოყოფა პერიტონეალური დიალიზით.</w:t>
      </w:r>
    </w:p>
    <w:p w14:paraId="2DCD3F80" w14:textId="3609DF5A" w:rsidR="008D3F4D" w:rsidRPr="00F93015" w:rsidRDefault="008D3F4D" w:rsidP="00E76C4E">
      <w:pPr>
        <w:spacing w:after="0" w:line="240" w:lineRule="auto"/>
        <w:jc w:val="both"/>
        <w:rPr>
          <w:rFonts w:ascii="Sylfaen" w:eastAsia="Times New Roman" w:hAnsi="Sylfaen" w:cs="Times New Roman"/>
          <w:noProof/>
          <w:color w:val="000000"/>
          <w:sz w:val="24"/>
          <w:szCs w:val="24"/>
          <w:lang w:val="ka-GE"/>
        </w:rPr>
      </w:pPr>
    </w:p>
    <w:p w14:paraId="33CA4EF8" w14:textId="39C9711B" w:rsidR="008D3F4D" w:rsidRPr="00F93015" w:rsidRDefault="008D3F4D" w:rsidP="00E76C4E">
      <w:pPr>
        <w:pStyle w:val="ListParagraph"/>
        <w:numPr>
          <w:ilvl w:val="0"/>
          <w:numId w:val="1"/>
        </w:numPr>
        <w:spacing w:after="0" w:line="240" w:lineRule="auto"/>
        <w:ind w:left="0" w:firstLine="0"/>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ფარმაკოლოგიური თვისებები</w:t>
      </w:r>
    </w:p>
    <w:p w14:paraId="0004E65D" w14:textId="1BEF64DE" w:rsidR="008D3F4D" w:rsidRPr="00F93015" w:rsidRDefault="008D3F4D" w:rsidP="00E76C4E">
      <w:pPr>
        <w:pStyle w:val="ListParagraph"/>
        <w:numPr>
          <w:ilvl w:val="1"/>
          <w:numId w:val="1"/>
        </w:numPr>
        <w:spacing w:after="0" w:line="240" w:lineRule="auto"/>
        <w:ind w:left="0" w:firstLine="0"/>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ფარმაკოდინამიკური თვისებები</w:t>
      </w:r>
    </w:p>
    <w:p w14:paraId="49FD508B" w14:textId="59C1495A" w:rsidR="008D3F4D" w:rsidRPr="00F93015" w:rsidRDefault="008D3F4D"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b/>
          <w:bCs/>
          <w:noProof/>
          <w:color w:val="000000"/>
          <w:sz w:val="24"/>
          <w:szCs w:val="24"/>
          <w:lang w:val="ka-GE"/>
        </w:rPr>
        <w:t xml:space="preserve">ფარმაკოთერაპული ჯგუფი: </w:t>
      </w:r>
      <w:r w:rsidRPr="00F93015">
        <w:rPr>
          <w:rFonts w:ascii="Sylfaen" w:eastAsia="Times New Roman" w:hAnsi="Sylfaen" w:cs="Times New Roman"/>
          <w:noProof/>
          <w:color w:val="000000"/>
          <w:sz w:val="24"/>
          <w:szCs w:val="24"/>
          <w:lang w:val="ka-GE"/>
        </w:rPr>
        <w:t>სხვა ანტიჰისტამინური საშუალებები სისტემური გამოყენებისთვის</w:t>
      </w:r>
    </w:p>
    <w:p w14:paraId="6727E7F8" w14:textId="05279723" w:rsidR="008D3F4D" w:rsidRPr="00F93015" w:rsidRDefault="008D3F4D" w:rsidP="00E76C4E">
      <w:pPr>
        <w:spacing w:after="0" w:line="240" w:lineRule="auto"/>
        <w:jc w:val="both"/>
        <w:rPr>
          <w:rFonts w:ascii="Sylfaen" w:eastAsia="Times New Roman" w:hAnsi="Sylfaen" w:cs="Times New Roman"/>
          <w:noProof/>
          <w:sz w:val="24"/>
          <w:szCs w:val="24"/>
          <w:lang w:val="ka-GE"/>
        </w:rPr>
      </w:pPr>
      <w:r w:rsidRPr="00F93015">
        <w:rPr>
          <w:rFonts w:ascii="Sylfaen" w:eastAsia="Times New Roman" w:hAnsi="Sylfaen" w:cs="Times New Roman"/>
          <w:b/>
          <w:bCs/>
          <w:noProof/>
          <w:color w:val="000000"/>
          <w:sz w:val="24"/>
          <w:szCs w:val="24"/>
          <w:lang w:val="ka-GE"/>
        </w:rPr>
        <w:t>ათქ კოდი:</w:t>
      </w:r>
      <w:r w:rsidRPr="00F93015">
        <w:rPr>
          <w:rFonts w:ascii="Sylfaen" w:eastAsia="Times New Roman" w:hAnsi="Sylfaen" w:cs="Times New Roman"/>
          <w:noProof/>
          <w:sz w:val="24"/>
          <w:szCs w:val="24"/>
          <w:lang w:val="ka-GE"/>
        </w:rPr>
        <w:t xml:space="preserve"> </w:t>
      </w:r>
      <w:r w:rsidR="00C673E1" w:rsidRPr="00F93015">
        <w:rPr>
          <w:rFonts w:ascii="Sylfaen" w:eastAsia="Times New Roman" w:hAnsi="Sylfaen" w:cs="Times New Roman"/>
          <w:noProof/>
          <w:sz w:val="24"/>
          <w:szCs w:val="24"/>
          <w:lang w:val="ka-GE"/>
        </w:rPr>
        <w:t>R06A</w:t>
      </w:r>
      <w:r w:rsidRPr="00F93015">
        <w:rPr>
          <w:rFonts w:ascii="Sylfaen" w:eastAsia="Times New Roman" w:hAnsi="Sylfaen" w:cs="Times New Roman"/>
          <w:noProof/>
          <w:sz w:val="24"/>
          <w:szCs w:val="24"/>
          <w:lang w:val="ka-GE"/>
        </w:rPr>
        <w:t>X27</w:t>
      </w:r>
    </w:p>
    <w:p w14:paraId="6DFF2992" w14:textId="57B18322" w:rsidR="008D3F4D" w:rsidRPr="00F93015" w:rsidRDefault="008D3F4D"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მოქმედების მექანიზმი</w:t>
      </w:r>
    </w:p>
    <w:p w14:paraId="5000891D" w14:textId="528B06B8" w:rsidR="008D3F4D" w:rsidRPr="00F93015" w:rsidRDefault="008530FE"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დესლორატადინი არის ხანგრძლივი, ძლიერი და შერჩევითი პერიფერიული ჰისტამინის H1 რეცეპტორის ანტაგონისტი, რომელიც არ ახდენს სედაციურ მოქმედებას. დესლორატადინი შერჩევით ბლოკავს პერიფერიულ ჰისტამინის H1 რეცეპტორებს პერორალური მიღების შემდეგ ცენტრალურ ნერვულ სისტემაში შეღწევის შეუძლებლობის გამო.</w:t>
      </w:r>
    </w:p>
    <w:p w14:paraId="3A8DAC11" w14:textId="3EAB4F50" w:rsidR="008530FE" w:rsidRPr="00F93015" w:rsidRDefault="008530FE"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დესლორატადინმა აჩვენა ანტიალერგიული თვისებები in vitro კვლევებში. ეს მოიცავს პროანთებითი ციტოკინების გათავისუფლების დათრგუნვას, როგორიცაა IL-4, IL-6, IL-8 და IL-13 ადამიანის მასტის უჯრედებიდან/ბაზოფილებიდან და ადჰეზიური მოლეკულის P-სელექტინის ექსპრესიის დათრგუნვა ენდოთელიალურ უჯრედებში. ამ დაკვირვებების კლინიკური შედეგები ჯერ არ არის დადასტურებული.</w:t>
      </w:r>
    </w:p>
    <w:p w14:paraId="4D0E7752" w14:textId="0074060E" w:rsidR="008530FE" w:rsidRPr="00F93015" w:rsidRDefault="0011673C"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 xml:space="preserve">დესლორატადინის სიროფის აქტივობა არ არის შესწავლილი ცალკეულ პედიატრიულ კვლევებში. დესლორატადინის უსაფრთხოება ნაჩვენებია სამ პედიატრიულ კვლევაში. ბავშვები, რომლებიც იყვნენ კანდიდატები ანტიჰისტამინური მკურნალობისთვის 6 თვიდან 11 წლამდე, იღებდნენ დღიურ დოზას 1 მგ-ს (6-დან 11 თვემდე), 1.25 მგ (1-დან 5 წლამდე) ან 2.5 მგ-ს (6-დან 11 წლამდე). კლინიკურმა ლაბორატორიულმა ტესტებმა, სასიცოცხლო მნიშვნელობის დასკვნებმა და ელექტროკარდიოგრამაზე (ECG) მონაცემებმა QTc (კორექტირებული QT) აჩვენა, </w:t>
      </w:r>
      <w:r w:rsidRPr="00F93015">
        <w:rPr>
          <w:rFonts w:ascii="Sylfaen" w:eastAsia="Times New Roman" w:hAnsi="Sylfaen" w:cs="Times New Roman"/>
          <w:noProof/>
          <w:color w:val="000000"/>
          <w:sz w:val="24"/>
          <w:szCs w:val="24"/>
          <w:lang w:val="ka-GE"/>
        </w:rPr>
        <w:lastRenderedPageBreak/>
        <w:t>რომ მკურნალობა კარგად გადაიტანეს. რეკომენდებული დოზით მიღებისას, დესლორატადინის ფარმაკოკინეტიკური აქტივობა შედარებულია პედიატრიულ და ზრდასრულ პოპულაციაში. ვინაიდან სეზონური ალერგიული რინიტი/ქრონიკული იდიოპათიური ჭინჭრის ციება მსგავსია მოზრდილებში და პედიატრიულ პაციენტებში დესლორატადინის პროფილით, მოზრდილებში დესლორატადინის ეფექტურობა შეიძლება ექსტრაპოლირებული იყოს პედიატრიულ პოპულაციაში.</w:t>
      </w:r>
    </w:p>
    <w:p w14:paraId="3993F3E7" w14:textId="5984E126" w:rsidR="0011673C" w:rsidRPr="00F93015" w:rsidRDefault="0011673C"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არ დაფიქსირებულა სტატისტიკურად ან კლინიკურად მნიშვნელოვანი გულ-სისხლძარღვთა ეფექტები დესლორატადინის მრავალდოზიანი კლინიკური კვლევისას, რომელიც გამოიყენება 20 მგ-მდე დღეში 14 დღის განმავლობაში. კლინიკურ ფარმაკოლოგიურ კვლევაში, სადაც დესლორატადინი მიღებულ იქნა 45 მგ დღეში (ცხრაჯერ მეტი კლინიკური დოზა) ათი დღის განმავლობაში, არ ყოფილა QTc-ის გახანგრძლივება (ინტერვალი Q ტალღასა და T ტალღას შორის ეკგ-ზე).</w:t>
      </w:r>
    </w:p>
    <w:p w14:paraId="59BE4D23" w14:textId="66F59188" w:rsidR="0011673C" w:rsidRPr="00F93015" w:rsidRDefault="00412050"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 xml:space="preserve">დესლორატადინი ადვილად არ აღწევს ცენტრალურ ნერვულ სისტემაში. რეკომენდებული დღიური დოზის 5 მგ-ის მიღებისას არ აღინიშნებოდა ძილიანობის სიხშირის ზრდა პლაცებოსთან შედარებით. დესლორატადინის ტაბლეტებმა არ იმოქმედა ფსიქომოტორულ ფუნქციონირებაზე, თუნდაც 7,5 მგ დღიური დოზით კლინიკურ კვლევებში. ერთჯერადი დოზის კვლევაში დესლორატადინი არ მოქმედებს ფრენის შესრულების სტანდარტულ </w:t>
      </w:r>
      <w:r w:rsidR="00B05412" w:rsidRPr="00F93015">
        <w:rPr>
          <w:rFonts w:ascii="Sylfaen" w:eastAsia="Times New Roman" w:hAnsi="Sylfaen" w:cs="Times New Roman"/>
          <w:noProof/>
          <w:color w:val="000000"/>
          <w:sz w:val="24"/>
          <w:szCs w:val="24"/>
          <w:lang w:val="ka-GE"/>
        </w:rPr>
        <w:t>მონაცემებზე</w:t>
      </w:r>
      <w:r w:rsidRPr="00F93015">
        <w:rPr>
          <w:rFonts w:ascii="Sylfaen" w:eastAsia="Times New Roman" w:hAnsi="Sylfaen" w:cs="Times New Roman"/>
          <w:noProof/>
          <w:color w:val="000000"/>
          <w:sz w:val="24"/>
          <w:szCs w:val="24"/>
          <w:lang w:val="ka-GE"/>
        </w:rPr>
        <w:t xml:space="preserve">, მათ შორის 5 მგ, ძილის სუბიექტურ მდგომარეობაზე ან ფრენასთან დაკავშირებულ </w:t>
      </w:r>
      <w:r w:rsidR="00E91834" w:rsidRPr="00F93015">
        <w:rPr>
          <w:rFonts w:ascii="Sylfaen" w:eastAsia="Times New Roman" w:hAnsi="Sylfaen" w:cs="Times New Roman"/>
          <w:noProof/>
          <w:color w:val="000000"/>
          <w:sz w:val="24"/>
          <w:szCs w:val="24"/>
          <w:lang w:val="ka-GE"/>
        </w:rPr>
        <w:t>საქმიანობაზე.</w:t>
      </w:r>
    </w:p>
    <w:p w14:paraId="14C170A9" w14:textId="5C0BBD76" w:rsidR="00412050" w:rsidRPr="00F93015" w:rsidRDefault="00412050" w:rsidP="00E76C4E">
      <w:pPr>
        <w:spacing w:after="0" w:line="240" w:lineRule="auto"/>
        <w:jc w:val="both"/>
        <w:rPr>
          <w:rFonts w:ascii="Sylfaen" w:eastAsia="Times New Roman" w:hAnsi="Sylfaen" w:cs="Times New Roman"/>
          <w:noProof/>
          <w:color w:val="000000"/>
          <w:sz w:val="24"/>
          <w:szCs w:val="24"/>
          <w:lang w:val="ka-GE"/>
        </w:rPr>
      </w:pPr>
    </w:p>
    <w:p w14:paraId="49704F4D" w14:textId="2481D305" w:rsidR="00412050" w:rsidRPr="00F93015" w:rsidRDefault="00412050"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კლინიკურ ფარმაკოლოგიურ კვლევებში ალკოჰოლთან ერთად გამოყენება არ იწვევს მუშაობის დაქვეითებას ან ალკოჰოლით გამოწვეულ უძილობას. არ იყო მნიშვნელოვანი განსხვავება ფსიქომოტორული ტესტის შედეგებში დესლორატადინისა და პლაცებოს ჯგუფებს შორის. დესლორატადინი, ცალკე ან ალკოჰოლთან ერთად მიღებისას, არ ზრდის ალკოჰოლის მავნე ეფექტების გაუარესებას.</w:t>
      </w:r>
    </w:p>
    <w:p w14:paraId="23891C78" w14:textId="6D258B65" w:rsidR="00412050" w:rsidRPr="00F93015" w:rsidRDefault="00412050"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კეტოკონაზოლისა და ერითრომიცინის მულტიდოზური ურთიერთქმედების კვლევებში არ დაფიქსირებულა დესლორატადინის პლაზმური კონცენტრაციების კლინიკურად მნიშვნელოვანი ცვლილება.</w:t>
      </w:r>
    </w:p>
    <w:p w14:paraId="106F73D0" w14:textId="77777777" w:rsidR="00412050" w:rsidRPr="00F93015" w:rsidRDefault="00412050" w:rsidP="00E76C4E">
      <w:pPr>
        <w:spacing w:after="0" w:line="240" w:lineRule="auto"/>
        <w:jc w:val="both"/>
        <w:rPr>
          <w:rFonts w:ascii="Sylfaen" w:eastAsia="Times New Roman" w:hAnsi="Sylfaen" w:cs="Times New Roman"/>
          <w:noProof/>
          <w:color w:val="000000"/>
          <w:sz w:val="24"/>
          <w:szCs w:val="24"/>
          <w:lang w:val="ka-GE"/>
        </w:rPr>
      </w:pPr>
    </w:p>
    <w:p w14:paraId="546185F2" w14:textId="0A86E3C5" w:rsidR="00412050" w:rsidRPr="00F93015" w:rsidRDefault="00412050"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მოზრდილებში და მოზარდებში ალერგიული რინიტით, დესლორატადინი ეფექტური იყო ისეთი სიმპტომების შესამსუბუქებლად, როგორიცაა ტაბლეტები, ცემინება, გამონადენი და ქავილი, გაჭედვა/ ცხვირის გაჭედვა, ასევე თვალების ქავილი, ოფლიანობა და სიწითლე და სასის ქავილი.</w:t>
      </w:r>
    </w:p>
    <w:p w14:paraId="73DCAE2B" w14:textId="74128AE6" w:rsidR="00412050" w:rsidRPr="00F93015" w:rsidRDefault="00412050" w:rsidP="00E76C4E">
      <w:pPr>
        <w:spacing w:after="0" w:line="240" w:lineRule="auto"/>
        <w:jc w:val="both"/>
        <w:rPr>
          <w:rFonts w:ascii="Sylfaen" w:eastAsia="Times New Roman" w:hAnsi="Sylfaen" w:cs="Times New Roman"/>
          <w:noProof/>
          <w:color w:val="000000"/>
          <w:sz w:val="24"/>
          <w:szCs w:val="24"/>
          <w:lang w:val="ka-GE"/>
        </w:rPr>
      </w:pPr>
    </w:p>
    <w:p w14:paraId="06678D53" w14:textId="2D27B5E1" w:rsidR="00412050" w:rsidRPr="00F93015" w:rsidRDefault="00412050"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 xml:space="preserve">ალერგიული რინიტი კლასიფიცირდება როგორც სეზონური და მორეციდივე ალერგიული რინიტი, ასევე მწვავე და ქრონიკული ალერგიული რინიტი სიმპტომების ხანგრძლივობის მიხედვით. </w:t>
      </w:r>
      <w:r w:rsidR="000022B2" w:rsidRPr="00F93015">
        <w:rPr>
          <w:rFonts w:ascii="Sylfaen" w:eastAsia="Times New Roman" w:hAnsi="Sylfaen" w:cs="Times New Roman"/>
          <w:noProof/>
          <w:color w:val="000000"/>
          <w:sz w:val="24"/>
          <w:szCs w:val="24"/>
          <w:lang w:val="ka-GE"/>
        </w:rPr>
        <w:t>მწვავე</w:t>
      </w:r>
      <w:r w:rsidRPr="00F93015">
        <w:rPr>
          <w:rFonts w:ascii="Sylfaen" w:eastAsia="Times New Roman" w:hAnsi="Sylfaen" w:cs="Times New Roman"/>
          <w:noProof/>
          <w:color w:val="000000"/>
          <w:sz w:val="24"/>
          <w:szCs w:val="24"/>
          <w:lang w:val="ka-GE"/>
        </w:rPr>
        <w:t xml:space="preserve"> ალერგიული რინიტი შეიძლება განისაზღვროს, როგორც სიმპტომები, რომლებიც ვლინდება კვირაში 4 დღეზე ნაკლები ან 4 კვირაზე ნაკლები. </w:t>
      </w:r>
      <w:r w:rsidR="000022B2" w:rsidRPr="00F93015">
        <w:rPr>
          <w:rFonts w:ascii="Sylfaen" w:eastAsia="Times New Roman" w:hAnsi="Sylfaen" w:cs="Times New Roman"/>
          <w:noProof/>
          <w:color w:val="000000"/>
          <w:sz w:val="24"/>
          <w:szCs w:val="24"/>
          <w:lang w:val="ka-GE"/>
        </w:rPr>
        <w:t>ქრონიკული</w:t>
      </w:r>
      <w:r w:rsidRPr="00F93015">
        <w:rPr>
          <w:rFonts w:ascii="Sylfaen" w:eastAsia="Times New Roman" w:hAnsi="Sylfaen" w:cs="Times New Roman"/>
          <w:noProof/>
          <w:color w:val="000000"/>
          <w:sz w:val="24"/>
          <w:szCs w:val="24"/>
          <w:lang w:val="ka-GE"/>
        </w:rPr>
        <w:t xml:space="preserve"> შეიძლება განისაზღვროს როგორც ალერგიული რინიტი, კვირაში 4 დღე ან მეტი და 4 კვირაზე მეტი</w:t>
      </w:r>
      <w:r w:rsidR="000022B2" w:rsidRPr="00F93015">
        <w:rPr>
          <w:rFonts w:ascii="Sylfaen" w:eastAsia="Times New Roman" w:hAnsi="Sylfaen" w:cs="Times New Roman"/>
          <w:noProof/>
          <w:color w:val="000000"/>
          <w:sz w:val="24"/>
          <w:szCs w:val="24"/>
          <w:lang w:val="ka-GE"/>
        </w:rPr>
        <w:t xml:space="preserve"> ხანგრძლივობის სიმპტომებით</w:t>
      </w:r>
      <w:r w:rsidRPr="00F93015">
        <w:rPr>
          <w:rFonts w:ascii="Sylfaen" w:eastAsia="Times New Roman" w:hAnsi="Sylfaen" w:cs="Times New Roman"/>
          <w:noProof/>
          <w:color w:val="000000"/>
          <w:sz w:val="24"/>
          <w:szCs w:val="24"/>
          <w:lang w:val="ka-GE"/>
        </w:rPr>
        <w:t>.</w:t>
      </w:r>
    </w:p>
    <w:p w14:paraId="6B3753D0" w14:textId="449735D8" w:rsidR="000022B2" w:rsidRPr="00F93015" w:rsidRDefault="000022B2" w:rsidP="00E76C4E">
      <w:pPr>
        <w:spacing w:after="0" w:line="240" w:lineRule="auto"/>
        <w:jc w:val="both"/>
        <w:rPr>
          <w:rFonts w:ascii="Sylfaen" w:eastAsia="Times New Roman" w:hAnsi="Sylfaen" w:cs="Times New Roman"/>
          <w:noProof/>
          <w:color w:val="000000"/>
          <w:sz w:val="24"/>
          <w:szCs w:val="24"/>
          <w:lang w:val="ka-GE"/>
        </w:rPr>
      </w:pPr>
    </w:p>
    <w:p w14:paraId="77F96CDE" w14:textId="52DFDB9E" w:rsidR="000022B2" w:rsidRPr="00F93015" w:rsidRDefault="000022B2"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დესლორატადინის ტაბლეტები ეფექტურია სეზონური ალერგიული რინიტური გამწვავებების შესამცირებლად, რინო-კონიუნქტივიტის ცხოვრების ხარისხის კითხვარის საერთო ქულაში. ყველაზე დიდი გაუმჯობესება შეინიშნება ყოველდღიური აქტივობებისა და სიმპტომებით შეზღუდული პრაქტიკული პრობლემების სფეროში.</w:t>
      </w:r>
    </w:p>
    <w:p w14:paraId="70F90DEB" w14:textId="1D97E231" w:rsidR="000022B2" w:rsidRPr="00F93015" w:rsidRDefault="000022B2" w:rsidP="00E76C4E">
      <w:pPr>
        <w:spacing w:after="0" w:line="240" w:lineRule="auto"/>
        <w:jc w:val="both"/>
        <w:rPr>
          <w:rFonts w:ascii="Sylfaen" w:eastAsia="Times New Roman" w:hAnsi="Sylfaen" w:cs="Times New Roman"/>
          <w:noProof/>
          <w:color w:val="000000"/>
          <w:sz w:val="24"/>
          <w:szCs w:val="24"/>
          <w:lang w:val="ka-GE"/>
        </w:rPr>
      </w:pPr>
    </w:p>
    <w:p w14:paraId="66CD21FA" w14:textId="6DAC9564" w:rsidR="000022B2" w:rsidRPr="00F93015" w:rsidRDefault="000022B2"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lastRenderedPageBreak/>
        <w:t>ქრონიკული იდიოპათიური ჭინჭრის ციება შესწავლილი იყო, როგორც ურტიკარიის კლინიკური მოდელი, ფიზიოპათოლოგიის მსგავსების გამო, მიუხედავად ეტიოლოგიისა და ქრონიკული პაციენტების პერსპექტიულ კვლევებში მონაწილეობის ხელმისაწვდომობისა. ჰისტამინის გამოყოფა არის ყველა ურტიკარიური დაავადების მიზეზი და, როგორც რეკომენდებულია კლინიკურ გაიდლაინებში, მოსალოდნელია, რომ ეფექტური იყოს იდიოპათიური ჭინჭრის ციების სხვა დაავადებების სიმპტომების შესამსუბუქებლად.</w:t>
      </w:r>
    </w:p>
    <w:p w14:paraId="10EC0AF4" w14:textId="5532241C" w:rsidR="000022B2" w:rsidRPr="00F93015" w:rsidRDefault="000022B2"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ორ 6-კვირიან პლაცებოზე კონტროლირებად კვლევაში, რომლებიც ჩატარდა ქრონიკული იდიოპათიური ჭინჭრის ციების მქონე პაციენტებში, დესლორატადინი ეფექტური იყო ქავილის შესამსუბუქებლად მკურნალობის პირველი დღიდან და ამცირებს გამონაყარის და სიწითლის ზომისა და რაოდენობის შემცირებას კანზე. ორივე კვლევაში ეფექტი უცვლელი დარჩა დოზირების 24-საათიანი ინტერვალის განმავლობაში. ქრონიკული იდიოპათიური ჭინჭრის ციების სხვა ანტიჰისტამინურ კვლევებში, ზოგიერთი პაციენტი, რომელიც არ პასუხობდა ანტიჰისტამინს, ამოღებულ იქნა კვლევიდან. პაციენტთა 55%-ში, რომლებიც მკურნალობდნენ დესლორატადინით, 50%-ს აღენიშნებოდა ქავილის გაუმჯობესება პლაცებოთი ნამკურნალებ 19%-თან შედარებით. დესლორატადინით მკურნალობამ ასევე გააუმჯობესა ძილი და ყოველდღიური ფუნქცია, რომელიც იზომება ოთხბალიანი შკალით შემცირებული ძილისა და ყოველდღიური რუტინული აქტივობების ურთიერთქმედებით.</w:t>
      </w:r>
    </w:p>
    <w:p w14:paraId="7FA023FB" w14:textId="0B18CA7D" w:rsidR="000022B2" w:rsidRPr="00F93015" w:rsidRDefault="000022B2" w:rsidP="00E76C4E">
      <w:pPr>
        <w:spacing w:after="0" w:line="240" w:lineRule="auto"/>
        <w:jc w:val="both"/>
        <w:rPr>
          <w:rFonts w:ascii="Sylfaen" w:eastAsia="Times New Roman" w:hAnsi="Sylfaen" w:cs="Times New Roman"/>
          <w:noProof/>
          <w:color w:val="000000"/>
          <w:sz w:val="24"/>
          <w:szCs w:val="24"/>
          <w:lang w:val="ka-GE"/>
        </w:rPr>
      </w:pPr>
    </w:p>
    <w:p w14:paraId="511CC1C0" w14:textId="0B67464F" w:rsidR="000022B2" w:rsidRPr="00F93015" w:rsidRDefault="000022B2"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5.2 ფარმაკოკინეტიკური თვისებები</w:t>
      </w:r>
    </w:p>
    <w:p w14:paraId="1400F8ED" w14:textId="5114D75F" w:rsidR="000022B2" w:rsidRPr="00F93015" w:rsidRDefault="000022B2"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ზოგადი მახასიათებლები</w:t>
      </w:r>
    </w:p>
    <w:p w14:paraId="27973865" w14:textId="02E30DDB" w:rsidR="000022B2" w:rsidRPr="00F93015" w:rsidRDefault="000022B2" w:rsidP="00E76C4E">
      <w:pPr>
        <w:spacing w:after="0" w:line="240" w:lineRule="auto"/>
        <w:jc w:val="both"/>
        <w:rPr>
          <w:rFonts w:ascii="Sylfaen" w:eastAsia="Times New Roman" w:hAnsi="Sylfaen" w:cs="Times New Roman"/>
          <w:noProof/>
          <w:color w:val="000000"/>
          <w:sz w:val="24"/>
          <w:szCs w:val="24"/>
          <w:u w:val="single"/>
          <w:lang w:val="ka-GE"/>
        </w:rPr>
      </w:pPr>
      <w:r w:rsidRPr="00F93015">
        <w:rPr>
          <w:rFonts w:ascii="Sylfaen" w:eastAsia="Times New Roman" w:hAnsi="Sylfaen" w:cs="Times New Roman"/>
          <w:noProof/>
          <w:color w:val="000000"/>
          <w:sz w:val="24"/>
          <w:szCs w:val="24"/>
          <w:u w:val="single"/>
          <w:lang w:val="ka-GE"/>
        </w:rPr>
        <w:t>შეწოვა</w:t>
      </w:r>
    </w:p>
    <w:p w14:paraId="5B974B98" w14:textId="0ED3120F" w:rsidR="000022B2" w:rsidRPr="00F93015" w:rsidRDefault="00DD5F39"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დესლორატადინის კონცენტრაცია პლაზმაში აღწევს შესამჩნევ დონეს მოზრდილებში და მოზარდებში მიღებიდან 30 წუთის განმავლობაში. დესლორატადინის აბსორბცია კარგია და მაქსიმალური კონცენტრაცია მიიღწევა დაახლოებით 3 საათის შემდეგ. დესლორატადინის ტერმინალური ფაზის ნახევარგამოყოფის პერიოდი შეადგენს დაახლოებით 27 საათს. დესლორატადინის დაგროვების ხარისხი შეესაბამება ნახევარგამოყოფის პერიოდს (დაახლოებით 27 საათი) და ერთჯერადი დოზის დღიური დოზის სიხშირეს. დესლორატადინის ბიოშეღწევადობა პროპორციულია დოზის 5-დან 20 მგ-მდე.</w:t>
      </w:r>
    </w:p>
    <w:p w14:paraId="52687F19" w14:textId="7C2AB67A" w:rsidR="00DD5F39" w:rsidRPr="00F93015" w:rsidRDefault="00DD5F39" w:rsidP="00E76C4E">
      <w:pPr>
        <w:spacing w:after="0" w:line="240" w:lineRule="auto"/>
        <w:jc w:val="both"/>
        <w:rPr>
          <w:rFonts w:ascii="Sylfaen" w:eastAsia="Times New Roman" w:hAnsi="Sylfaen" w:cs="Times New Roman"/>
          <w:noProof/>
          <w:color w:val="000000"/>
          <w:sz w:val="24"/>
          <w:szCs w:val="24"/>
          <w:u w:val="single"/>
          <w:lang w:val="ka-GE"/>
        </w:rPr>
      </w:pPr>
      <w:r w:rsidRPr="00F93015">
        <w:rPr>
          <w:rFonts w:ascii="Sylfaen" w:eastAsia="Times New Roman" w:hAnsi="Sylfaen" w:cs="Times New Roman"/>
          <w:noProof/>
          <w:color w:val="000000"/>
          <w:sz w:val="24"/>
          <w:szCs w:val="24"/>
          <w:u w:val="single"/>
          <w:lang w:val="ka-GE"/>
        </w:rPr>
        <w:t>გავრცელება</w:t>
      </w:r>
    </w:p>
    <w:p w14:paraId="063E4304" w14:textId="22B85C02" w:rsidR="00BE2C3A" w:rsidRPr="00F93015" w:rsidRDefault="00DD5F39"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ფარმაკოკინეტიკური და კლინიკური კვლევების სპექტრში, მოხალისეთა 6%-მა მიაღწია დესლორატადინის მაღალ კონცენტრაციას. ამ ნაკლებად ფენოტიპური ფენოთიოპრეოტიდის პრევალენტობა მსგავსია მოზრდილებში (6%) და 2-1 1 წლის ასაკის პედიატრიულ მოხალისეებში (6%), ხოლო ორივე პოპულაციაში უფრო მაღალია შავკანიანებში (18% ზრდასრული, % 16 პედიატრი</w:t>
      </w:r>
      <w:r w:rsidR="00BE2C3A" w:rsidRPr="00F93015">
        <w:rPr>
          <w:rFonts w:ascii="Sylfaen" w:eastAsia="Times New Roman" w:hAnsi="Sylfaen" w:cs="Times New Roman"/>
          <w:noProof/>
          <w:color w:val="000000"/>
          <w:sz w:val="24"/>
          <w:szCs w:val="24"/>
          <w:lang w:val="ka-GE"/>
        </w:rPr>
        <w:t>ული</w:t>
      </w:r>
      <w:r w:rsidRPr="00F93015">
        <w:rPr>
          <w:rFonts w:ascii="Sylfaen" w:eastAsia="Times New Roman" w:hAnsi="Sylfaen" w:cs="Times New Roman"/>
          <w:noProof/>
          <w:color w:val="000000"/>
          <w:sz w:val="24"/>
          <w:szCs w:val="24"/>
          <w:lang w:val="ka-GE"/>
        </w:rPr>
        <w:t>). შემდეგ თეთრკანიანები (2% ზრდასრული, 3% პედიატრიული).</w:t>
      </w:r>
    </w:p>
    <w:p w14:paraId="15AE701A" w14:textId="6EB64D1D" w:rsidR="00BE2C3A" w:rsidRPr="00F93015" w:rsidRDefault="00BE2C3A"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მულტიდოზურ ფარმაკოკინეტიკურ კვლევაში, რომელიც ჩატარდა ტაბლეტების ფორმულაციით ჯანმრთელ ზრდასრულ მოხალისეებში, აღმოჩნდა, რომ ოთხი მოხალისე ნაკლებად მეტაბოლიზებს დესლორატადინს. ამ ადამიანებში C max კონცენტრაცია იყო 3-ჯერ მეტი დაახლოებით 7 საათის განმავლობაში და ტერმინალური ფაზის ნახევარგამოყოფის პერიოდი იყო დაახლოებით 89 საათი.</w:t>
      </w:r>
    </w:p>
    <w:p w14:paraId="62B9467F" w14:textId="79AA9239" w:rsidR="00BE2C3A" w:rsidRPr="00F93015" w:rsidRDefault="00BE2C3A"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 xml:space="preserve">მსგავსი ფარმაკოკინეტიკური პარამეტრები დაფიქსირდა სიროფის ფორმულაციის მულტიდოზური ფარმაკოკინეტიკური კვლევების დროს 2-1 1 წლის ასაკის ცუდად მეტაბოლიზებულ პედიატრიულ პაციენტებში, რომლებსაც დაუსვეს ალერგიული რინიტის დიაგნოზი. დესლორატადინის ექსპოზიციის დროს, (EAA) არის 6-ჯერ მეტი და Cmax დაახლოებით 3-4-ჯერ მაღალია 3-6 საათის განმავლობაში და ნახევარგამოყოფის პერიოდი 120 საათია. ასაკის შესაბამისი დოზები უცვლელია პედიატრიული სუსტი მეტაბოლიზატორებისთვის და მოზრდილებისთვის. ამ პაციენტებში უსაფრთხოების ზოგადი </w:t>
      </w:r>
      <w:r w:rsidRPr="00F93015">
        <w:rPr>
          <w:rFonts w:ascii="Sylfaen" w:eastAsia="Times New Roman" w:hAnsi="Sylfaen" w:cs="Times New Roman"/>
          <w:noProof/>
          <w:color w:val="000000"/>
          <w:sz w:val="24"/>
          <w:szCs w:val="24"/>
          <w:lang w:val="ka-GE"/>
        </w:rPr>
        <w:lastRenderedPageBreak/>
        <w:t>პროფილი არ განსხვავდება ზოგადი პოპულაციისგან. დესლორატადინის ეფექტი 2 წლამდე სუსტი მეტაბოლიზატორებზე არ არის შესწავლილი.</w:t>
      </w:r>
    </w:p>
    <w:p w14:paraId="6C19F021" w14:textId="5940CD47" w:rsidR="00BE2C3A" w:rsidRPr="00F93015" w:rsidRDefault="00BE2C3A"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დესლორატადინი ზომიერად უკავშირდება პლაზმის ცილებს (83% - 87%). პრეპარატის დაგროვების კლინიკურად მნიშვნელოვანი ნიშნები არ იქნა ნაპოვნი დესლორატადინის ერთჯერადი დღიური დოზის (5 მგ-დან 20 მგ-მდე) 14 დღის განმავლობაში.</w:t>
      </w:r>
    </w:p>
    <w:p w14:paraId="7DB7B1E3" w14:textId="77777777" w:rsidR="00BE2C3A" w:rsidRPr="00F93015" w:rsidRDefault="00BE2C3A"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ჯვარედინი დიზაინის, ერთჯერადი დოზის კვლევაში, რომელიც ჩატარდა დესლორატადინთან, ტაბლეტებთან და სიროფთან ერთად, აღმოჩნდა, რომ ისინი ბიოექვივალენტები არიან.</w:t>
      </w:r>
    </w:p>
    <w:p w14:paraId="2E9CFFCC" w14:textId="26100C23" w:rsidR="00BE2C3A" w:rsidRPr="00F93015" w:rsidRDefault="00BE2C3A"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ცალკეულ ერთჯერადი დოზის კვლევებში, EAA-ს და Cmax-ის რეკომენდებული დოზები დესლორატადინისთვის პედიატრიულ პაციენტებში მსგავსი იყო 5 მგ დესლორატადინის სიროფის მიღებისას.</w:t>
      </w:r>
    </w:p>
    <w:p w14:paraId="73C79DE2" w14:textId="77777777" w:rsidR="00BE2C3A" w:rsidRPr="00F93015" w:rsidRDefault="00BE2C3A" w:rsidP="00E76C4E">
      <w:pPr>
        <w:spacing w:after="0" w:line="240" w:lineRule="auto"/>
        <w:jc w:val="both"/>
        <w:rPr>
          <w:rFonts w:ascii="Sylfaen" w:eastAsia="Times New Roman" w:hAnsi="Sylfaen" w:cs="Times New Roman"/>
          <w:noProof/>
          <w:color w:val="000000"/>
          <w:sz w:val="24"/>
          <w:szCs w:val="24"/>
          <w:u w:val="single"/>
          <w:lang w:val="ka-GE"/>
        </w:rPr>
      </w:pPr>
    </w:p>
    <w:p w14:paraId="50AE7168" w14:textId="05BB0BFD" w:rsidR="00BE2C3A" w:rsidRPr="00F93015" w:rsidRDefault="00BE2C3A" w:rsidP="00E76C4E">
      <w:pPr>
        <w:spacing w:after="0" w:line="240" w:lineRule="auto"/>
        <w:jc w:val="both"/>
        <w:rPr>
          <w:rFonts w:ascii="Sylfaen" w:eastAsia="Times New Roman" w:hAnsi="Sylfaen" w:cs="Times New Roman"/>
          <w:noProof/>
          <w:color w:val="000000"/>
          <w:sz w:val="24"/>
          <w:szCs w:val="24"/>
          <w:u w:val="single"/>
          <w:lang w:val="ka-GE"/>
        </w:rPr>
      </w:pPr>
      <w:r w:rsidRPr="00F93015">
        <w:rPr>
          <w:rFonts w:ascii="Sylfaen" w:eastAsia="Times New Roman" w:hAnsi="Sylfaen" w:cs="Times New Roman"/>
          <w:noProof/>
          <w:color w:val="000000"/>
          <w:sz w:val="24"/>
          <w:szCs w:val="24"/>
          <w:u w:val="single"/>
          <w:lang w:val="ka-GE"/>
        </w:rPr>
        <w:t>ბიოტრანსფორმაცია</w:t>
      </w:r>
    </w:p>
    <w:p w14:paraId="7D5374F6" w14:textId="605AA740" w:rsidR="00BE2C3A" w:rsidRPr="00F93015" w:rsidRDefault="00DE591B"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ვინაიდან დესლორატადინის მეტაბოლიზმზე პასუხისმგებელი ფერმენტი ჯერ არ არის გამოვლენილი, ზოგიერთი ურთიერთქმედება სხვა წამლებთან არ შეიძლება სრულიად უგულებელყოფილი იყოს. CYP3A4 და CYP2D6 სპეციფიკურ ინჰიბიტორებთან in vivo კვლევებმა აჩვენა, რომ ეს ფერმენტები არ არის ეფექტური დესლორატადინის მეტაბოლიზმში. დესლორატადინი არ აინჰიბირებს CYP3A4 ან CYP2D6 და არ არის P-გლიკოპროტეინის სუბსტრატი ან ინჰიბიტორი.</w:t>
      </w:r>
    </w:p>
    <w:p w14:paraId="10CF35CB" w14:textId="784F63AA" w:rsidR="00DE591B" w:rsidRPr="00F93015" w:rsidRDefault="00DE591B" w:rsidP="00E76C4E">
      <w:pPr>
        <w:spacing w:after="0" w:line="240" w:lineRule="auto"/>
        <w:jc w:val="both"/>
        <w:rPr>
          <w:rFonts w:ascii="Sylfaen" w:eastAsia="Times New Roman" w:hAnsi="Sylfaen" w:cs="Times New Roman"/>
          <w:noProof/>
          <w:color w:val="000000"/>
          <w:sz w:val="24"/>
          <w:szCs w:val="24"/>
          <w:lang w:val="ka-GE"/>
        </w:rPr>
      </w:pPr>
    </w:p>
    <w:p w14:paraId="18AF766F" w14:textId="7BBCA35B" w:rsidR="00DE591B" w:rsidRPr="00F93015" w:rsidRDefault="00DE591B" w:rsidP="00E76C4E">
      <w:pPr>
        <w:spacing w:after="0" w:line="240" w:lineRule="auto"/>
        <w:jc w:val="both"/>
        <w:rPr>
          <w:rFonts w:ascii="Sylfaen" w:eastAsia="Times New Roman" w:hAnsi="Sylfaen" w:cs="Times New Roman"/>
          <w:noProof/>
          <w:color w:val="000000"/>
          <w:sz w:val="24"/>
          <w:szCs w:val="24"/>
          <w:u w:val="single"/>
          <w:lang w:val="ka-GE"/>
        </w:rPr>
      </w:pPr>
      <w:r w:rsidRPr="00F93015">
        <w:rPr>
          <w:rFonts w:ascii="Sylfaen" w:eastAsia="Times New Roman" w:hAnsi="Sylfaen" w:cs="Times New Roman"/>
          <w:noProof/>
          <w:color w:val="000000"/>
          <w:sz w:val="24"/>
          <w:szCs w:val="24"/>
          <w:u w:val="single"/>
          <w:lang w:val="ka-GE"/>
        </w:rPr>
        <w:t>ელიმინაცია</w:t>
      </w:r>
    </w:p>
    <w:p w14:paraId="0ED3E4AE" w14:textId="72E7EE83" w:rsidR="00DE591B" w:rsidRPr="00F93015" w:rsidRDefault="00DE591B"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ერთჯერადი დოზის კვლევაში, რომელშიც დესლორატადინი გამოიყენებოდა 7,5 მგ დოზით, აჩვენა, რომ ნუტრიენტები (ცხიმით მდიდარი და კალორიებით მდიდარი საუზმე) გავლენას არ ახდენდა დისლორატადინის დისპოზიციაზე. სხვა კვლევაში, გრეიფრუტის წვენს არანაირი გავლენა არ ჰქონდა დისლორატადინის დისპოზიციაზე.</w:t>
      </w:r>
    </w:p>
    <w:p w14:paraId="0D99C9F8" w14:textId="6900F571" w:rsidR="00DE591B" w:rsidRPr="00F93015" w:rsidRDefault="00DE591B" w:rsidP="00E76C4E">
      <w:pPr>
        <w:spacing w:after="0" w:line="240" w:lineRule="auto"/>
        <w:jc w:val="both"/>
        <w:rPr>
          <w:rFonts w:ascii="Sylfaen" w:eastAsia="Times New Roman" w:hAnsi="Sylfaen" w:cs="Times New Roman"/>
          <w:noProof/>
          <w:color w:val="000000"/>
          <w:sz w:val="24"/>
          <w:szCs w:val="24"/>
          <w:lang w:val="ka-GE"/>
        </w:rPr>
      </w:pPr>
    </w:p>
    <w:p w14:paraId="64D4DCD8" w14:textId="16349B56" w:rsidR="00DE591B" w:rsidRPr="00F93015" w:rsidRDefault="00DE591B"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5.3 პრეკლინიკური უსაფრთხოების მონაცემები</w:t>
      </w:r>
    </w:p>
    <w:p w14:paraId="7B37F84C" w14:textId="7E7BFB7A" w:rsidR="00DE591B" w:rsidRPr="00F93015" w:rsidRDefault="00DE591B"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დესლორატადინი არის ლორატადინის ძირითადი აქტიური მეტაბოლიტი. არაკლინიკური კვლევები დესლორატადინთან და ლორატადინთან ერთად აჩვენა, რომ დესლორატადინის რეკომენდებული დოზის მიღებისას ყალიბდება ლორატადინის მსგავსი ხარისხობრივი და რაოდენობრივი ტოქსიკურობის პროფილი.</w:t>
      </w:r>
    </w:p>
    <w:p w14:paraId="075FB16D" w14:textId="417EF70F" w:rsidR="00DE591B" w:rsidRPr="00F93015" w:rsidRDefault="00DE591B"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დესლორატიდინთან ჩატარებული არაკლინიკური კვლევების მონაცემებმა, რომლებსაც აქვთ უსაფრთხოების ფარმაკოლოგია, განმეორებითი დოზების ტოქსიკურობა, გენოტოქსიურობა და რეპროდუქციული ტოქსიკურობა, აჩვენა, რომ არ არსებობს საფრთხე ადამიანებისთვის. ლორატადინთან ჩატარებულმა კვლევებმა აჩვენა, რომ არ არსებობს კანცეროგენული პოტენციალი.</w:t>
      </w:r>
    </w:p>
    <w:p w14:paraId="3ED8D530" w14:textId="1F776B01" w:rsidR="00DE591B" w:rsidRPr="00F93015" w:rsidRDefault="00DE591B" w:rsidP="00E76C4E">
      <w:pPr>
        <w:spacing w:after="0" w:line="240" w:lineRule="auto"/>
        <w:jc w:val="both"/>
        <w:rPr>
          <w:rFonts w:ascii="Sylfaen" w:eastAsia="Times New Roman" w:hAnsi="Sylfaen" w:cs="Times New Roman"/>
          <w:noProof/>
          <w:color w:val="000000"/>
          <w:sz w:val="24"/>
          <w:szCs w:val="24"/>
          <w:lang w:val="ka-GE"/>
        </w:rPr>
      </w:pPr>
    </w:p>
    <w:p w14:paraId="4350D3AA" w14:textId="36E63DE6" w:rsidR="00DE591B" w:rsidRPr="00F93015" w:rsidRDefault="00DE591B" w:rsidP="00E76C4E">
      <w:pPr>
        <w:pStyle w:val="ListParagraph"/>
        <w:numPr>
          <w:ilvl w:val="0"/>
          <w:numId w:val="1"/>
        </w:numPr>
        <w:spacing w:after="0" w:line="240" w:lineRule="auto"/>
        <w:ind w:left="0" w:firstLine="0"/>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ფარმაცევტული თვისებები</w:t>
      </w:r>
    </w:p>
    <w:p w14:paraId="39E166D7" w14:textId="36479363" w:rsidR="00DE591B" w:rsidRPr="00F93015" w:rsidRDefault="00DE591B" w:rsidP="00E76C4E">
      <w:pPr>
        <w:pStyle w:val="ListParagraph"/>
        <w:numPr>
          <w:ilvl w:val="1"/>
          <w:numId w:val="1"/>
        </w:numPr>
        <w:spacing w:after="0" w:line="240" w:lineRule="auto"/>
        <w:ind w:left="0" w:firstLine="0"/>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დამხმარე ნივთიერებების ჩამონათვალი</w:t>
      </w:r>
    </w:p>
    <w:p w14:paraId="6CFEA302" w14:textId="60526C99" w:rsidR="00DE591B" w:rsidRPr="00F93015" w:rsidRDefault="00DE591B"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Sylfaen"/>
          <w:noProof/>
          <w:color w:val="000000"/>
          <w:sz w:val="24"/>
          <w:szCs w:val="24"/>
          <w:lang w:val="ka-GE"/>
        </w:rPr>
        <w:t>პროპილენგლიკოლი</w:t>
      </w:r>
    </w:p>
    <w:p w14:paraId="7FC0638E" w14:textId="77777777" w:rsidR="00DE591B" w:rsidRPr="00F93015" w:rsidRDefault="00DE591B"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სორბიტოლი</w:t>
      </w:r>
    </w:p>
    <w:p w14:paraId="12B84B14" w14:textId="77777777" w:rsidR="00DE591B" w:rsidRPr="00F93015" w:rsidRDefault="00DE591B"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ლიმონმჟავას მონოჰიდრატი</w:t>
      </w:r>
    </w:p>
    <w:p w14:paraId="432507EC" w14:textId="77777777" w:rsidR="00DE591B" w:rsidRPr="00F93015" w:rsidRDefault="00DE591B"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ნატრიუმის ციტრატის დიჰიდრატი</w:t>
      </w:r>
    </w:p>
    <w:p w14:paraId="7EADB169" w14:textId="654FE985" w:rsidR="00DE591B" w:rsidRPr="00F93015" w:rsidRDefault="00DE591B"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Sylfaen"/>
          <w:noProof/>
          <w:color w:val="000000"/>
          <w:sz w:val="24"/>
          <w:szCs w:val="24"/>
          <w:lang w:val="ka-GE"/>
        </w:rPr>
        <w:t>ნატრიუმის</w:t>
      </w:r>
      <w:r w:rsidRPr="00F93015">
        <w:rPr>
          <w:rFonts w:ascii="Sylfaen" w:eastAsia="Times New Roman" w:hAnsi="Sylfaen" w:cs="Times New Roman"/>
          <w:noProof/>
          <w:color w:val="000000"/>
          <w:sz w:val="24"/>
          <w:szCs w:val="24"/>
          <w:lang w:val="ka-GE"/>
        </w:rPr>
        <w:t xml:space="preserve"> </w:t>
      </w:r>
      <w:r w:rsidRPr="00F93015">
        <w:rPr>
          <w:rFonts w:ascii="Sylfaen" w:eastAsia="Times New Roman" w:hAnsi="Sylfaen" w:cs="Sylfaen"/>
          <w:noProof/>
          <w:color w:val="000000"/>
          <w:sz w:val="24"/>
          <w:szCs w:val="24"/>
          <w:lang w:val="ka-GE"/>
        </w:rPr>
        <w:t>ბენზოატი</w:t>
      </w:r>
    </w:p>
    <w:p w14:paraId="687C10B0" w14:textId="77777777" w:rsidR="00DE591B" w:rsidRPr="00F93015" w:rsidRDefault="00DE591B"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დინატრიუმი EDTA</w:t>
      </w:r>
    </w:p>
    <w:p w14:paraId="7A992067" w14:textId="77777777" w:rsidR="00DE591B" w:rsidRPr="00F93015" w:rsidRDefault="00DE591B"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შაქარი (საქაროზა)</w:t>
      </w:r>
    </w:p>
    <w:p w14:paraId="5F7D01E8" w14:textId="68EE022E" w:rsidR="00DE591B" w:rsidRPr="00F93015" w:rsidRDefault="00DE591B"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დაისის ყვითელი FD &amp; C 6</w:t>
      </w:r>
    </w:p>
    <w:p w14:paraId="5E348760" w14:textId="77777777" w:rsidR="00D20D12" w:rsidRPr="00F93015" w:rsidRDefault="00DE591B"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lastRenderedPageBreak/>
        <w:t>Bubble gum  არომატი</w:t>
      </w:r>
    </w:p>
    <w:p w14:paraId="72EE008C" w14:textId="39B1C2C4" w:rsidR="00DE591B" w:rsidRPr="00F93015" w:rsidRDefault="00DE591B"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დეიონიზებული წყალი</w:t>
      </w:r>
    </w:p>
    <w:p w14:paraId="768F8FE1" w14:textId="514EB95C" w:rsidR="00D20D12" w:rsidRPr="00F93015" w:rsidRDefault="00D20D12"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6.2 შეუთავსებლობები</w:t>
      </w:r>
    </w:p>
    <w:p w14:paraId="5429E8D2" w14:textId="7247A743" w:rsidR="00D20D12" w:rsidRPr="00F93015" w:rsidRDefault="00D20D12"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შეუთავსებლობების შესახებ არ არის ცნობილი.</w:t>
      </w:r>
    </w:p>
    <w:p w14:paraId="41E89FE3" w14:textId="6A351223" w:rsidR="00D20D12" w:rsidRPr="00F93015" w:rsidRDefault="00D20D12"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6.3</w:t>
      </w:r>
      <w:r w:rsidR="00BF7879" w:rsidRPr="00F93015">
        <w:rPr>
          <w:rFonts w:ascii="Sylfaen" w:eastAsia="Times New Roman" w:hAnsi="Sylfaen" w:cs="Times New Roman"/>
          <w:b/>
          <w:bCs/>
          <w:noProof/>
          <w:color w:val="000000"/>
          <w:sz w:val="24"/>
          <w:szCs w:val="24"/>
          <w:lang w:val="ka-GE"/>
        </w:rPr>
        <w:t xml:space="preserve"> ვარგის</w:t>
      </w:r>
      <w:r w:rsidRPr="00F93015">
        <w:rPr>
          <w:rFonts w:ascii="Sylfaen" w:eastAsia="Times New Roman" w:hAnsi="Sylfaen" w:cs="Times New Roman"/>
          <w:b/>
          <w:bCs/>
          <w:noProof/>
          <w:color w:val="000000"/>
          <w:sz w:val="24"/>
          <w:szCs w:val="24"/>
          <w:lang w:val="ka-GE"/>
        </w:rPr>
        <w:t>ობის ვადა</w:t>
      </w:r>
    </w:p>
    <w:p w14:paraId="5A7FFC22" w14:textId="4A8F9CF3" w:rsidR="00D20D12" w:rsidRPr="00F93015" w:rsidRDefault="00D20D12" w:rsidP="00E76C4E">
      <w:pPr>
        <w:spacing w:after="0" w:line="240" w:lineRule="auto"/>
        <w:jc w:val="both"/>
        <w:rPr>
          <w:rFonts w:ascii="Sylfaen" w:eastAsia="Times New Roman" w:hAnsi="Sylfaen" w:cs="Times New Roman"/>
          <w:noProof/>
          <w:color w:val="000000"/>
          <w:sz w:val="24"/>
          <w:szCs w:val="24"/>
          <w:lang w:val="ka-GE"/>
        </w:rPr>
      </w:pPr>
      <w:r w:rsidRPr="00F93015">
        <w:rPr>
          <w:rFonts w:ascii="Sylfaen" w:eastAsia="Times New Roman" w:hAnsi="Sylfaen" w:cs="Times New Roman"/>
          <w:noProof/>
          <w:color w:val="000000"/>
          <w:sz w:val="24"/>
          <w:szCs w:val="24"/>
          <w:lang w:val="ka-GE"/>
        </w:rPr>
        <w:t>24 თვე</w:t>
      </w:r>
    </w:p>
    <w:p w14:paraId="0284E33C" w14:textId="58431978" w:rsidR="00D20D12" w:rsidRPr="00F93015" w:rsidRDefault="00D20D12" w:rsidP="00E76C4E">
      <w:pPr>
        <w:spacing w:after="0" w:line="240" w:lineRule="auto"/>
        <w:jc w:val="both"/>
        <w:rPr>
          <w:rFonts w:ascii="Sylfaen" w:eastAsia="Times New Roman" w:hAnsi="Sylfaen" w:cs="Times New Roman"/>
          <w:b/>
          <w:bCs/>
          <w:noProof/>
          <w:color w:val="000000"/>
          <w:sz w:val="24"/>
          <w:szCs w:val="24"/>
          <w:lang w:val="ka-GE"/>
        </w:rPr>
      </w:pPr>
      <w:r w:rsidRPr="00F93015">
        <w:rPr>
          <w:rFonts w:ascii="Sylfaen" w:eastAsia="Times New Roman" w:hAnsi="Sylfaen" w:cs="Times New Roman"/>
          <w:b/>
          <w:bCs/>
          <w:noProof/>
          <w:color w:val="000000"/>
          <w:sz w:val="24"/>
          <w:szCs w:val="24"/>
          <w:lang w:val="ka-GE"/>
        </w:rPr>
        <w:t>6.4 შენახვის განსაკუთრებული პირობები</w:t>
      </w:r>
    </w:p>
    <w:p w14:paraId="2134F9A5" w14:textId="32B3C025" w:rsidR="00D20D12" w:rsidRPr="00F93015" w:rsidRDefault="00D20D12" w:rsidP="00E76C4E">
      <w:pPr>
        <w:spacing w:after="0" w:line="240" w:lineRule="auto"/>
        <w:jc w:val="both"/>
        <w:rPr>
          <w:rFonts w:ascii="Sylfaen" w:eastAsia="Times New Roman" w:hAnsi="Sylfaen" w:cs="Times New Roman"/>
          <w:noProof/>
          <w:sz w:val="24"/>
          <w:szCs w:val="24"/>
          <w:lang w:val="ka-GE"/>
        </w:rPr>
      </w:pPr>
      <w:r w:rsidRPr="00F93015">
        <w:rPr>
          <w:rFonts w:ascii="Sylfaen" w:eastAsia="Times New Roman" w:hAnsi="Sylfaen" w:cs="Times New Roman"/>
          <w:noProof/>
          <w:color w:val="000000"/>
          <w:sz w:val="24"/>
          <w:szCs w:val="24"/>
          <w:lang w:val="ka-GE"/>
        </w:rPr>
        <w:t xml:space="preserve">შეინახეთ ოთახის ტემპერატურაზე არაუმეტეს </w:t>
      </w:r>
      <w:r w:rsidRPr="00F93015">
        <w:rPr>
          <w:rFonts w:ascii="Sylfaen" w:eastAsia="Times New Roman" w:hAnsi="Sylfaen" w:cs="Times New Roman"/>
          <w:noProof/>
          <w:sz w:val="24"/>
          <w:szCs w:val="24"/>
          <w:lang w:val="ka-GE"/>
        </w:rPr>
        <w:t xml:space="preserve">25 </w:t>
      </w:r>
      <w:r w:rsidRPr="00F93015">
        <w:rPr>
          <w:rFonts w:ascii="Sylfaen" w:eastAsia="Times New Roman" w:hAnsi="Sylfaen" w:cs="Times New Roman"/>
          <w:noProof/>
          <w:sz w:val="24"/>
          <w:szCs w:val="24"/>
          <w:vertAlign w:val="superscript"/>
          <w:lang w:val="ka-GE"/>
        </w:rPr>
        <w:t xml:space="preserve">0 </w:t>
      </w:r>
      <w:r w:rsidRPr="00F93015">
        <w:rPr>
          <w:rFonts w:ascii="Sylfaen" w:eastAsia="Times New Roman" w:hAnsi="Sylfaen" w:cs="Times New Roman"/>
          <w:noProof/>
          <w:sz w:val="24"/>
          <w:szCs w:val="24"/>
          <w:lang w:val="ka-GE"/>
        </w:rPr>
        <w:t>C- ისა</w:t>
      </w:r>
    </w:p>
    <w:p w14:paraId="34DF0D4E" w14:textId="3722C9E2" w:rsidR="00D20D12" w:rsidRPr="00F93015" w:rsidRDefault="00D20D12" w:rsidP="00E76C4E">
      <w:pPr>
        <w:spacing w:after="0" w:line="240" w:lineRule="auto"/>
        <w:jc w:val="both"/>
        <w:rPr>
          <w:rFonts w:ascii="Sylfaen" w:eastAsia="Times New Roman" w:hAnsi="Sylfaen" w:cs="Times New Roman"/>
          <w:b/>
          <w:bCs/>
          <w:noProof/>
          <w:sz w:val="24"/>
          <w:szCs w:val="24"/>
          <w:lang w:val="ka-GE"/>
        </w:rPr>
      </w:pPr>
      <w:r w:rsidRPr="00F93015">
        <w:rPr>
          <w:rFonts w:ascii="Sylfaen" w:eastAsia="Times New Roman" w:hAnsi="Sylfaen" w:cs="Times New Roman"/>
          <w:b/>
          <w:bCs/>
          <w:noProof/>
          <w:sz w:val="24"/>
          <w:szCs w:val="24"/>
          <w:lang w:val="ka-GE"/>
        </w:rPr>
        <w:t>6.5 ბუნება და შეფუთვის შემცველობა</w:t>
      </w:r>
    </w:p>
    <w:p w14:paraId="61BACBCF" w14:textId="174D682B" w:rsidR="00D20D12" w:rsidRPr="00F93015" w:rsidRDefault="00D20D12" w:rsidP="00E76C4E">
      <w:pPr>
        <w:spacing w:after="0" w:line="240" w:lineRule="auto"/>
        <w:jc w:val="both"/>
        <w:rPr>
          <w:rFonts w:ascii="Sylfaen" w:hAnsi="Sylfaen" w:cs="Sylfaen"/>
          <w:noProof/>
          <w:sz w:val="24"/>
          <w:szCs w:val="24"/>
          <w:lang w:val="ka-GE"/>
        </w:rPr>
      </w:pPr>
      <w:r w:rsidRPr="00F93015">
        <w:rPr>
          <w:rFonts w:ascii="Sylfaen" w:hAnsi="Sylfaen" w:cs="Sylfaen"/>
          <w:noProof/>
          <w:sz w:val="24"/>
          <w:szCs w:val="24"/>
          <w:lang w:val="ka-GE"/>
        </w:rPr>
        <w:t>წარმოდგენილია ყუთში</w:t>
      </w:r>
      <w:r w:rsidRPr="00F93015">
        <w:rPr>
          <w:rFonts w:ascii="Sylfaen" w:hAnsi="Sylfaen"/>
          <w:noProof/>
          <w:sz w:val="24"/>
          <w:szCs w:val="24"/>
          <w:lang w:val="ka-GE"/>
        </w:rPr>
        <w:t xml:space="preserve"> </w:t>
      </w:r>
      <w:r w:rsidRPr="00F93015">
        <w:rPr>
          <w:rFonts w:ascii="Sylfaen" w:hAnsi="Sylfaen" w:cs="Sylfaen"/>
          <w:noProof/>
          <w:sz w:val="24"/>
          <w:szCs w:val="24"/>
          <w:lang w:val="ka-GE"/>
        </w:rPr>
        <w:t>ქარვისფერი</w:t>
      </w:r>
      <w:r w:rsidRPr="00F93015">
        <w:rPr>
          <w:rFonts w:ascii="Sylfaen" w:hAnsi="Sylfaen"/>
          <w:noProof/>
          <w:sz w:val="24"/>
          <w:szCs w:val="24"/>
          <w:lang w:val="ka-GE"/>
        </w:rPr>
        <w:t xml:space="preserve"> III </w:t>
      </w:r>
      <w:r w:rsidRPr="00F93015">
        <w:rPr>
          <w:rFonts w:ascii="Sylfaen" w:hAnsi="Sylfaen" w:cs="Sylfaen"/>
          <w:noProof/>
          <w:sz w:val="24"/>
          <w:szCs w:val="24"/>
          <w:lang w:val="ka-GE"/>
        </w:rPr>
        <w:t>ტიპის</w:t>
      </w:r>
      <w:r w:rsidRPr="00F93015">
        <w:rPr>
          <w:rFonts w:ascii="Sylfaen" w:hAnsi="Sylfaen"/>
          <w:noProof/>
          <w:sz w:val="24"/>
          <w:szCs w:val="24"/>
          <w:lang w:val="ka-GE"/>
        </w:rPr>
        <w:t xml:space="preserve"> </w:t>
      </w:r>
      <w:r w:rsidRPr="00F93015">
        <w:rPr>
          <w:rFonts w:ascii="Sylfaen" w:hAnsi="Sylfaen" w:cs="Sylfaen"/>
          <w:noProof/>
          <w:sz w:val="24"/>
          <w:szCs w:val="24"/>
          <w:lang w:val="ka-GE"/>
        </w:rPr>
        <w:t>მინის</w:t>
      </w:r>
      <w:r w:rsidRPr="00F93015">
        <w:rPr>
          <w:rFonts w:ascii="Sylfaen" w:hAnsi="Sylfaen"/>
          <w:noProof/>
          <w:sz w:val="24"/>
          <w:szCs w:val="24"/>
          <w:lang w:val="ka-GE"/>
        </w:rPr>
        <w:t xml:space="preserve"> </w:t>
      </w:r>
      <w:r w:rsidRPr="00F93015">
        <w:rPr>
          <w:rFonts w:ascii="Sylfaen" w:hAnsi="Sylfaen" w:cs="Sylfaen"/>
          <w:noProof/>
          <w:sz w:val="24"/>
          <w:szCs w:val="24"/>
          <w:lang w:val="ka-GE"/>
        </w:rPr>
        <w:t>ბოთლით</w:t>
      </w:r>
      <w:r w:rsidRPr="00F93015">
        <w:rPr>
          <w:rFonts w:ascii="Sylfaen" w:hAnsi="Sylfaen"/>
          <w:noProof/>
          <w:sz w:val="24"/>
          <w:szCs w:val="24"/>
          <w:lang w:val="ka-GE"/>
        </w:rPr>
        <w:t xml:space="preserve"> (150 </w:t>
      </w:r>
      <w:r w:rsidRPr="00F93015">
        <w:rPr>
          <w:rFonts w:ascii="Sylfaen" w:hAnsi="Sylfaen" w:cs="Sylfaen"/>
          <w:noProof/>
          <w:sz w:val="24"/>
          <w:szCs w:val="24"/>
          <w:lang w:val="ka-GE"/>
        </w:rPr>
        <w:t>მლ</w:t>
      </w:r>
      <w:r w:rsidRPr="00F93015">
        <w:rPr>
          <w:rFonts w:ascii="Sylfaen" w:hAnsi="Sylfaen"/>
          <w:noProof/>
          <w:sz w:val="24"/>
          <w:szCs w:val="24"/>
          <w:lang w:val="ka-GE"/>
        </w:rPr>
        <w:t xml:space="preserve">) </w:t>
      </w:r>
      <w:r w:rsidRPr="00F93015">
        <w:rPr>
          <w:rFonts w:ascii="Sylfaen" w:hAnsi="Sylfaen" w:cs="Sylfaen"/>
          <w:noProof/>
          <w:sz w:val="24"/>
          <w:szCs w:val="24"/>
          <w:lang w:val="ka-GE"/>
        </w:rPr>
        <w:t>და</w:t>
      </w:r>
      <w:r w:rsidRPr="00F93015">
        <w:rPr>
          <w:rFonts w:ascii="Sylfaen" w:hAnsi="Sylfaen"/>
          <w:noProof/>
          <w:sz w:val="24"/>
          <w:szCs w:val="24"/>
          <w:lang w:val="ka-GE"/>
        </w:rPr>
        <w:t xml:space="preserve"> </w:t>
      </w:r>
      <w:r w:rsidRPr="00F93015">
        <w:rPr>
          <w:rFonts w:ascii="Sylfaen" w:hAnsi="Sylfaen" w:cs="Sylfaen"/>
          <w:noProof/>
          <w:sz w:val="24"/>
          <w:szCs w:val="24"/>
          <w:lang w:val="ka-GE"/>
        </w:rPr>
        <w:t>აქვს</w:t>
      </w:r>
      <w:r w:rsidRPr="00F93015">
        <w:rPr>
          <w:rFonts w:ascii="Sylfaen" w:hAnsi="Sylfaen"/>
          <w:noProof/>
          <w:sz w:val="24"/>
          <w:szCs w:val="24"/>
          <w:lang w:val="ka-GE"/>
        </w:rPr>
        <w:t xml:space="preserve"> 2, 2.5 </w:t>
      </w:r>
      <w:r w:rsidRPr="00F93015">
        <w:rPr>
          <w:rFonts w:ascii="Sylfaen" w:hAnsi="Sylfaen" w:cs="Sylfaen"/>
          <w:noProof/>
          <w:sz w:val="24"/>
          <w:szCs w:val="24"/>
          <w:lang w:val="ka-GE"/>
        </w:rPr>
        <w:t>და</w:t>
      </w:r>
      <w:r w:rsidRPr="00F93015">
        <w:rPr>
          <w:rFonts w:ascii="Sylfaen" w:hAnsi="Sylfaen"/>
          <w:noProof/>
          <w:sz w:val="24"/>
          <w:szCs w:val="24"/>
          <w:lang w:val="ka-GE"/>
        </w:rPr>
        <w:t xml:space="preserve"> 5 </w:t>
      </w:r>
      <w:r w:rsidRPr="00F93015">
        <w:rPr>
          <w:rFonts w:ascii="Sylfaen" w:hAnsi="Sylfaen" w:cs="Sylfaen"/>
          <w:noProof/>
          <w:sz w:val="24"/>
          <w:szCs w:val="24"/>
          <w:lang w:val="ka-GE"/>
        </w:rPr>
        <w:t>მლ</w:t>
      </w:r>
      <w:r w:rsidRPr="00F93015">
        <w:rPr>
          <w:rFonts w:ascii="Sylfaen" w:hAnsi="Sylfaen"/>
          <w:noProof/>
          <w:sz w:val="24"/>
          <w:szCs w:val="24"/>
          <w:lang w:val="ka-GE"/>
        </w:rPr>
        <w:t>-იანი PP</w:t>
      </w:r>
      <w:r w:rsidRPr="00F93015">
        <w:rPr>
          <w:rFonts w:ascii="Sylfaen" w:hAnsi="Sylfaen" w:cs="Sylfaen"/>
          <w:noProof/>
          <w:sz w:val="24"/>
          <w:szCs w:val="24"/>
          <w:lang w:val="ka-GE"/>
        </w:rPr>
        <w:t xml:space="preserve"> საზომი</w:t>
      </w:r>
      <w:r w:rsidRPr="00F93015">
        <w:rPr>
          <w:rFonts w:ascii="Sylfaen" w:hAnsi="Sylfaen"/>
          <w:noProof/>
          <w:sz w:val="24"/>
          <w:szCs w:val="24"/>
          <w:lang w:val="ka-GE"/>
        </w:rPr>
        <w:t xml:space="preserve"> </w:t>
      </w:r>
      <w:r w:rsidRPr="00F93015">
        <w:rPr>
          <w:rFonts w:ascii="Sylfaen" w:hAnsi="Sylfaen" w:cs="Sylfaen"/>
          <w:noProof/>
          <w:sz w:val="24"/>
          <w:szCs w:val="24"/>
          <w:lang w:val="ka-GE"/>
        </w:rPr>
        <w:t>კოვზით.</w:t>
      </w:r>
    </w:p>
    <w:p w14:paraId="0FA1E5FB" w14:textId="3DA4A697" w:rsidR="00D20D12" w:rsidRPr="00F93015" w:rsidRDefault="00D20D12" w:rsidP="00E76C4E">
      <w:pPr>
        <w:spacing w:after="0" w:line="240" w:lineRule="auto"/>
        <w:jc w:val="both"/>
        <w:rPr>
          <w:rFonts w:ascii="Sylfaen" w:hAnsi="Sylfaen"/>
          <w:b/>
          <w:noProof/>
          <w:sz w:val="24"/>
          <w:szCs w:val="24"/>
          <w:lang w:val="ka-GE"/>
        </w:rPr>
      </w:pPr>
      <w:r w:rsidRPr="00F93015">
        <w:rPr>
          <w:rFonts w:ascii="Sylfaen" w:hAnsi="Sylfaen" w:cs="Sylfaen"/>
          <w:b/>
          <w:bCs/>
          <w:noProof/>
          <w:sz w:val="24"/>
          <w:szCs w:val="24"/>
          <w:lang w:val="ka-GE"/>
        </w:rPr>
        <w:t xml:space="preserve">6.6. </w:t>
      </w:r>
      <w:r w:rsidRPr="00F93015">
        <w:rPr>
          <w:rFonts w:ascii="Sylfaen" w:hAnsi="Sylfaen"/>
          <w:b/>
          <w:noProof/>
          <w:sz w:val="24"/>
          <w:szCs w:val="24"/>
          <w:lang w:val="ka-GE"/>
        </w:rPr>
        <w:t>სპეციალური სიფრთხილის ზომები უტილიზაციისას</w:t>
      </w:r>
    </w:p>
    <w:p w14:paraId="7097BB6E" w14:textId="18E4A30F" w:rsidR="00DF4802" w:rsidRDefault="00DF4802" w:rsidP="00E76C4E">
      <w:pPr>
        <w:spacing w:after="0" w:line="240" w:lineRule="auto"/>
        <w:jc w:val="both"/>
        <w:rPr>
          <w:rFonts w:ascii="Sylfaen" w:hAnsi="Sylfaen"/>
          <w:bCs/>
          <w:noProof/>
          <w:sz w:val="24"/>
          <w:szCs w:val="24"/>
          <w:lang w:val="ka-GE"/>
        </w:rPr>
      </w:pPr>
      <w:r w:rsidRPr="00F93015">
        <w:rPr>
          <w:rFonts w:ascii="Sylfaen" w:hAnsi="Sylfaen"/>
          <w:bCs/>
          <w:noProof/>
          <w:sz w:val="24"/>
          <w:szCs w:val="24"/>
          <w:lang w:val="ka-GE"/>
        </w:rPr>
        <w:t>გამოყენებული პროდუქტები ან ნარჩენები უნდა განადგურდეს საჭიროების შემთხვევაში სამედიცინო ნარჩენების კონტროლის რეგლამენტისა და შეფუთვის ნარჩენების კონტროლის წესების შესაბამისად.</w:t>
      </w:r>
    </w:p>
    <w:p w14:paraId="0580E857" w14:textId="77777777" w:rsidR="00E91651" w:rsidRPr="00E91651" w:rsidRDefault="00E91651" w:rsidP="00E91651">
      <w:pPr>
        <w:tabs>
          <w:tab w:val="left" w:pos="1865"/>
          <w:tab w:val="left" w:pos="2313"/>
          <w:tab w:val="left" w:pos="2952"/>
        </w:tabs>
        <w:spacing w:before="120" w:after="120" w:line="240" w:lineRule="auto"/>
        <w:jc w:val="both"/>
        <w:rPr>
          <w:rFonts w:ascii="Sylfaen" w:eastAsia="SimSun" w:hAnsi="Sylfaen"/>
          <w:b/>
          <w:lang w:val="ka-GE"/>
        </w:rPr>
      </w:pPr>
      <w:r w:rsidRPr="00E91651">
        <w:rPr>
          <w:rFonts w:ascii="Sylfaen" w:eastAsia="SimSun" w:hAnsi="Sylfaen"/>
          <w:b/>
          <w:lang w:val="ka-GE"/>
        </w:rPr>
        <w:t>გაცემის წესი:</w:t>
      </w:r>
      <w:r w:rsidRPr="00E91651">
        <w:rPr>
          <w:rFonts w:ascii="Sylfaen" w:eastAsia="SimSun" w:hAnsi="Sylfaen"/>
          <w:b/>
          <w:lang w:val="ka-GE"/>
        </w:rPr>
        <w:tab/>
      </w:r>
      <w:r w:rsidRPr="00E91651">
        <w:rPr>
          <w:rFonts w:ascii="Sylfaen" w:eastAsia="SimSun" w:hAnsi="Sylfaen"/>
          <w:b/>
          <w:lang w:val="ka-GE"/>
        </w:rPr>
        <w:tab/>
      </w:r>
      <w:r w:rsidRPr="00E91651">
        <w:rPr>
          <w:rFonts w:ascii="Sylfaen" w:eastAsia="SimSun" w:hAnsi="Sylfaen"/>
          <w:b/>
          <w:lang w:val="ka-GE"/>
        </w:rPr>
        <w:tab/>
      </w:r>
    </w:p>
    <w:p w14:paraId="3D5E1424" w14:textId="77777777" w:rsidR="00E91651" w:rsidRPr="001829AC" w:rsidRDefault="00E91651" w:rsidP="00E91651">
      <w:pPr>
        <w:spacing w:before="120" w:after="120" w:line="240" w:lineRule="auto"/>
        <w:jc w:val="both"/>
        <w:rPr>
          <w:rFonts w:ascii="Sylfaen" w:hAnsi="Sylfaen"/>
          <w:lang w:val="ka-GE"/>
        </w:rPr>
      </w:pPr>
      <w:r w:rsidRPr="001829AC">
        <w:rPr>
          <w:rFonts w:ascii="Sylfaen" w:eastAsia="SimSun" w:hAnsi="Sylfaen"/>
          <w:bCs/>
          <w:lang w:val="ka-GE"/>
        </w:rPr>
        <w:t>ფ</w:t>
      </w:r>
      <w:r w:rsidRPr="001829AC">
        <w:rPr>
          <w:rFonts w:ascii="Sylfaen" w:eastAsia="SimSun" w:hAnsi="Sylfaen" w:cs="Sylfaen"/>
          <w:bCs/>
          <w:lang w:val="ka-GE"/>
        </w:rPr>
        <w:t>არმაცევტული</w:t>
      </w:r>
      <w:r w:rsidRPr="001829AC">
        <w:rPr>
          <w:rFonts w:ascii="Sylfaen" w:eastAsia="SimSun" w:hAnsi="Sylfaen"/>
          <w:bCs/>
          <w:lang w:val="ka-GE"/>
        </w:rPr>
        <w:t xml:space="preserve"> </w:t>
      </w:r>
      <w:r w:rsidRPr="001829AC">
        <w:rPr>
          <w:rFonts w:ascii="Sylfaen" w:eastAsia="SimSun" w:hAnsi="Sylfaen" w:cs="Sylfaen"/>
          <w:bCs/>
          <w:lang w:val="ka-GE"/>
        </w:rPr>
        <w:t>პროდუქტის</w:t>
      </w:r>
      <w:r w:rsidRPr="001829AC">
        <w:rPr>
          <w:rFonts w:ascii="Sylfaen" w:eastAsia="SimSun" w:hAnsi="Sylfaen"/>
          <w:bCs/>
          <w:lang w:val="ka-GE"/>
        </w:rPr>
        <w:t xml:space="preserve"> </w:t>
      </w:r>
      <w:r w:rsidRPr="001829AC">
        <w:rPr>
          <w:rFonts w:ascii="Sylfaen" w:eastAsia="SimSun" w:hAnsi="Sylfaen" w:cs="Sylfaen"/>
          <w:bCs/>
          <w:lang w:val="ka-GE"/>
        </w:rPr>
        <w:t>ჯგუფი</w:t>
      </w:r>
      <w:r w:rsidRPr="001829AC">
        <w:rPr>
          <w:rFonts w:ascii="Sylfaen" w:eastAsia="SimSun" w:hAnsi="Sylfaen"/>
          <w:bCs/>
          <w:lang w:val="ka-GE"/>
        </w:rPr>
        <w:t xml:space="preserve"> III, გაიცემა რეცეპტის გარეშე</w:t>
      </w:r>
    </w:p>
    <w:p w14:paraId="10FE43EF" w14:textId="77777777" w:rsidR="00E91651" w:rsidRPr="00F93015" w:rsidRDefault="00E91651" w:rsidP="00E76C4E">
      <w:pPr>
        <w:spacing w:after="0" w:line="240" w:lineRule="auto"/>
        <w:jc w:val="both"/>
        <w:rPr>
          <w:rFonts w:ascii="Sylfaen" w:hAnsi="Sylfaen"/>
          <w:bCs/>
          <w:noProof/>
          <w:sz w:val="24"/>
          <w:szCs w:val="24"/>
          <w:lang w:val="ka-GE"/>
        </w:rPr>
      </w:pPr>
    </w:p>
    <w:p w14:paraId="28AB9D39" w14:textId="07783DAA" w:rsidR="00D20D12" w:rsidRPr="00F93015" w:rsidRDefault="00D20D12" w:rsidP="00E76C4E">
      <w:pPr>
        <w:pStyle w:val="ListParagraph"/>
        <w:numPr>
          <w:ilvl w:val="0"/>
          <w:numId w:val="1"/>
        </w:numPr>
        <w:spacing w:after="0" w:line="240" w:lineRule="auto"/>
        <w:ind w:left="0" w:firstLine="0"/>
        <w:jc w:val="both"/>
        <w:rPr>
          <w:rFonts w:ascii="Sylfaen" w:hAnsi="Sylfaen"/>
          <w:b/>
          <w:noProof/>
          <w:sz w:val="24"/>
          <w:szCs w:val="24"/>
          <w:lang w:val="ka-GE"/>
        </w:rPr>
      </w:pPr>
      <w:r w:rsidRPr="00F93015">
        <w:rPr>
          <w:rFonts w:ascii="Sylfaen" w:hAnsi="Sylfaen"/>
          <w:b/>
          <w:noProof/>
          <w:sz w:val="24"/>
          <w:szCs w:val="24"/>
          <w:lang w:val="ka-GE"/>
        </w:rPr>
        <w:t>სავაჭრო ნებართვის მფლობელი</w:t>
      </w:r>
    </w:p>
    <w:p w14:paraId="227825E1" w14:textId="77777777" w:rsidR="009F6301" w:rsidRPr="00F93015" w:rsidRDefault="009F6301" w:rsidP="009F6301">
      <w:pPr>
        <w:spacing w:after="0" w:line="240" w:lineRule="auto"/>
        <w:jc w:val="both"/>
        <w:rPr>
          <w:rFonts w:ascii="Sylfaen" w:eastAsia="Times New Roman" w:hAnsi="Sylfaen" w:cs="Times New Roman"/>
          <w:noProof/>
          <w:sz w:val="24"/>
          <w:szCs w:val="24"/>
          <w:lang w:val="ka-GE"/>
        </w:rPr>
      </w:pPr>
      <w:r w:rsidRPr="00F93015">
        <w:rPr>
          <w:rFonts w:ascii="Sylfaen" w:eastAsia="Times New Roman" w:hAnsi="Sylfaen" w:cs="Times New Roman"/>
          <w:noProof/>
          <w:sz w:val="24"/>
          <w:szCs w:val="24"/>
          <w:lang w:val="ka-GE"/>
        </w:rPr>
        <w:t>“Avita” Ltd</w:t>
      </w:r>
    </w:p>
    <w:p w14:paraId="7651F1DE" w14:textId="77777777" w:rsidR="009F6301" w:rsidRPr="00F93015" w:rsidRDefault="009F6301" w:rsidP="009F6301">
      <w:pPr>
        <w:spacing w:after="0" w:line="240" w:lineRule="auto"/>
        <w:jc w:val="both"/>
        <w:rPr>
          <w:rFonts w:ascii="Sylfaen" w:eastAsia="Times New Roman" w:hAnsi="Sylfaen" w:cs="Times New Roman"/>
          <w:noProof/>
          <w:sz w:val="24"/>
          <w:szCs w:val="24"/>
          <w:lang w:val="ka-GE"/>
        </w:rPr>
      </w:pPr>
      <w:r w:rsidRPr="00F93015">
        <w:rPr>
          <w:rFonts w:ascii="Sylfaen" w:eastAsia="Times New Roman" w:hAnsi="Sylfaen" w:cs="Times New Roman"/>
          <w:noProof/>
          <w:sz w:val="24"/>
          <w:szCs w:val="24"/>
          <w:lang w:val="ka-GE"/>
        </w:rPr>
        <w:t>36, Tebriz street, AZ 1008, Baku, Azerbaijan.</w:t>
      </w:r>
    </w:p>
    <w:p w14:paraId="20D7878F" w14:textId="77777777" w:rsidR="00DF4802" w:rsidRPr="00F93015" w:rsidRDefault="00DF4802" w:rsidP="00E76C4E">
      <w:pPr>
        <w:spacing w:after="0" w:line="240" w:lineRule="auto"/>
        <w:jc w:val="both"/>
        <w:rPr>
          <w:rFonts w:ascii="Sylfaen" w:hAnsi="Sylfaen"/>
          <w:bCs/>
          <w:noProof/>
          <w:sz w:val="24"/>
          <w:szCs w:val="24"/>
          <w:lang w:val="ka-GE"/>
        </w:rPr>
      </w:pPr>
    </w:p>
    <w:p w14:paraId="5E50401D" w14:textId="22FC1BD3" w:rsidR="00D20D12" w:rsidRPr="00F93015" w:rsidRDefault="00D20D12" w:rsidP="00E76C4E">
      <w:pPr>
        <w:pStyle w:val="ListParagraph"/>
        <w:numPr>
          <w:ilvl w:val="0"/>
          <w:numId w:val="1"/>
        </w:numPr>
        <w:spacing w:after="0" w:line="240" w:lineRule="auto"/>
        <w:ind w:left="0" w:firstLine="0"/>
        <w:jc w:val="both"/>
        <w:rPr>
          <w:rFonts w:ascii="Sylfaen" w:hAnsi="Sylfaen"/>
          <w:b/>
          <w:noProof/>
          <w:sz w:val="24"/>
          <w:szCs w:val="24"/>
          <w:lang w:val="ka-GE"/>
        </w:rPr>
      </w:pPr>
      <w:r w:rsidRPr="00F93015">
        <w:rPr>
          <w:rFonts w:ascii="Sylfaen" w:hAnsi="Sylfaen"/>
          <w:b/>
          <w:noProof/>
          <w:sz w:val="24"/>
          <w:szCs w:val="24"/>
          <w:lang w:val="ka-GE"/>
        </w:rPr>
        <w:t>სავაჭრო ნებართვის ნომერი (ნომრები)</w:t>
      </w:r>
    </w:p>
    <w:p w14:paraId="41458495" w14:textId="017012B0" w:rsidR="00DF4802" w:rsidRPr="00F93015" w:rsidRDefault="00DF4802" w:rsidP="00E76C4E">
      <w:pPr>
        <w:pStyle w:val="ListParagraph"/>
        <w:spacing w:after="0" w:line="240" w:lineRule="auto"/>
        <w:ind w:left="0"/>
        <w:jc w:val="both"/>
        <w:rPr>
          <w:rFonts w:ascii="Sylfaen" w:hAnsi="Sylfaen"/>
          <w:noProof/>
          <w:sz w:val="24"/>
          <w:szCs w:val="24"/>
          <w:lang w:val="ka-GE"/>
        </w:rPr>
      </w:pPr>
      <w:r w:rsidRPr="00F93015">
        <w:rPr>
          <w:rFonts w:ascii="Sylfaen" w:hAnsi="Sylfaen"/>
          <w:noProof/>
          <w:sz w:val="24"/>
          <w:szCs w:val="24"/>
          <w:lang w:val="ka-GE"/>
        </w:rPr>
        <w:t>2016/484</w:t>
      </w:r>
    </w:p>
    <w:p w14:paraId="47B88B53" w14:textId="77777777" w:rsidR="00D20D12" w:rsidRPr="00F93015" w:rsidRDefault="00D20D12" w:rsidP="00E76C4E">
      <w:pPr>
        <w:spacing w:after="0" w:line="240" w:lineRule="auto"/>
        <w:jc w:val="both"/>
        <w:rPr>
          <w:rFonts w:ascii="Sylfaen" w:hAnsi="Sylfaen"/>
          <w:noProof/>
          <w:sz w:val="24"/>
          <w:szCs w:val="24"/>
          <w:lang w:val="ka-GE"/>
        </w:rPr>
      </w:pPr>
    </w:p>
    <w:p w14:paraId="0DC5D37C" w14:textId="3328FD05" w:rsidR="00D20D12" w:rsidRPr="00F93015" w:rsidRDefault="00D20D12" w:rsidP="00E76C4E">
      <w:pPr>
        <w:pStyle w:val="ListParagraph"/>
        <w:numPr>
          <w:ilvl w:val="0"/>
          <w:numId w:val="1"/>
        </w:numPr>
        <w:spacing w:after="0" w:line="240" w:lineRule="auto"/>
        <w:ind w:left="0" w:firstLine="0"/>
        <w:jc w:val="both"/>
        <w:rPr>
          <w:rFonts w:ascii="Sylfaen" w:hAnsi="Sylfaen"/>
          <w:b/>
          <w:noProof/>
          <w:sz w:val="24"/>
          <w:szCs w:val="24"/>
          <w:lang w:val="ka-GE"/>
        </w:rPr>
      </w:pPr>
      <w:r w:rsidRPr="00F93015">
        <w:rPr>
          <w:rFonts w:ascii="Sylfaen" w:hAnsi="Sylfaen"/>
          <w:b/>
          <w:noProof/>
          <w:sz w:val="24"/>
          <w:szCs w:val="24"/>
          <w:lang w:val="ka-GE"/>
        </w:rPr>
        <w:t>პირველი ნებართვის/ნებართვის განახლების თარიღი</w:t>
      </w:r>
    </w:p>
    <w:p w14:paraId="6C581507" w14:textId="77777777" w:rsidR="00DF4802" w:rsidRPr="00F93015" w:rsidRDefault="00DF4802" w:rsidP="00E76C4E">
      <w:pPr>
        <w:pStyle w:val="ListParagraph"/>
        <w:spacing w:after="0" w:line="240" w:lineRule="auto"/>
        <w:ind w:left="0"/>
        <w:jc w:val="both"/>
        <w:rPr>
          <w:rFonts w:ascii="Sylfaen" w:hAnsi="Sylfaen"/>
          <w:b/>
          <w:noProof/>
          <w:sz w:val="24"/>
          <w:szCs w:val="24"/>
          <w:lang w:val="ka-GE"/>
        </w:rPr>
      </w:pPr>
      <w:r w:rsidRPr="00F93015">
        <w:rPr>
          <w:rFonts w:ascii="Sylfaen" w:hAnsi="Sylfaen"/>
          <w:b/>
          <w:noProof/>
          <w:sz w:val="24"/>
          <w:szCs w:val="24"/>
          <w:lang w:val="ka-GE"/>
        </w:rPr>
        <w:t>15/06/2016</w:t>
      </w:r>
    </w:p>
    <w:p w14:paraId="6586CAFF" w14:textId="5C9652C7" w:rsidR="00D20D12" w:rsidRPr="00F93015" w:rsidRDefault="00D20D12" w:rsidP="00E76C4E">
      <w:pPr>
        <w:pStyle w:val="ListParagraph"/>
        <w:numPr>
          <w:ilvl w:val="0"/>
          <w:numId w:val="1"/>
        </w:numPr>
        <w:spacing w:after="0" w:line="240" w:lineRule="auto"/>
        <w:ind w:left="0" w:firstLine="0"/>
        <w:jc w:val="both"/>
        <w:rPr>
          <w:rFonts w:ascii="Sylfaen" w:hAnsi="Sylfaen"/>
          <w:b/>
          <w:noProof/>
          <w:sz w:val="24"/>
          <w:szCs w:val="24"/>
          <w:lang w:val="ka-GE"/>
        </w:rPr>
      </w:pPr>
      <w:r w:rsidRPr="00F93015">
        <w:rPr>
          <w:rFonts w:ascii="Sylfaen" w:hAnsi="Sylfaen"/>
          <w:b/>
          <w:noProof/>
          <w:sz w:val="24"/>
          <w:szCs w:val="24"/>
          <w:lang w:val="ka-GE"/>
        </w:rPr>
        <w:t>ტექსტის გადახედვის თარიღი</w:t>
      </w:r>
    </w:p>
    <w:p w14:paraId="7F267505" w14:textId="77777777" w:rsidR="00D20D12" w:rsidRPr="00F93015" w:rsidRDefault="00D20D12" w:rsidP="00E76C4E">
      <w:pPr>
        <w:spacing w:after="0" w:line="240" w:lineRule="auto"/>
        <w:jc w:val="both"/>
        <w:rPr>
          <w:rFonts w:ascii="Sylfaen" w:hAnsi="Sylfaen"/>
          <w:noProof/>
          <w:sz w:val="24"/>
          <w:szCs w:val="24"/>
          <w:lang w:val="ka-GE"/>
        </w:rPr>
      </w:pPr>
    </w:p>
    <w:p w14:paraId="01643F99" w14:textId="77777777" w:rsidR="00D20D12" w:rsidRPr="00F93015" w:rsidRDefault="00D20D12" w:rsidP="00E76C4E">
      <w:pPr>
        <w:spacing w:after="0" w:line="240" w:lineRule="auto"/>
        <w:jc w:val="both"/>
        <w:rPr>
          <w:rFonts w:ascii="Sylfaen" w:hAnsi="Sylfaen"/>
          <w:noProof/>
          <w:sz w:val="24"/>
          <w:szCs w:val="24"/>
          <w:lang w:val="ka-GE"/>
        </w:rPr>
      </w:pPr>
    </w:p>
    <w:sectPr w:rsidR="00D20D12" w:rsidRPr="00F93015" w:rsidSect="00E76C4E">
      <w:footerReference w:type="default" r:id="rId7"/>
      <w:pgSz w:w="12240" w:h="15840"/>
      <w:pgMar w:top="630" w:right="810" w:bottom="450" w:left="90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C2810" w14:textId="77777777" w:rsidR="00A51F1C" w:rsidRDefault="00A51F1C" w:rsidP="00E76C4E">
      <w:pPr>
        <w:spacing w:after="0" w:line="240" w:lineRule="auto"/>
      </w:pPr>
      <w:r>
        <w:separator/>
      </w:r>
    </w:p>
  </w:endnote>
  <w:endnote w:type="continuationSeparator" w:id="0">
    <w:p w14:paraId="75E083FD" w14:textId="77777777" w:rsidR="00A51F1C" w:rsidRDefault="00A51F1C" w:rsidP="00E76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3333563"/>
      <w:docPartObj>
        <w:docPartGallery w:val="Page Numbers (Bottom of Page)"/>
        <w:docPartUnique/>
      </w:docPartObj>
    </w:sdtPr>
    <w:sdtEndPr>
      <w:rPr>
        <w:noProof/>
      </w:rPr>
    </w:sdtEndPr>
    <w:sdtContent>
      <w:p w14:paraId="6A5E06FD" w14:textId="443C0B02" w:rsidR="00E76C4E" w:rsidRDefault="00E76C4E">
        <w:pPr>
          <w:pStyle w:val="Footer"/>
          <w:jc w:val="right"/>
        </w:pPr>
        <w:r>
          <w:fldChar w:fldCharType="begin"/>
        </w:r>
        <w:r>
          <w:instrText xml:space="preserve"> PAGE   \* MERGEFORMAT </w:instrText>
        </w:r>
        <w:r>
          <w:fldChar w:fldCharType="separate"/>
        </w:r>
        <w:r w:rsidR="009F6301">
          <w:rPr>
            <w:noProof/>
          </w:rPr>
          <w:t>8</w:t>
        </w:r>
        <w:r>
          <w:rPr>
            <w:noProof/>
          </w:rPr>
          <w:fldChar w:fldCharType="end"/>
        </w:r>
      </w:p>
    </w:sdtContent>
  </w:sdt>
  <w:p w14:paraId="4E41B196" w14:textId="77777777" w:rsidR="00E76C4E" w:rsidRDefault="00E76C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46900" w14:textId="77777777" w:rsidR="00A51F1C" w:rsidRDefault="00A51F1C" w:rsidP="00E76C4E">
      <w:pPr>
        <w:spacing w:after="0" w:line="240" w:lineRule="auto"/>
      </w:pPr>
      <w:r>
        <w:separator/>
      </w:r>
    </w:p>
  </w:footnote>
  <w:footnote w:type="continuationSeparator" w:id="0">
    <w:p w14:paraId="63AF920C" w14:textId="77777777" w:rsidR="00A51F1C" w:rsidRDefault="00A51F1C" w:rsidP="00E76C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E55749"/>
    <w:multiLevelType w:val="multilevel"/>
    <w:tmpl w:val="6A20DBCA"/>
    <w:lvl w:ilvl="0">
      <w:start w:val="1"/>
      <w:numFmt w:val="decimal"/>
      <w:lvlText w:val="%1."/>
      <w:lvlJc w:val="left"/>
      <w:pPr>
        <w:ind w:left="720" w:hanging="360"/>
      </w:pPr>
      <w:rPr>
        <w:rFonts w:asciiTheme="minorHAnsi" w:hAnsi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976491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274"/>
    <w:rsid w:val="000022B2"/>
    <w:rsid w:val="0011673C"/>
    <w:rsid w:val="00151D1F"/>
    <w:rsid w:val="0016666E"/>
    <w:rsid w:val="00231804"/>
    <w:rsid w:val="00243108"/>
    <w:rsid w:val="00247206"/>
    <w:rsid w:val="002919A4"/>
    <w:rsid w:val="00384F81"/>
    <w:rsid w:val="003E4FFA"/>
    <w:rsid w:val="003F1274"/>
    <w:rsid w:val="00412050"/>
    <w:rsid w:val="005262B0"/>
    <w:rsid w:val="005413D1"/>
    <w:rsid w:val="005D616A"/>
    <w:rsid w:val="00640C56"/>
    <w:rsid w:val="006E0D8D"/>
    <w:rsid w:val="007401B0"/>
    <w:rsid w:val="007509F2"/>
    <w:rsid w:val="00772D52"/>
    <w:rsid w:val="007B05A9"/>
    <w:rsid w:val="00832EC7"/>
    <w:rsid w:val="008530FE"/>
    <w:rsid w:val="008C46D8"/>
    <w:rsid w:val="008D3F4D"/>
    <w:rsid w:val="009500AA"/>
    <w:rsid w:val="009B35E3"/>
    <w:rsid w:val="009F6301"/>
    <w:rsid w:val="00A51F1C"/>
    <w:rsid w:val="00B05412"/>
    <w:rsid w:val="00B21943"/>
    <w:rsid w:val="00B951AF"/>
    <w:rsid w:val="00BE2C3A"/>
    <w:rsid w:val="00BF7879"/>
    <w:rsid w:val="00C332DB"/>
    <w:rsid w:val="00C373F1"/>
    <w:rsid w:val="00C673E1"/>
    <w:rsid w:val="00CC5806"/>
    <w:rsid w:val="00CF7598"/>
    <w:rsid w:val="00D20D12"/>
    <w:rsid w:val="00DA55E1"/>
    <w:rsid w:val="00DD5F39"/>
    <w:rsid w:val="00DE591B"/>
    <w:rsid w:val="00DE60B8"/>
    <w:rsid w:val="00DF4802"/>
    <w:rsid w:val="00E76C4E"/>
    <w:rsid w:val="00E91651"/>
    <w:rsid w:val="00E91834"/>
    <w:rsid w:val="00F00E95"/>
    <w:rsid w:val="00F078B6"/>
    <w:rsid w:val="00F51B6C"/>
    <w:rsid w:val="00F61041"/>
    <w:rsid w:val="00F836CC"/>
    <w:rsid w:val="00F85B11"/>
    <w:rsid w:val="00F93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EC8EB"/>
  <w15:chartTrackingRefBased/>
  <w15:docId w15:val="{D584CA8A-5B0F-4FF3-8ACA-8810310BF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D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041"/>
    <w:pPr>
      <w:ind w:left="720"/>
      <w:contextualSpacing/>
    </w:pPr>
  </w:style>
  <w:style w:type="paragraph" w:styleId="Header">
    <w:name w:val="header"/>
    <w:basedOn w:val="Normal"/>
    <w:link w:val="HeaderChar"/>
    <w:uiPriority w:val="99"/>
    <w:unhideWhenUsed/>
    <w:rsid w:val="00E76C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6C4E"/>
  </w:style>
  <w:style w:type="paragraph" w:styleId="Footer">
    <w:name w:val="footer"/>
    <w:basedOn w:val="Normal"/>
    <w:link w:val="FooterChar"/>
    <w:uiPriority w:val="99"/>
    <w:unhideWhenUsed/>
    <w:rsid w:val="00E76C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6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81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9</Pages>
  <Words>2967</Words>
  <Characters>16912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lizi dogonadze</dc:creator>
  <cp:keywords/>
  <dc:description/>
  <cp:lastModifiedBy>Nanuli Janiashvili</cp:lastModifiedBy>
  <cp:revision>16</cp:revision>
  <dcterms:created xsi:type="dcterms:W3CDTF">2022-05-28T23:20:00Z</dcterms:created>
  <dcterms:modified xsi:type="dcterms:W3CDTF">2026-05-07T05:19:00Z</dcterms:modified>
</cp:coreProperties>
</file>