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883C8" w14:textId="77777777" w:rsidR="00C00DE5" w:rsidRPr="002C0BEB" w:rsidRDefault="00DA4CD1" w:rsidP="006C26FE">
      <w:pPr>
        <w:spacing w:after="0" w:line="240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პროდუქტის მახასიათებლების შეჯამება </w:t>
      </w:r>
    </w:p>
    <w:p w14:paraId="6F4469CB" w14:textId="77777777" w:rsidR="00C00DE5" w:rsidRPr="002C0BEB" w:rsidRDefault="00DA4CD1" w:rsidP="006C26FE">
      <w:pPr>
        <w:spacing w:after="0" w:line="240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1. სამკურნალო საშუალების დასახელება </w:t>
      </w:r>
    </w:p>
    <w:p w14:paraId="2E9B7E4B" w14:textId="77777777" w:rsidR="00070F02" w:rsidRPr="002C0BEB" w:rsidRDefault="00DA4CD1" w:rsidP="006C26FE">
      <w:pPr>
        <w:spacing w:after="0" w:line="240" w:lineRule="auto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 10 მგ/გ კრემ</w:t>
      </w:r>
      <w:r w:rsidRPr="002C0BEB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</w:p>
    <w:p w14:paraId="1E48CC4E" w14:textId="77777777" w:rsidR="001873D4" w:rsidRPr="002C0BEB" w:rsidRDefault="001873D4" w:rsidP="006C26FE">
      <w:pPr>
        <w:spacing w:after="0" w:line="240" w:lineRule="auto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</w:p>
    <w:p w14:paraId="69D283A1" w14:textId="77777777" w:rsidR="000E781B" w:rsidRPr="002C0BEB" w:rsidRDefault="000E781B" w:rsidP="006C26FE">
      <w:pPr>
        <w:spacing w:after="0" w:line="240" w:lineRule="auto"/>
        <w:rPr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Fonts w:ascii="Sylfaen" w:hAnsi="Sylfaen"/>
          <w:b/>
          <w:noProof/>
          <w:sz w:val="24"/>
          <w:szCs w:val="24"/>
          <w:lang w:val="ka-GE"/>
        </w:rPr>
        <w:t>2. თვისობრივი და რაოდენობრივი შემადგენლობა</w:t>
      </w:r>
    </w:p>
    <w:p w14:paraId="4C10B9A3" w14:textId="77777777" w:rsidR="000E781B" w:rsidRPr="002C0BEB" w:rsidRDefault="00B76B3C" w:rsidP="006C26FE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1 გრ კრემი შეიცავს 10 მგ პიმეკროლიმუსს.</w:t>
      </w:r>
    </w:p>
    <w:p w14:paraId="38AE8F9C" w14:textId="77777777" w:rsidR="00D801F2" w:rsidRPr="002C0BEB" w:rsidRDefault="00D801F2" w:rsidP="006C26FE">
      <w:pPr>
        <w:spacing w:after="0" w:line="240" w:lineRule="auto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2C0BEB">
        <w:rPr>
          <w:rFonts w:ascii="Sylfaen" w:hAnsi="Sylfaen"/>
          <w:noProof/>
          <w:sz w:val="24"/>
          <w:szCs w:val="24"/>
          <w:u w:val="single"/>
          <w:lang w:val="ka-GE"/>
        </w:rPr>
        <w:t xml:space="preserve">ცნობილი </w:t>
      </w:r>
      <w:r w:rsidR="008645A5" w:rsidRPr="002C0BEB">
        <w:rPr>
          <w:rFonts w:ascii="Sylfaen" w:hAnsi="Sylfaen"/>
          <w:noProof/>
          <w:sz w:val="24"/>
          <w:szCs w:val="24"/>
          <w:u w:val="single"/>
          <w:lang w:val="ka-GE"/>
        </w:rPr>
        <w:t>ე</w:t>
      </w:r>
      <w:r w:rsidRPr="002C0BEB">
        <w:rPr>
          <w:rFonts w:ascii="Sylfaen" w:hAnsi="Sylfaen"/>
          <w:noProof/>
          <w:sz w:val="24"/>
          <w:szCs w:val="24"/>
          <w:u w:val="single"/>
          <w:lang w:val="ka-GE"/>
        </w:rPr>
        <w:t>ფექტის მქონე დამხმარე ნივთიერებები</w:t>
      </w:r>
    </w:p>
    <w:p w14:paraId="1BC83502" w14:textId="77777777" w:rsidR="00D801F2" w:rsidRPr="002C0BEB" w:rsidRDefault="009E0A29" w:rsidP="006C26FE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10 მგ ბენზილის სპირტი, 40 მგ ცეტილის სპირტი, 40 მგ სტეარილის სპირტი და 50 მგ პროპილენგლიკოლი (E 1520) 1 გ კრემში.</w:t>
      </w:r>
    </w:p>
    <w:p w14:paraId="6AA63F54" w14:textId="77777777" w:rsidR="006522BB" w:rsidRPr="002C0BEB" w:rsidRDefault="006522BB" w:rsidP="006C26FE">
      <w:pPr>
        <w:spacing w:after="0" w:line="240" w:lineRule="auto"/>
        <w:rPr>
          <w:rFonts w:ascii="Sylfaen" w:hAnsi="Sylfaen"/>
          <w:noProof/>
          <w:sz w:val="24"/>
          <w:szCs w:val="24"/>
          <w:lang w:val="ka-GE"/>
        </w:rPr>
      </w:pPr>
      <w:r w:rsidRPr="002C0BEB">
        <w:rPr>
          <w:rFonts w:ascii="Sylfaen" w:hAnsi="Sylfaen"/>
          <w:noProof/>
          <w:sz w:val="24"/>
          <w:szCs w:val="24"/>
          <w:lang w:val="ka-GE"/>
        </w:rPr>
        <w:t>დამხმარე ნივთ</w:t>
      </w:r>
      <w:r w:rsidR="00DD7836" w:rsidRPr="002C0BEB">
        <w:rPr>
          <w:rFonts w:ascii="Sylfaen" w:hAnsi="Sylfaen"/>
          <w:noProof/>
          <w:sz w:val="24"/>
          <w:szCs w:val="24"/>
          <w:lang w:val="ka-GE"/>
        </w:rPr>
        <w:t>ი</w:t>
      </w:r>
      <w:r w:rsidRPr="002C0BEB">
        <w:rPr>
          <w:rFonts w:ascii="Sylfaen" w:hAnsi="Sylfaen"/>
          <w:noProof/>
          <w:sz w:val="24"/>
          <w:szCs w:val="24"/>
          <w:lang w:val="ka-GE"/>
        </w:rPr>
        <w:t xml:space="preserve">ერებების სრული ჩამონათვალი იხილეთ ნაწილში 6.1. </w:t>
      </w:r>
    </w:p>
    <w:p w14:paraId="06D85CCD" w14:textId="77777777" w:rsidR="001873D4" w:rsidRPr="002C0BEB" w:rsidRDefault="001873D4" w:rsidP="006C26FE">
      <w:pPr>
        <w:spacing w:after="0" w:line="240" w:lineRule="auto"/>
        <w:rPr>
          <w:rFonts w:ascii="Sylfaen" w:hAnsi="Sylfaen"/>
          <w:noProof/>
          <w:sz w:val="24"/>
          <w:szCs w:val="24"/>
          <w:lang w:val="ka-GE"/>
        </w:rPr>
      </w:pPr>
    </w:p>
    <w:p w14:paraId="356CCB70" w14:textId="77777777" w:rsidR="0058249A" w:rsidRPr="002C0BEB" w:rsidRDefault="0058249A" w:rsidP="006C26FE">
      <w:pPr>
        <w:spacing w:after="0" w:line="240" w:lineRule="auto"/>
        <w:rPr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Fonts w:ascii="Sylfaen" w:hAnsi="Sylfaen"/>
          <w:b/>
          <w:noProof/>
          <w:sz w:val="24"/>
          <w:szCs w:val="24"/>
          <w:lang w:val="ka-GE"/>
        </w:rPr>
        <w:t>3. წამლის ფორმა</w:t>
      </w:r>
    </w:p>
    <w:p w14:paraId="29C54C8C" w14:textId="77777777" w:rsidR="0058249A" w:rsidRPr="002C0BEB" w:rsidRDefault="00500E9D" w:rsidP="006C26FE">
      <w:pPr>
        <w:spacing w:after="0" w:line="240" w:lineRule="auto"/>
        <w:rPr>
          <w:rFonts w:ascii="Sylfaen" w:hAnsi="Sylfaen"/>
          <w:noProof/>
          <w:sz w:val="24"/>
          <w:szCs w:val="24"/>
          <w:lang w:val="ka-GE"/>
        </w:rPr>
      </w:pPr>
      <w:r w:rsidRPr="002C0BEB">
        <w:rPr>
          <w:rFonts w:ascii="Sylfaen" w:hAnsi="Sylfaen"/>
          <w:noProof/>
          <w:sz w:val="24"/>
          <w:szCs w:val="24"/>
          <w:lang w:val="ka-GE"/>
        </w:rPr>
        <w:t>კრემი.</w:t>
      </w:r>
    </w:p>
    <w:p w14:paraId="11166DEE" w14:textId="77777777" w:rsidR="00500E9D" w:rsidRPr="002C0BEB" w:rsidRDefault="00CB3AAA" w:rsidP="006C26FE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მოთეთრო და ერთგვაროვანი.</w:t>
      </w:r>
    </w:p>
    <w:p w14:paraId="2483F97C" w14:textId="77777777" w:rsidR="00036F4B" w:rsidRPr="002C0BEB" w:rsidRDefault="00036F4B" w:rsidP="006C26FE">
      <w:pPr>
        <w:spacing w:after="0" w:line="240" w:lineRule="auto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7606E276" w14:textId="77777777" w:rsidR="00036F4B" w:rsidRPr="002C0BEB" w:rsidRDefault="00036F4B" w:rsidP="006C26FE">
      <w:pPr>
        <w:spacing w:after="0" w:line="240" w:lineRule="auto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4. კლინიკური მახასიათებლები </w:t>
      </w:r>
    </w:p>
    <w:p w14:paraId="012AAF99" w14:textId="77777777" w:rsidR="00D610F9" w:rsidRPr="002C0BEB" w:rsidRDefault="00036F4B" w:rsidP="006C26FE">
      <w:pPr>
        <w:spacing w:after="0" w:line="240" w:lineRule="auto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4.1 თერაპიული ჩვენებებ</w:t>
      </w:r>
      <w:r w:rsidRPr="002C0BEB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</w:p>
    <w:p w14:paraId="5D9F3541" w14:textId="77777777" w:rsidR="00036F4B" w:rsidRPr="002C0BEB" w:rsidRDefault="005C7725" w:rsidP="00B20AEF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3 თვის და უფროსი ასაკის პაციენტების მკურნალობა მსუბუქი ან საშუალო სიმძიმის ატოპიური დერმატიტით, სადაც ადგილობრივი კორტიკოსტეროიდებით მკურნალობა არ არის მიზანშეწონილი ან შეუძლებელია.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შეიძლება </w:t>
      </w:r>
      <w:r w:rsidR="00B20AE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მო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იცავდეს</w:t>
      </w:r>
      <w:r w:rsidR="00085DA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ფაქტორებს, როგორიცაა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:</w:t>
      </w:r>
    </w:p>
    <w:p w14:paraId="3FCAF30E" w14:textId="77777777" w:rsidR="00B20AEF" w:rsidRPr="002C0BEB" w:rsidRDefault="00965242" w:rsidP="00B20A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2C0BEB">
        <w:rPr>
          <w:rFonts w:ascii="Sylfaen" w:hAnsi="Sylfaen"/>
          <w:noProof/>
          <w:sz w:val="24"/>
          <w:szCs w:val="24"/>
          <w:lang w:val="ka-GE"/>
        </w:rPr>
        <w:t xml:space="preserve">ადგილობრივი კორტიკოსტეროიდების </w:t>
      </w:r>
      <w:r w:rsidR="001B27C4" w:rsidRPr="002C0BEB">
        <w:rPr>
          <w:rFonts w:ascii="Sylfaen" w:hAnsi="Sylfaen"/>
          <w:noProof/>
          <w:sz w:val="24"/>
          <w:szCs w:val="24"/>
          <w:lang w:val="ka-GE"/>
        </w:rPr>
        <w:t xml:space="preserve">მიმართ </w:t>
      </w:r>
      <w:r w:rsidRPr="002C0BEB">
        <w:rPr>
          <w:rFonts w:ascii="Sylfaen" w:hAnsi="Sylfaen"/>
          <w:noProof/>
          <w:sz w:val="24"/>
          <w:szCs w:val="24"/>
          <w:lang w:val="ka-GE"/>
        </w:rPr>
        <w:t>აუტანლობა</w:t>
      </w:r>
    </w:p>
    <w:p w14:paraId="67DB295D" w14:textId="77777777" w:rsidR="00965242" w:rsidRPr="002C0BEB" w:rsidRDefault="0054683D" w:rsidP="00B20A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2C0BEB">
        <w:rPr>
          <w:rFonts w:ascii="Sylfaen" w:hAnsi="Sylfaen"/>
          <w:noProof/>
          <w:sz w:val="24"/>
          <w:szCs w:val="24"/>
          <w:lang w:val="ka-GE"/>
        </w:rPr>
        <w:t xml:space="preserve">ადგილობრივი კორტიკოსტეროიდების </w:t>
      </w:r>
      <w:r w:rsidR="00BB2E10" w:rsidRPr="002C0BEB">
        <w:rPr>
          <w:rFonts w:ascii="Sylfaen" w:hAnsi="Sylfaen"/>
          <w:noProof/>
          <w:sz w:val="24"/>
          <w:szCs w:val="24"/>
          <w:lang w:val="ka-GE"/>
        </w:rPr>
        <w:t xml:space="preserve">არასათანადო ეფექტურობა. </w:t>
      </w:r>
    </w:p>
    <w:p w14:paraId="5DCEC759" w14:textId="77777777" w:rsidR="006522BB" w:rsidRPr="002C0BEB" w:rsidRDefault="00447E98" w:rsidP="006C26F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სახეზე და კისერზე</w:t>
      </w:r>
      <w:r w:rsidR="001F783D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გამოყენებისას, რომლის დროსაც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7F7E9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წყვეტილად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ადგილობრივი კორტიკოსტეროიდებით </w:t>
      </w:r>
      <w:r w:rsidR="006D544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ხანგრძლივი მკურნალობა შესაძლოა შეუსაბამო იყოს. </w:t>
      </w:r>
    </w:p>
    <w:p w14:paraId="60C2971E" w14:textId="77777777" w:rsidR="0088361B" w:rsidRPr="002C0BEB" w:rsidRDefault="0088361B" w:rsidP="00EA1C9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242C486B" w14:textId="77777777" w:rsidR="00EA1C93" w:rsidRPr="002C0BEB" w:rsidRDefault="00A61E5D" w:rsidP="00EA1C9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Fonts w:ascii="Sylfaen" w:hAnsi="Sylfaen"/>
          <w:b/>
          <w:noProof/>
          <w:sz w:val="24"/>
          <w:szCs w:val="24"/>
          <w:lang w:val="ka-GE"/>
        </w:rPr>
        <w:t>4.2 დოზირება და გამოყენების მეთოდი</w:t>
      </w:r>
    </w:p>
    <w:p w14:paraId="51E307A3" w14:textId="77777777" w:rsidR="00A61E5D" w:rsidRPr="002C0BEB" w:rsidRDefault="00A61E5D" w:rsidP="00EA1C9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2C0BEB">
        <w:rPr>
          <w:rFonts w:ascii="Sylfaen" w:hAnsi="Sylfaen"/>
          <w:noProof/>
          <w:sz w:val="24"/>
          <w:szCs w:val="24"/>
          <w:u w:val="single"/>
          <w:lang w:val="ka-GE"/>
        </w:rPr>
        <w:t>დოზირება</w:t>
      </w:r>
    </w:p>
    <w:p w14:paraId="0DA8DF18" w14:textId="77777777" w:rsidR="00A61E5D" w:rsidRPr="002C0BEB" w:rsidRDefault="003E3264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</w:t>
      </w:r>
      <w:r w:rsidR="00DE649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</w:t>
      </w:r>
      <w:r w:rsidR="00E54AE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09286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მკურნალობა უნდა ჩატარდეს</w:t>
      </w:r>
      <w:r w:rsidR="00AB6CE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E54AE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ატოპიური დერმატიტის დიაგნოსტიკისა და მკურნალობის გამოცდილების მქონე ექიმების მიერ.</w:t>
      </w:r>
    </w:p>
    <w:p w14:paraId="22835E42" w14:textId="77777777" w:rsidR="00AD7F14" w:rsidRPr="002C0BEB" w:rsidRDefault="000008CC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</w:t>
      </w:r>
      <w:r w:rsidR="001C782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შეიძლება გამოყენებულ იქნას მოკლევადიან პერსპექტივაში ატოპიური ეგზემის ნიშნებისა და სიმპტომების სამკურნალოდ და </w:t>
      </w:r>
      <w:r w:rsidR="00E0551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წყვეტილად</w:t>
      </w:r>
      <w:r w:rsidR="00614AB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,</w:t>
      </w:r>
      <w:r w:rsidR="00E0551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დროებით</w:t>
      </w:r>
      <w:r w:rsidR="005E2B6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1C782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გრძელვადიან პერიოდში გამწვავების პროგრესირების თავიდან ასაცილებლად.</w:t>
      </w:r>
    </w:p>
    <w:p w14:paraId="24C3C8D8" w14:textId="77777777" w:rsidR="002B7A58" w:rsidRPr="002C0BEB" w:rsidRDefault="002B7A58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ელიდელის მკურნალობა უნდა დაიწყოს ატოპიური დერმატიტის პირველი ნიშნებისა და სიმპტომების გამოვლენისთანავე.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4A6831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უნდა იქნას გამოყენებული მხოლოდ ატოპიური დერმატიტით </w:t>
      </w:r>
      <w:r w:rsidR="00D264C5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დაზიანებულ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ადგილებში.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პიმეკროლიმუსი უნდა იქნას გამოყენებული რაც შეიძლება მოკლე დროში დაავადების გამწვავების დროს.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პაციენტმა ან მომვლელმა უნდა შეწყვიტოს პიმეკროლიმუსის გამოყენება, როდესაც ნიშნები და სიმპტომები გაქრება.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მკურნალობა უნდა იყოს </w:t>
      </w:r>
      <w:r w:rsidR="00D214B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დროებითი,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მოკლევადიანი და არა უწყვეტი.</w:t>
      </w:r>
    </w:p>
    <w:p w14:paraId="05FCC929" w14:textId="77777777" w:rsidR="00614AB3" w:rsidRPr="002C0BEB" w:rsidRDefault="00614AB3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თუ გაუმჯობესება არ აღინიშნება 6 კვირის შემდეგ ან დაავადების გამწვავების შემთხვევაში, მკურნალობა უნდა შეწყდეს.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ატოპიური დერმატიტის დიაგნოზი ხელახლა უნდა შეფასდეს და </w:t>
      </w:r>
      <w:r w:rsidR="00A70A5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უნდა მოხდეს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შემდგომი თერაპიული ვარიანტების განხილვა.</w:t>
      </w:r>
    </w:p>
    <w:p w14:paraId="4DBDD055" w14:textId="77777777" w:rsidR="00266F96" w:rsidRPr="002C0BEB" w:rsidRDefault="00266F96" w:rsidP="00EA1C93">
      <w:pPr>
        <w:spacing w:after="0" w:line="240" w:lineRule="auto"/>
        <w:jc w:val="both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i/>
          <w:noProof/>
          <w:sz w:val="24"/>
          <w:szCs w:val="24"/>
          <w:lang w:val="ka-GE"/>
        </w:rPr>
        <w:t>უფროსები</w:t>
      </w:r>
    </w:p>
    <w:p w14:paraId="05EE2DB1" w14:textId="77777777" w:rsidR="00266F96" w:rsidRPr="002C0BEB" w:rsidRDefault="0064682D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წაისვით ელიდელის თხელი ფენა დაზიანებულ კანზე დღეში ორჯერ და შეიზილეთ ნაზად და მთლიანად.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კანის თითოეული დაზიანებული უბანი უნდა დამუშავდეს პიმეკროლიმუსით </w:t>
      </w:r>
      <w:r w:rsidR="00F474E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სანამ არ გამოვლინდება სრული </w:t>
      </w:r>
      <w:r w:rsidR="00493A6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კლირენსი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შემდეგ მკურნალობა უნდა შეწყდეს.</w:t>
      </w:r>
    </w:p>
    <w:p w14:paraId="1D5B867E" w14:textId="77777777" w:rsidR="00422F77" w:rsidRPr="002C0BEB" w:rsidRDefault="007A7661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</w:t>
      </w:r>
      <w:r w:rsidR="00422F77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შეიძლება გამოყენებულ იქნას კანის ყველა უბანზე, მათ შორის თავისა და სახის, კისრისა და ინტერტრიგენულ უბნებზე, გარდა ლორწოვანი გარსებისა.</w:t>
      </w:r>
      <w:r w:rsidR="00422F77"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446CE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</w:t>
      </w:r>
      <w:r w:rsidR="00422F77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 უნდა იქნას გამოყენებული ოკლუზიის ქვეშ (იხ. ნაწილი 4.4).</w:t>
      </w:r>
    </w:p>
    <w:p w14:paraId="5B43432C" w14:textId="77777777" w:rsidR="005D2AEC" w:rsidRPr="002C0BEB" w:rsidRDefault="00404E14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ატოპიური დერმატიტის (ეგზემა) გრძელვადიანი </w:t>
      </w:r>
      <w:r w:rsidR="009D0C2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თერაპიის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დროს ელიდელი</w:t>
      </w:r>
      <w:r w:rsidR="0026211D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მკურნალობა უნდა დაიწყოს ატოპიური დერმატიტის ნიშნებისა და სიმპტომების პირველივე </w:t>
      </w:r>
      <w:r w:rsidR="001A5BF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გამოვლენისთანავე,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რათა თავიდან </w:t>
      </w:r>
      <w:r w:rsidR="0083445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იქნეს აცილებული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დაავადების გამწვავება.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FF7AC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უნდა იქნას გამოყენებული დღეში ორჯერ.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დამარბილებელი საშუალებების გამოყენება შესაძლებელია ელიდელის </w:t>
      </w:r>
      <w:r w:rsidR="005D2AE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გამოყენების შემდეგ.</w:t>
      </w:r>
    </w:p>
    <w:p w14:paraId="3E74E00D" w14:textId="77777777" w:rsidR="005D2AEC" w:rsidRPr="002C0BEB" w:rsidRDefault="00FE13A5" w:rsidP="00EA1C93">
      <w:pPr>
        <w:spacing w:after="0" w:line="240" w:lineRule="auto"/>
        <w:jc w:val="both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i/>
          <w:noProof/>
          <w:sz w:val="24"/>
          <w:szCs w:val="24"/>
          <w:lang w:val="ka-GE"/>
        </w:rPr>
        <w:t xml:space="preserve">პედიატრიული </w:t>
      </w:r>
      <w:r w:rsidR="006B7AF9" w:rsidRPr="002C0BEB">
        <w:rPr>
          <w:rStyle w:val="rynqvb"/>
          <w:rFonts w:ascii="Sylfaen" w:hAnsi="Sylfaen"/>
          <w:i/>
          <w:noProof/>
          <w:sz w:val="24"/>
          <w:szCs w:val="24"/>
          <w:lang w:val="ka-GE"/>
        </w:rPr>
        <w:t>პოპულაცია</w:t>
      </w:r>
    </w:p>
    <w:p w14:paraId="24C4303C" w14:textId="77777777" w:rsidR="006B7AF9" w:rsidRPr="002C0BEB" w:rsidRDefault="00EE403C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ჩვილებისთვის (3-23 თვე), ბავშვებისთვის (2-11 წლის) და მოზარდებისთვის (12-17 წელი) დოზირება და მიღების მეთოდი იგივეა, რაც მოზრდილებში.</w:t>
      </w:r>
    </w:p>
    <w:p w14:paraId="157B3BA6" w14:textId="77777777" w:rsidR="00F46D1C" w:rsidRPr="002C0BEB" w:rsidRDefault="00F46D1C" w:rsidP="00EA1C93">
      <w:pPr>
        <w:spacing w:after="0" w:line="240" w:lineRule="auto"/>
        <w:jc w:val="both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i/>
          <w:noProof/>
          <w:sz w:val="24"/>
          <w:szCs w:val="24"/>
          <w:lang w:val="ka-GE"/>
        </w:rPr>
        <w:t>ხანდაზმული პაციენტები</w:t>
      </w:r>
    </w:p>
    <w:p w14:paraId="33AC1E94" w14:textId="77777777" w:rsidR="00F46D1C" w:rsidRPr="002C0BEB" w:rsidRDefault="008F5E3A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ატოპიური დერმატიტი (ეგზემა) იშვიათად აღინიშნება 65 წელზე უფროსი ასაკის პაციენტებში.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</w:t>
      </w:r>
      <w:r w:rsidR="006F7AAA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ით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ჩატარებული კლინიკური კვლევები არ მოიცავდა პაციენტთა საკმარის რაოდენობას ამ ასაკობრივ დიაპაზონში, რათა დადგინდეს, რამდენად განსხვავდება ისინი ახალგაზრდა პაციენტებისგან.</w:t>
      </w:r>
    </w:p>
    <w:p w14:paraId="6D1DF459" w14:textId="77777777" w:rsidR="007F6C71" w:rsidRPr="002C0BEB" w:rsidRDefault="007F6C71" w:rsidP="00EA1C93">
      <w:pPr>
        <w:spacing w:after="0" w:line="240" w:lineRule="auto"/>
        <w:jc w:val="both"/>
        <w:rPr>
          <w:rStyle w:val="rynqvb"/>
          <w:rFonts w:ascii="Sylfaen" w:hAnsi="Sylfaen"/>
          <w:i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i/>
          <w:noProof/>
          <w:sz w:val="24"/>
          <w:szCs w:val="24"/>
          <w:lang w:val="ka-GE"/>
        </w:rPr>
        <w:t>გამოყენების მეთოდი</w:t>
      </w:r>
    </w:p>
    <w:p w14:paraId="3133D958" w14:textId="77777777" w:rsidR="007F6C71" w:rsidRPr="002C0BEB" w:rsidRDefault="007F6C71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 უნდა წაისვათ თხლად დაზიანებულ ადგილებში დღეში ორჯერ.</w:t>
      </w:r>
    </w:p>
    <w:p w14:paraId="2D25C4BC" w14:textId="77777777" w:rsidR="00BF21AA" w:rsidRPr="002C0BEB" w:rsidRDefault="00BF21AA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1CF929E1" w14:textId="77777777" w:rsidR="00BF21AA" w:rsidRPr="002C0BEB" w:rsidRDefault="005816D1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4.3 უკუჩვენებები</w:t>
      </w:r>
    </w:p>
    <w:p w14:paraId="1DC85E74" w14:textId="77777777" w:rsidR="005816D1" w:rsidRPr="002C0BEB" w:rsidRDefault="000C01D9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ჰიპერმგრძნობელობა პიმეკროლიმუსის, სხვა მაკროლაქტამების ან რომელიმე დამხმარე ნივთიერების მიმართ, რომლებიც ჩამოთვლილია 6.1 ნაწილში.</w:t>
      </w:r>
    </w:p>
    <w:p w14:paraId="2ADC4715" w14:textId="77777777" w:rsidR="0037324E" w:rsidRPr="002C0BEB" w:rsidRDefault="0037324E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5F9FBA48" w14:textId="77777777" w:rsidR="0037324E" w:rsidRPr="002C0BEB" w:rsidRDefault="0037324E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4.4 </w:t>
      </w:r>
      <w:r w:rsidR="00663826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სპეციალური გაფრთხილებები და სიფრთხილის ზომები</w:t>
      </w:r>
    </w:p>
    <w:p w14:paraId="0DBA4B34" w14:textId="77777777" w:rsidR="00663826" w:rsidRPr="002C0BEB" w:rsidRDefault="00701509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პიმეკროლიმუსის კრემი არ უნდა იქნას გამოყენებული თანდაყოლილი ან შეძენილი იმუნოდეფიციტის მქონე პაციენტებში ან პაციენტებში, რომლებიც იმყოფებიან იმუნოსუპრესი</w:t>
      </w:r>
      <w:r w:rsidR="00C552FA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ულ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თერაპიაზე.</w:t>
      </w:r>
    </w:p>
    <w:p w14:paraId="3EE3C4B6" w14:textId="77777777" w:rsidR="00A842FD" w:rsidRPr="002C0BEB" w:rsidRDefault="001467D1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გრძელვადიანი ეფექტი კანის ადგილობრივ იმუნურ პასუხზე და კანის ავთვისებიანი სიმსივნეების სიხშირეზე უცნობია.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პიმეკროლიმუსი არ უნდა იქნას გამოყენებული პოტენციურად ავთვისებიანი ან </w:t>
      </w:r>
      <w:r w:rsidR="00EA20B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პრე-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ავთვისებიანი კანის </w:t>
      </w:r>
      <w:r w:rsidR="00B008E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დაზიანებებისას</w:t>
      </w:r>
      <w:r w:rsidR="00514B0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="002A698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2FE4426" w14:textId="77777777" w:rsidR="002A6988" w:rsidRPr="002C0BEB" w:rsidRDefault="00514B0F" w:rsidP="00EA1C93">
      <w:pPr>
        <w:spacing w:after="0" w:line="240" w:lineRule="auto"/>
        <w:jc w:val="both"/>
        <w:rPr>
          <w:rStyle w:val="HeaderChar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პიმეკროლიმუსი არ უნდა იქნას გამოყენებული მწვავე კანის ვირუსული ინფექციით დაზიანებულ ადგილებში (ჰერპეს სიმპლექსი, ჩუტყვავილა).</w:t>
      </w:r>
      <w:r w:rsidR="002A6988" w:rsidRPr="002C0BEB">
        <w:rPr>
          <w:rStyle w:val="HeaderChar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F892AF7" w14:textId="77777777" w:rsidR="00514B0F" w:rsidRPr="002C0BEB" w:rsidRDefault="002A6988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ელიდელის ეფექტურობა და უსაფრთხოება კლინიკურად ინფიცირებული ატოპიური დერმატიტის სამკურნალოდ დადგენილი არ არის.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ელიდელით მკურნალობის დაწყებამდე უნდა აღმოიფხვრას კლინიკური ინფექციები მკურნალობის ადგილებში.</w:t>
      </w:r>
    </w:p>
    <w:p w14:paraId="3C42124F" w14:textId="77777777" w:rsidR="00D7071E" w:rsidRPr="002C0BEB" w:rsidRDefault="00D7071E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მიუხედავად იმისა, რომ ატოპიური დერმატიტის მქონე პაციენტებ</w:t>
      </w:r>
      <w:r w:rsidR="008D145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8D145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მიდრეკილნი არიან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კანის ზედაპირული ინფექციების</w:t>
      </w:r>
      <w:r w:rsidR="00387CC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მიმართ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, მათ შორის ეგზემა ჰერპეტიკის (კაპოშის ვარიცელური გამონაყარი)</w:t>
      </w:r>
      <w:r w:rsidR="00B76340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მიმართ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პიმეკროლიმუსით მკურნალობა შეიძლება ასოცირებული იყოს კანის ჰერპეს სიმპლექსის ვირუსის ინფექციის ან ეგზემა ჰერპეტიკუმის (რომელიც </w:t>
      </w:r>
      <w:r w:rsidR="00F7635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ვლინდება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ვეზიკულური და ეროზიული დაზიანებების სწრაფი გავრცელებით) გაზრდილ რისკთან. </w:t>
      </w:r>
      <w:r w:rsidR="00AA137A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თუ არსებობს ჰერპეს სიმპლექსის კანის ინფექცია, პიმეკროლიმუსის მკურნალობა უნდა შეწყდეს ინფექციის ადგილზე, სანამ ვირუსული ინფექცია არ გაქრება.</w:t>
      </w:r>
      <w:r w:rsidR="008D5CB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DC52C9A" w14:textId="77777777" w:rsidR="00EE3FFA" w:rsidRPr="002C0BEB" w:rsidRDefault="00EE3FFA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მძიმე ატოპიური დერმატიტის მქონე პაციენტებს შეიძლება ჰქონდეთ კანის ბაქტერიული ინფექციების (იმპეტიგო) გაზრდილი რისკი პიმეკროლიმუსით მკურნალობის დროს.</w:t>
      </w:r>
      <w:r w:rsidR="00591291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04CE9DD" w14:textId="77777777" w:rsidR="002217B2" w:rsidRPr="002C0BEB" w:rsidRDefault="007B66C5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ელიდელის გამოყენებამ შეიძლება გამოიწვიოს მსუბუქი და გარდამავალი რეაქციები გამოყენების ადგილზე, როგორიცაა სითბოს და/ან წვის შეგრძნება (იხ. </w:t>
      </w:r>
      <w:r w:rsidR="00F07172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ნაწილი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4.8).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 </w:t>
      </w:r>
      <w:r w:rsidR="00490394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ადგილზე რეაქცია მძიმეა, მკურნალობის რისკი-სარგებელი ხელახლა უნდა შეფასდეს.</w:t>
      </w:r>
      <w:r w:rsidR="00953AE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9116D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სიფრთხილეა საჭირო თვალებთან და ლორწოვან გარსებთან კონტაქტის თავიდან ასაცილებლად.</w:t>
      </w:r>
      <w:r w:rsidR="009116D9"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9116D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თუ შემთხვევით წაისვით ამ ადგილებში, კრემი კარგად უნდა მოიშოროთ და/ან ჩამოიბანოთ წყლით.</w:t>
      </w:r>
      <w:r w:rsidR="00B1083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1B47590" w14:textId="77777777" w:rsidR="00D56D4C" w:rsidRPr="002C0BEB" w:rsidRDefault="00B82E8F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ექიმებმა უნდა ურჩიონ პაციენტებს მზისგან დამცავი ზომების </w:t>
      </w:r>
      <w:r w:rsidR="00E53B2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დაცვის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შესახებ, როგორიცაა მზეზე ყოფნის დროის მინიმუმამდე შემცირება, მზისგან დამცავი პროდუქტის გამოყენება და კანის დაფარვა შესაბამისი ტანსაცმლით (იხ. ნაწილი 4.5). </w:t>
      </w:r>
    </w:p>
    <w:p w14:paraId="430EEA95" w14:textId="77777777" w:rsidR="00B82E8F" w:rsidRPr="002C0BEB" w:rsidRDefault="00B82E8F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 შეიცავს აქტიურ ნივთიერებას პიმეკროლიმუსს, კალცინევრინის ინჰიბიტორს.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ტრანსპლანტანტ</w:t>
      </w:r>
      <w:r w:rsidR="006453F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ის მქონე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პაციენტებში კალცინევრინის ინჰიბიტორების სისტემური მიღების შემდეგ ინტენსიური იმუნოსუპრესიის გახანგრძლივებული სისტემური ზემოქმედება დაკავშირებულია ლიმფომებისა და კანის ავთვისებიანი სიმსივნეების განვითარების რისკთან.</w:t>
      </w:r>
      <w:r w:rsidR="0093473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E4A24BB" w14:textId="77777777" w:rsidR="00736BB0" w:rsidRPr="002C0BEB" w:rsidRDefault="00736BB0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ავთვისებიანი სიმსივნეების, მათ შორის კანის და სხვა სახის ლიმფომის, და კანის კიბოს შემთხვევები დაფიქსირდა პაციენტებში, რომლებიც იყენებდნენ პიმეკროლიმუსის კრემს (იხ. ნაწილი 4.8).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თუმცა, ატოპიური დერმატიტის მქონე პაციენტებში, რომლებიც მკურნალობდნენ ელიდელით, არ აღმოჩნდა მნიშვნელოვანი სისტემური პიმეკროლიმუსის დონე.</w:t>
      </w:r>
      <w:r w:rsidR="0023795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6D6FE229" w14:textId="77777777" w:rsidR="001873D4" w:rsidRPr="002C0BEB" w:rsidRDefault="001873D4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784442FD" w14:textId="77777777" w:rsidR="00D44E1C" w:rsidRPr="002C0BEB" w:rsidRDefault="00555879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პოპულაციები</w:t>
      </w:r>
      <w:r w:rsidR="00315345"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, რომლებთაც ახასიათებთ</w:t>
      </w:r>
      <w:r w:rsidR="00D44E1C"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სისტემური ზემოქმედების პოტენციურად მაღალი რისკ</w:t>
      </w:r>
      <w:r w:rsidR="004E7E7F"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-ფაქტორი</w:t>
      </w:r>
    </w:p>
    <w:p w14:paraId="6DCAED1A" w14:textId="77777777" w:rsidR="00AF7073" w:rsidRPr="002C0BEB" w:rsidRDefault="005D495D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 არ არის შესწავლილი ნეტერტონის სინდრომის მქონე პაციენტებში.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პიმეკროლიმუსის სისტემური აბსორბციის გაზრდის პოტენციალის გამო, ელიდელი არ არის რეკომენდებული ნეტერტონის სინდრომის მქონე პაციენტებში.</w:t>
      </w:r>
      <w:r w:rsidR="00800AC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CF6EEC4" w14:textId="77777777" w:rsidR="001B3DCB" w:rsidRPr="002C0BEB" w:rsidRDefault="0052062B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ვინაიდან პიმეკროლიმუსის უსაფრთხოება არ არის დადგენილი ერითროდერმიის მქონე პაციენტებში, ელიდელის გამოყენება არ არის რეკომენდებული ამ პოპულაციაში. ელიდელის გამოყენება ოკლუზიის ქვეშ არ არის შესწავლილი.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ოკლუზიური სახვევი</w:t>
      </w:r>
      <w:r w:rsidR="00750364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 გამოყენება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 არის რეკომენდებული. სისტემური კონცენტრაცია შეიძლება იყოს უფრო მაღალი ძლიერ ანთებით და/ან დაზიანებული კანის მქონე პაციენტებში.</w:t>
      </w:r>
    </w:p>
    <w:p w14:paraId="48329378" w14:textId="77777777" w:rsidR="005944A5" w:rsidRPr="002C0BEB" w:rsidRDefault="005944A5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 შეიცავს ცეტილის სპირტს და სტეარილის სპირტს, რამაც შეიძლება გამოიწვიოს კანის ადგილობრივი რეაქციები (მაგ. კონტაქტური დერმატიტი).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გარდა ამისა, ელიდელი ასევე შეიცავს 10 მგ ბენზილის სპირტს 1 გ კრემზე, რამაც შეიძლება გამოიწვიოს ალერგიული რეაქციები და მსუბუქი ადგილობრივი გაღიზიანება.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1B4905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ასევე შეიცავს 50 მგ პროპილენ გლიკოლს (E 1520) 1 გ კრემზე, რამაც შეიძლება გამოიწვიოს კანის გაღიზიანება.</w:t>
      </w:r>
    </w:p>
    <w:p w14:paraId="57503A42" w14:textId="77777777" w:rsidR="00DD70F1" w:rsidRPr="002C0BEB" w:rsidRDefault="00DD70F1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3BD7E3BF" w14:textId="77777777" w:rsidR="00300F54" w:rsidRPr="002C0BEB" w:rsidRDefault="00A6372F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4.5 ურთიერთქმედება სხვა სამკურნალო საშუალებებთან და ურთიერთქმედების სხვა ფორმებ</w:t>
      </w:r>
      <w:r w:rsidRPr="002C0BEB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</w:p>
    <w:p w14:paraId="6448F432" w14:textId="77777777" w:rsidR="00FE13A5" w:rsidRPr="002C0BEB" w:rsidRDefault="00837A15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პიმეკროლიმუსსა და სხვა სამკურნალო საშუალებებს შორის პოტენციური ურთიერთქმედება სისტემატურად არ არის შეფასებული.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პიმეკროლიმუსი მეტაბოლიზდება ექსკლუზიურად CYP 450 3A4-ით. მისი აბსორბციის მინიმალური მასშტაბიდან გამომდინარე, პიმეკროლიმუსის ურთიერთქმედება სისტემურად შეყვანილ სამკურნალო საშუალებებთან ნაკლებად სავარაუდოა (იხ. </w:t>
      </w:r>
      <w:r w:rsidR="00BD156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ნაწილი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5.2).</w:t>
      </w:r>
    </w:p>
    <w:p w14:paraId="5DCD0BE3" w14:textId="77777777" w:rsidR="00557DF2" w:rsidRPr="002C0BEB" w:rsidRDefault="00657CBA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მოცემული მონაცემები მიუთითებს, რომ პიმეკროლიმუსის გამოყენება შესაძლებელია ანტიბიოტიკებთან, ანტიჰისტამინებთან და კორტიკოსტეროიდებთან ერთდროულად (პერორალური/ნაზალური</w:t>
      </w:r>
      <w:r w:rsidR="005D646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/</w:t>
      </w:r>
      <w:r w:rsidR="00F34222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საინჰალაციო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). ელიდელის მინიმალური შეწოვის გამო, ვაქცინაციასთან პოტენციური სისტემური ურთიერთქმედება ნაკლებად სავარაუდოა.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CD7F77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გავრცელებული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დაავადების მქონე პაციენტებში რეკომენდირებულია ვაქცინაციის ჩატარება მკურნალობის გარეშე ინტერვალებით.</w:t>
      </w:r>
      <w:r w:rsidR="001B61F0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E4DE89F" w14:textId="77777777" w:rsidR="00981B72" w:rsidRPr="002C0BEB" w:rsidRDefault="00981B72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პიმეკროლიმუსის გამოყენება ვაქცინაციის ადგილებში არ არის შესწავლილი, სანამ ადგილობრივი რეაქციები შენარჩუნებულია და ამიტომ არ არის რეკომენდებული. 5-წლიან კვლევაში 3-დან 12 თვეზე ნაკლები ასაკის ჩვილებში საწყის ეტაპზე მსუბუქი და ზომიერი ატოპიური დერმატიტით, პაციენტებმა AD-ით, რომლებიც მკურნალობდნენ </w:t>
      </w:r>
      <w:r w:rsidR="00924EC7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ელიდელის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კრემით ან TCS-ით, აჩვენეს იმუნური პასუხის ნორმალური </w:t>
      </w:r>
      <w:r w:rsidR="001F3D8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მიღწევა</w:t>
      </w:r>
      <w:r w:rsidR="00C537F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დობა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და </w:t>
      </w:r>
      <w:r w:rsidR="00E052C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აღინიშნა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ეფექტური იმუნიზაცი</w:t>
      </w:r>
      <w:r w:rsidR="000A640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ის განვითარება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ვაქცინის ანტიგენების წინააღმდეგ (იხ. ნაწილი 5.1).</w:t>
      </w:r>
      <w:r w:rsidR="000D2881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DE1D77B" w14:textId="77777777" w:rsidR="0072533F" w:rsidRPr="002C0BEB" w:rsidRDefault="0072533F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>არ არსებობს გამოცდილება ატოპიური ეგზემის სამკურნალო იმუნოსუპრესიული თერაპიის ერთდროული გამოყენების შესახებ, როგორიცაა UVB, UVA, PUVA, აზათიოპრინი და ციკლოსპორინი A.</w:t>
      </w:r>
      <w:r w:rsidR="00B16051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C145A9B" w14:textId="77777777" w:rsidR="00341404" w:rsidRPr="002C0BEB" w:rsidRDefault="00170BD1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სიწითლის, გამონაყარის, წვის, ქავილის ან შეშუპების იშვიათი შემთხვევები დაფიქსირდა ალკოჰოლის მიღებიდან მალევე პაციენტებში, რომლებიც იყენებდნენ პიმეკროლიმუსის კრემს (იხ. ნაწილი 4.8).</w:t>
      </w:r>
    </w:p>
    <w:p w14:paraId="43E4CCBE" w14:textId="77777777" w:rsidR="00286FD0" w:rsidRPr="002C0BEB" w:rsidRDefault="00286FD0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3B8F6619" w14:textId="77777777" w:rsidR="00DA23F3" w:rsidRPr="002C0BEB" w:rsidRDefault="00DA23F3" w:rsidP="00EA1C93">
      <w:pPr>
        <w:spacing w:after="0" w:line="24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4.6 ნაყოფიერება, ორსულობა და ლაქტაცი</w:t>
      </w:r>
      <w:r w:rsidRPr="002C0BEB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ა</w:t>
      </w:r>
    </w:p>
    <w:p w14:paraId="074C9518" w14:textId="77777777" w:rsidR="00286FD0" w:rsidRPr="002C0BEB" w:rsidRDefault="00357A56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ორსულობა</w:t>
      </w:r>
    </w:p>
    <w:p w14:paraId="20005C30" w14:textId="77777777" w:rsidR="00E052CE" w:rsidRPr="002C0BEB" w:rsidRDefault="002B1620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არ არსებობს ადექვატური მონაცემები ორსულ ქალებში პიმეკროლიმუსის გამოყენების შესახებ.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ცხოველებზე ჩატარებული კვლევები დერმალური გამოყენების გამოყენებით არ მიუთითებს პირდაპირ ან არაპირდაპირ მავნე ზემოქმედებაზე ემბრიონის/ნაყოფის განვითარებაზე.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ცხოველებში პერორალური მიღების შემდეგ ჩატარებულმა კვლევებმა აჩვენა რეპროდუქციული ტოქსიკურობა (იხ. ნაწილი 5.3). პიმეკროლიმუსის აბსორბციის მინიმალურ მასშტაბზე დაყრდნობით პიმეკროლიმუსის ადგილობრივი გამოყენების შემდეგ (იხ. პუნქტი 5.2), </w:t>
      </w:r>
      <w:r w:rsidR="00ED57DD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მიჩნეულია, რომ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პოტენციური რისკი ადამიანებისთვის </w:t>
      </w:r>
      <w:r w:rsidR="00CF584A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არის შეზღუდული.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თუმცა, პიმეკროლიმუსი არ უნდა იქნას გამოყენებული ორსულობის დროს.</w:t>
      </w:r>
      <w:r w:rsidR="00ED57DD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8DD6631" w14:textId="77777777" w:rsidR="00214514" w:rsidRPr="002C0BEB" w:rsidRDefault="00470FBC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ლაქტაცია</w:t>
      </w:r>
    </w:p>
    <w:p w14:paraId="70A64DF3" w14:textId="77777777" w:rsidR="00E748B9" w:rsidRPr="002C0BEB" w:rsidRDefault="006E28AB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კვლევები </w:t>
      </w:r>
      <w:r w:rsidR="00FC56B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ცხოველებში </w:t>
      </w:r>
      <w:r w:rsidR="001A2F4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ადგილობრივი გამოყენების შემდეგ </w:t>
      </w:r>
      <w:r w:rsidR="00FC56B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დედის რძეში გამოყოფის შესახებ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არ ჩატარებულა და ელიდელის გამოყენება მეძუძურ ქალებში არ არის შესწავლილი.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უცნობია გამოიყოფა თუ </w:t>
      </w:r>
      <w:r w:rsidR="001A2F4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არა პიმეკროლიმუსი</w:t>
      </w:r>
      <w:r w:rsidR="006645A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დედის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რძეში ადგილობრივი გამოყენების შემდეგ. </w:t>
      </w:r>
    </w:p>
    <w:p w14:paraId="37094F8D" w14:textId="77777777" w:rsidR="00FA6A23" w:rsidRPr="002C0BEB" w:rsidRDefault="006E28AB" w:rsidP="00EA1C93">
      <w:pPr>
        <w:spacing w:after="0" w:line="240" w:lineRule="auto"/>
        <w:jc w:val="both"/>
        <w:rPr>
          <w:rStyle w:val="hwtze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თუმცა, პიმეკროლიმუსის აბსორბციის მინიმალურ მასშტაბზე დაყრდნობით, პიმეკროლიმუსის ადგილობრივი გამოყენების შემდეგ, (იხ. </w:t>
      </w:r>
      <w:r w:rsidR="00B37A1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ნაწილი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5.2), ადამიანებისთვის პოტენციური რისკი შეზღუდულია.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B3D99D4" w14:textId="77777777" w:rsidR="00470FBC" w:rsidRPr="002C0BEB" w:rsidRDefault="006E28AB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სიფრთხილეა საჭირო მეძუძურ ქალებში პიმეკროლიმუსის </w:t>
      </w:r>
      <w:r w:rsidR="0042619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გამოყენებისას.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მეძუძურ დედებს შეუძლიათ გამოიყენონ ელიდელი, მაგრამ არ უნდა წაისვან ელიდელი მკერდზე, რათა თავიდან აიცილონ ახალშობილის მიერ პერორალური </w:t>
      </w:r>
      <w:r w:rsidR="00A211B4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გზით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უნებლიე შეწოვა.</w:t>
      </w:r>
      <w:r w:rsidR="007620D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5435068" w14:textId="77777777" w:rsidR="004A464B" w:rsidRPr="002C0BEB" w:rsidRDefault="00FB2542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ნაყოფიერება</w:t>
      </w:r>
    </w:p>
    <w:p w14:paraId="027058F6" w14:textId="77777777" w:rsidR="00FB2542" w:rsidRPr="002C0BEB" w:rsidRDefault="00DF7DD7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არ მოიპოვება კლინიკური მონაცემები პიმეკროლიმუსის ზემოქმედების შესახებ მამრობითი და მდედრობითი სქესის ნაყოფიერებაზე (იხ. </w:t>
      </w:r>
      <w:r w:rsidR="00924EB5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ნაწილი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5.3 მონაცემები</w:t>
      </w:r>
      <w:r w:rsidR="0085197D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B319F2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პრეკლინიკური უსაფრთხოების</w:t>
      </w:r>
      <w:r w:rsidR="00F35720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შესახებ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).</w:t>
      </w:r>
    </w:p>
    <w:p w14:paraId="2B118B2B" w14:textId="77777777" w:rsidR="00305A8D" w:rsidRPr="002C0BEB" w:rsidRDefault="00305A8D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5B14B422" w14:textId="77777777" w:rsidR="00305A8D" w:rsidRPr="002C0BEB" w:rsidRDefault="00305A8D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4.7 ზემოქმედება ავტომობილის მართვისა და მექანიზმებთან მუშაობის უნარზე </w:t>
      </w:r>
    </w:p>
    <w:p w14:paraId="444F6015" w14:textId="77777777" w:rsidR="005E06BE" w:rsidRPr="002C0BEB" w:rsidRDefault="00305A8D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ელიდელს არ აქვს ცნობილი გავლენა მანქანისა და მექანიზმების მართვის უნარზე.</w:t>
      </w:r>
    </w:p>
    <w:p w14:paraId="3425D667" w14:textId="77777777" w:rsidR="00575A08" w:rsidRPr="002C0BEB" w:rsidRDefault="00575A08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2A9EFFEA" w14:textId="77777777" w:rsidR="00793E9A" w:rsidRPr="002C0BEB" w:rsidRDefault="003711D7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4.8 არასასურველი ეფექტები </w:t>
      </w:r>
    </w:p>
    <w:p w14:paraId="30CC8D53" w14:textId="77777777" w:rsidR="003711D7" w:rsidRPr="002C0BEB" w:rsidRDefault="003711D7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ყველაზე ხშირი გვერდითი მოვლენები იყო რეაქციები </w:t>
      </w:r>
      <w:r w:rsidR="00D3359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ადგილზე, რომლებიც მოხსენებული იყო ელიდელით ნამკურნალევი პაციენტების დაახლოებით 19%-ში და საკონტროლო ჯგუფების პაციენტების 16%-ში.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ეს რეაქციები ძირითადად ვლინდებოდა მკურნალობის დასაწყისში, იყო მსუბუქი/ზომიერი და ხანმოკლე.</w:t>
      </w:r>
    </w:p>
    <w:p w14:paraId="32567069" w14:textId="77777777" w:rsidR="00D32DAB" w:rsidRPr="002C0BEB" w:rsidRDefault="00F8417E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შემდეგი არასასურველი ეფექტები დაფიქსირდა ქვემოთ მითითებულ</w:t>
      </w:r>
      <w:r w:rsidR="00FF22F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FF22F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სიხშირით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კლინიკური კვლევების დროს პიმეკროლიმუსის კრემის 1% გამოყენებისას და სპონტანური მოხსენების </w:t>
      </w:r>
      <w:r w:rsidR="00A13CCD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წყაროებიდან.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39233C05" w14:textId="77777777" w:rsidR="00F8417E" w:rsidRPr="002C0BEB" w:rsidRDefault="00F8417E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გვერდითი რეაქციები კლასიფიცირებულია სიხშირის </w:t>
      </w:r>
      <w:r w:rsidR="00E0116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მიხედვით ყველაზე ხშირიდან კლებადობის მიხედვით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: ძალიან ხშირი (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sym w:font="Symbol" w:char="F0B3"/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1/10);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D00D8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ხშირი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(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sym w:font="Symbol" w:char="F0B3"/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1/100, &lt;1/10);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F952F0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არახშირი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(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sym w:font="Symbol" w:char="F0B3"/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1/1000, &lt;1/100);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იშვიათი (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sym w:font="Symbol" w:char="F0B3"/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1/10000, &lt;1/1000);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ძალიან იშვიათი (&lt;1/10000);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უცნობია</w:t>
      </w:r>
      <w:r w:rsidR="002502FA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სიხშირე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(არ შეიძლება შეფასდეს არსებული მონაცემებით).</w:t>
      </w:r>
    </w:p>
    <w:p w14:paraId="17C2576C" w14:textId="77777777" w:rsidR="00CB2BFE" w:rsidRPr="002C0BEB" w:rsidRDefault="00CB2BFE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6095"/>
      </w:tblGrid>
      <w:tr w:rsidR="00F96EB4" w:rsidRPr="002C0BEB" w14:paraId="4A98CE8E" w14:textId="77777777" w:rsidTr="00121835">
        <w:tc>
          <w:tcPr>
            <w:tcW w:w="10201" w:type="dxa"/>
            <w:gridSpan w:val="2"/>
          </w:tcPr>
          <w:p w14:paraId="15A08847" w14:textId="77777777" w:rsidR="00F96EB4" w:rsidRPr="002C0BEB" w:rsidRDefault="00F96EB4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b/>
                <w:noProof/>
                <w:szCs w:val="24"/>
                <w:lang w:val="ka-GE"/>
              </w:rPr>
              <w:lastRenderedPageBreak/>
              <w:t>ინფექციები და ინვაზიე</w:t>
            </w:r>
            <w:r w:rsidR="000F20B1" w:rsidRPr="002C0BEB">
              <w:rPr>
                <w:rFonts w:ascii="Sylfaen" w:hAnsi="Sylfaen"/>
                <w:b/>
                <w:noProof/>
                <w:szCs w:val="24"/>
                <w:lang w:val="ka-GE"/>
              </w:rPr>
              <w:t>ბი</w:t>
            </w:r>
          </w:p>
        </w:tc>
      </w:tr>
      <w:tr w:rsidR="00F96EB4" w:rsidRPr="002C0BEB" w14:paraId="2345C950" w14:textId="77777777" w:rsidTr="00121835">
        <w:tc>
          <w:tcPr>
            <w:tcW w:w="4106" w:type="dxa"/>
          </w:tcPr>
          <w:p w14:paraId="6338F15B" w14:textId="77777777" w:rsidR="00F96EB4" w:rsidRPr="002C0BEB" w:rsidRDefault="000126A0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Cs w:val="24"/>
                <w:lang w:val="ka-GE"/>
              </w:rPr>
              <w:t>არახშირი</w:t>
            </w:r>
          </w:p>
        </w:tc>
        <w:tc>
          <w:tcPr>
            <w:tcW w:w="6095" w:type="dxa"/>
          </w:tcPr>
          <w:p w14:paraId="1A900CBF" w14:textId="77777777" w:rsidR="00F96EB4" w:rsidRPr="002C0BEB" w:rsidRDefault="00F96EB4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Cs w:val="24"/>
                <w:lang w:val="ka-GE"/>
              </w:rPr>
              <w:t>Molluscum contagiosum</w:t>
            </w:r>
          </w:p>
        </w:tc>
      </w:tr>
      <w:tr w:rsidR="00F96EB4" w:rsidRPr="002C0BEB" w14:paraId="509F04CC" w14:textId="77777777" w:rsidTr="00121835">
        <w:tc>
          <w:tcPr>
            <w:tcW w:w="10201" w:type="dxa"/>
            <w:gridSpan w:val="2"/>
          </w:tcPr>
          <w:p w14:paraId="4748D84E" w14:textId="77777777" w:rsidR="00F96EB4" w:rsidRPr="002C0BEB" w:rsidRDefault="00F81061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b/>
                <w:noProof/>
                <w:szCs w:val="24"/>
                <w:lang w:val="ka-GE"/>
              </w:rPr>
              <w:t>იმუნური სისტემის დარღვევები</w:t>
            </w:r>
          </w:p>
        </w:tc>
      </w:tr>
      <w:tr w:rsidR="00F96EB4" w:rsidRPr="002C0BEB" w14:paraId="7D816593" w14:textId="77777777" w:rsidTr="00121835">
        <w:tc>
          <w:tcPr>
            <w:tcW w:w="4106" w:type="dxa"/>
          </w:tcPr>
          <w:p w14:paraId="7F87E57D" w14:textId="77777777" w:rsidR="00F96EB4" w:rsidRPr="002C0BEB" w:rsidRDefault="0084748A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Cs w:val="24"/>
                <w:lang w:val="ka-GE"/>
              </w:rPr>
              <w:t>ძალიან იშვიათი</w:t>
            </w:r>
          </w:p>
        </w:tc>
        <w:tc>
          <w:tcPr>
            <w:tcW w:w="6095" w:type="dxa"/>
          </w:tcPr>
          <w:p w14:paraId="1B7BF562" w14:textId="77777777" w:rsidR="00F96EB4" w:rsidRPr="002C0BEB" w:rsidRDefault="002F678F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Cs w:val="24"/>
                <w:lang w:val="ka-GE"/>
              </w:rPr>
              <w:t>ანაფილაქსიური რეაქცია, რთული ფორმის ჩათვლით</w:t>
            </w:r>
          </w:p>
        </w:tc>
      </w:tr>
      <w:tr w:rsidR="00F96EB4" w:rsidRPr="002C0BEB" w14:paraId="13BB2A8B" w14:textId="77777777" w:rsidTr="00121835">
        <w:tc>
          <w:tcPr>
            <w:tcW w:w="10201" w:type="dxa"/>
            <w:gridSpan w:val="2"/>
          </w:tcPr>
          <w:p w14:paraId="6822A259" w14:textId="77777777" w:rsidR="00F96EB4" w:rsidRPr="002C0BEB" w:rsidRDefault="003B3E78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b/>
                <w:noProof/>
                <w:szCs w:val="24"/>
                <w:lang w:val="ka-GE"/>
              </w:rPr>
              <w:t>მეტაბოლიზმისა და კვების დარღვევები</w:t>
            </w:r>
          </w:p>
        </w:tc>
      </w:tr>
      <w:tr w:rsidR="00F96EB4" w:rsidRPr="002C0BEB" w14:paraId="5BD2260E" w14:textId="77777777" w:rsidTr="00121835">
        <w:tc>
          <w:tcPr>
            <w:tcW w:w="4106" w:type="dxa"/>
          </w:tcPr>
          <w:p w14:paraId="0E5BD3CA" w14:textId="77777777" w:rsidR="00F96EB4" w:rsidRPr="002C0BEB" w:rsidRDefault="008D4FCB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Cs w:val="24"/>
                <w:lang w:val="ka-GE"/>
              </w:rPr>
              <w:t>იშვიათი</w:t>
            </w:r>
          </w:p>
        </w:tc>
        <w:tc>
          <w:tcPr>
            <w:tcW w:w="6095" w:type="dxa"/>
          </w:tcPr>
          <w:p w14:paraId="73D8B62F" w14:textId="77777777" w:rsidR="00F96EB4" w:rsidRPr="002C0BEB" w:rsidRDefault="00750360" w:rsidP="0060337D">
            <w:pPr>
              <w:pStyle w:val="Text"/>
              <w:spacing w:before="0"/>
              <w:rPr>
                <w:rFonts w:ascii="Sylfaen" w:hAnsi="Sylfaen"/>
                <w:iCs/>
                <w:noProof/>
                <w:szCs w:val="24"/>
                <w:lang w:val="ka-GE"/>
              </w:rPr>
            </w:pP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ალკოჰოლის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="00CE49F2"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აუტანლობა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(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უმეტეს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შემთხვევაში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,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სიწითლე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,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გამონაყარი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,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წვა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,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ქავილი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ან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შეშუპება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="00B15897"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განვითარდა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ალკოჰოლის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მიღებიდან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Pr="002C0BEB">
              <w:rPr>
                <w:rStyle w:val="rynqvb"/>
                <w:rFonts w:ascii="Sylfaen" w:hAnsi="Sylfaen" w:cs="Sylfaen"/>
                <w:noProof/>
                <w:szCs w:val="24"/>
                <w:lang w:val="ka-GE"/>
              </w:rPr>
              <w:t>მალევე</w:t>
            </w:r>
            <w:r w:rsidRPr="002C0BEB">
              <w:rPr>
                <w:rStyle w:val="rynqvb"/>
                <w:rFonts w:ascii="Sylfaen" w:hAnsi="Sylfaen"/>
                <w:noProof/>
                <w:szCs w:val="24"/>
                <w:lang w:val="ka-GE"/>
              </w:rPr>
              <w:t>)</w:t>
            </w:r>
          </w:p>
        </w:tc>
      </w:tr>
      <w:tr w:rsidR="00F96EB4" w:rsidRPr="002C0BEB" w14:paraId="3F759752" w14:textId="77777777" w:rsidTr="00121835">
        <w:tc>
          <w:tcPr>
            <w:tcW w:w="10201" w:type="dxa"/>
            <w:gridSpan w:val="2"/>
          </w:tcPr>
          <w:p w14:paraId="280AC007" w14:textId="77777777" w:rsidR="00F96EB4" w:rsidRPr="002C0BEB" w:rsidRDefault="0070229D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კანისა და კანქვეშა ქსოვილის დარღვევები</w:t>
            </w:r>
          </w:p>
        </w:tc>
      </w:tr>
      <w:tr w:rsidR="00F96EB4" w:rsidRPr="002C0BEB" w14:paraId="215112C3" w14:textId="77777777" w:rsidTr="00121835">
        <w:tc>
          <w:tcPr>
            <w:tcW w:w="4106" w:type="dxa"/>
          </w:tcPr>
          <w:p w14:paraId="1D3B0945" w14:textId="77777777" w:rsidR="00F96EB4" w:rsidRPr="002C0BEB" w:rsidRDefault="00533765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ხშირი</w:t>
            </w:r>
          </w:p>
        </w:tc>
        <w:tc>
          <w:tcPr>
            <w:tcW w:w="6095" w:type="dxa"/>
          </w:tcPr>
          <w:p w14:paraId="7CDF65CB" w14:textId="77777777" w:rsidR="00F96EB4" w:rsidRPr="002C0BEB" w:rsidRDefault="00FC7877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კანის ინფექციები (ფოლიკულიტი)</w:t>
            </w:r>
          </w:p>
        </w:tc>
      </w:tr>
      <w:tr w:rsidR="00F96EB4" w:rsidRPr="002C0BEB" w14:paraId="496572A9" w14:textId="77777777" w:rsidTr="00121835">
        <w:tc>
          <w:tcPr>
            <w:tcW w:w="4106" w:type="dxa"/>
          </w:tcPr>
          <w:p w14:paraId="3E49799D" w14:textId="77777777" w:rsidR="00F96EB4" w:rsidRPr="002C0BEB" w:rsidRDefault="00665965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არახშირი</w:t>
            </w:r>
          </w:p>
        </w:tc>
        <w:tc>
          <w:tcPr>
            <w:tcW w:w="6095" w:type="dxa"/>
          </w:tcPr>
          <w:p w14:paraId="23CB4D69" w14:textId="77777777" w:rsidR="00F96EB4" w:rsidRPr="002C0BEB" w:rsidRDefault="003622AC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ფურუნკული, იმპეტიგო, მარტივი ჰერპესი, ჰერპესი, ზოსტერი, მარტივი ჰერპეს</w:t>
            </w:r>
            <w:r w:rsidR="00032BE7"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 xml:space="preserve"> დერმატიტი (ეგზემა ჰერპეტიკუმი), კანის პაპილომა და მდგომარეობ</w:t>
            </w:r>
            <w:r w:rsidR="009F16DE"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ის გაუარესება</w:t>
            </w:r>
          </w:p>
        </w:tc>
      </w:tr>
      <w:tr w:rsidR="00F96EB4" w:rsidRPr="002C0BEB" w14:paraId="67E379E0" w14:textId="77777777" w:rsidTr="00121835">
        <w:tc>
          <w:tcPr>
            <w:tcW w:w="4106" w:type="dxa"/>
          </w:tcPr>
          <w:p w14:paraId="53EC9C1A" w14:textId="77777777" w:rsidR="00F96EB4" w:rsidRPr="002C0BEB" w:rsidRDefault="000F0DDB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იშვიათი</w:t>
            </w:r>
          </w:p>
        </w:tc>
        <w:tc>
          <w:tcPr>
            <w:tcW w:w="6095" w:type="dxa"/>
          </w:tcPr>
          <w:p w14:paraId="372D8210" w14:textId="77777777" w:rsidR="00F96EB4" w:rsidRPr="002C0BEB" w:rsidRDefault="001E0530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ალერგიული რეაქციები (მაგ. გამონაყარი, ჭინჭრის ციება, ანგიონევროზული შეშუპება), კანის ფერის შეცვლა (მაგ. ჰიპოპიგმენტაცია, ჰიპერპიგმენტაცია)</w:t>
            </w:r>
          </w:p>
        </w:tc>
      </w:tr>
      <w:tr w:rsidR="00F96EB4" w:rsidRPr="002C0BEB" w14:paraId="29AB99AB" w14:textId="77777777" w:rsidTr="00121835">
        <w:tc>
          <w:tcPr>
            <w:tcW w:w="10201" w:type="dxa"/>
            <w:gridSpan w:val="2"/>
          </w:tcPr>
          <w:p w14:paraId="1CC76CF4" w14:textId="77777777" w:rsidR="00F96EB4" w:rsidRPr="002C0BEB" w:rsidRDefault="00821F31" w:rsidP="0060337D">
            <w:pPr>
              <w:jc w:val="both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ზოგადი დარღვევები და პირობები გამოყენების ადგილას</w:t>
            </w:r>
          </w:p>
        </w:tc>
      </w:tr>
      <w:tr w:rsidR="00F96EB4" w:rsidRPr="002C0BEB" w14:paraId="07FF0155" w14:textId="77777777" w:rsidTr="00121835">
        <w:tc>
          <w:tcPr>
            <w:tcW w:w="4106" w:type="dxa"/>
          </w:tcPr>
          <w:p w14:paraId="37330479" w14:textId="77777777" w:rsidR="00F96EB4" w:rsidRPr="002C0BEB" w:rsidRDefault="00806A47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ძალიან ხშირი</w:t>
            </w:r>
          </w:p>
        </w:tc>
        <w:tc>
          <w:tcPr>
            <w:tcW w:w="6095" w:type="dxa"/>
          </w:tcPr>
          <w:p w14:paraId="3B3F5725" w14:textId="77777777" w:rsidR="00F96EB4" w:rsidRPr="002C0BEB" w:rsidRDefault="00763B1E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წვის შეგრძნება გამოყენების ადგილას</w:t>
            </w:r>
          </w:p>
        </w:tc>
      </w:tr>
      <w:tr w:rsidR="00F96EB4" w:rsidRPr="002C0BEB" w14:paraId="7FE4DFD7" w14:textId="77777777" w:rsidTr="00121835">
        <w:tc>
          <w:tcPr>
            <w:tcW w:w="4106" w:type="dxa"/>
          </w:tcPr>
          <w:p w14:paraId="5CE2DA04" w14:textId="77777777" w:rsidR="00F96EB4" w:rsidRPr="002C0BEB" w:rsidRDefault="00367D94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ხშირი</w:t>
            </w:r>
          </w:p>
        </w:tc>
        <w:tc>
          <w:tcPr>
            <w:tcW w:w="6095" w:type="dxa"/>
          </w:tcPr>
          <w:p w14:paraId="05D2B7E1" w14:textId="77777777" w:rsidR="00F96EB4" w:rsidRPr="002C0BEB" w:rsidRDefault="00672A77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რეაქციები გამოყენების ადგილას</w:t>
            </w:r>
            <w:r w:rsidR="00F96EB4"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 xml:space="preserve"> </w:t>
            </w:r>
            <w:r w:rsidR="004150F3"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(გაღიზიანება, ქავილი და ერითემა)</w:t>
            </w:r>
          </w:p>
        </w:tc>
      </w:tr>
      <w:tr w:rsidR="00F96EB4" w:rsidRPr="002C0BEB" w14:paraId="6481F14F" w14:textId="77777777" w:rsidTr="00121835">
        <w:tc>
          <w:tcPr>
            <w:tcW w:w="4106" w:type="dxa"/>
          </w:tcPr>
          <w:p w14:paraId="0A6C48A6" w14:textId="77777777" w:rsidR="00F96EB4" w:rsidRPr="002C0BEB" w:rsidRDefault="006C684C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არახშირი</w:t>
            </w:r>
          </w:p>
        </w:tc>
        <w:tc>
          <w:tcPr>
            <w:tcW w:w="6095" w:type="dxa"/>
          </w:tcPr>
          <w:p w14:paraId="772BC06C" w14:textId="77777777" w:rsidR="00F96EB4" w:rsidRPr="002C0BEB" w:rsidRDefault="00BD5431" w:rsidP="0060337D">
            <w:pPr>
              <w:jc w:val="both"/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</w:pPr>
            <w:r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>დარღვევები გამოყენების ადგილას</w:t>
            </w:r>
            <w:r w:rsidR="00F96EB4" w:rsidRPr="002C0BEB">
              <w:rPr>
                <w:rFonts w:ascii="Sylfaen" w:hAnsi="Sylfaen"/>
                <w:iCs/>
                <w:noProof/>
                <w:sz w:val="24"/>
                <w:szCs w:val="24"/>
                <w:lang w:val="ka-GE"/>
              </w:rPr>
              <w:t xml:space="preserve"> </w:t>
            </w:r>
            <w:r w:rsidR="004C0F96" w:rsidRPr="002C0BEB">
              <w:rPr>
                <w:rStyle w:val="rynqvb"/>
                <w:rFonts w:ascii="Sylfaen" w:hAnsi="Sylfaen"/>
                <w:noProof/>
                <w:sz w:val="24"/>
                <w:szCs w:val="24"/>
                <w:lang w:val="ka-GE"/>
              </w:rPr>
              <w:t>(გამონაყარი, ტკივილი, პარესთეზია, დესკვამაცია, სიმშრალე, შეშუპება)</w:t>
            </w:r>
          </w:p>
        </w:tc>
      </w:tr>
    </w:tbl>
    <w:p w14:paraId="68134A20" w14:textId="77777777" w:rsidR="0028237D" w:rsidRPr="002C0BEB" w:rsidRDefault="0028237D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470F9314" w14:textId="77777777" w:rsidR="00C801EB" w:rsidRPr="002C0BEB" w:rsidRDefault="00C801EB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პედიატრიული პოპულაცია</w:t>
      </w:r>
    </w:p>
    <w:p w14:paraId="3B8A3DDB" w14:textId="77777777" w:rsidR="007A2170" w:rsidRPr="002C0BEB" w:rsidRDefault="005F0A95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კლინიკური უსაფრთხოების მონაცემთა ბაზა 3 თვის და უფროსი ასაკის ბავშვებისთვის, რომლებიც მკურნალობენ პიმკროლიმუსის 1% კრემით, ვრცელია და მოიცავს გრძელვადიან უსაფრთხოების მონაცემებს 5 წლამდე.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უსაფრთხოების პროფილები ახალშობილებში, ბავშვებსა და მოზარდებში შედარებადი იყო დაფიქსირებული გვერდითი რეაქციების ტიპსა და სიხშირეში.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ყველაზე ხშირად გამოვლენილი გვერდითი რეაქციები იყო რეაქციები </w:t>
      </w:r>
      <w:r w:rsidR="009F45F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გამოყენების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ადგილზე.</w:t>
      </w:r>
      <w:r w:rsidR="009F45F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173E15C" w14:textId="77777777" w:rsidR="00121835" w:rsidRPr="002C0BEB" w:rsidRDefault="00121835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1599685B" w14:textId="77777777" w:rsidR="007A2170" w:rsidRPr="002C0BEB" w:rsidRDefault="007A2170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4.9 ზედოზირება</w:t>
      </w:r>
    </w:p>
    <w:p w14:paraId="39452E0C" w14:textId="77777777" w:rsidR="007A2170" w:rsidRPr="002C0BEB" w:rsidRDefault="000C3BC5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ელიდელთან დოზის გადაჭარბების გამოცდილება არ ყოფილა.</w:t>
      </w:r>
    </w:p>
    <w:p w14:paraId="2E0444AC" w14:textId="77777777" w:rsidR="00F71463" w:rsidRPr="002C0BEB" w:rsidRDefault="00F71463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74CB4ACE" w14:textId="77777777" w:rsidR="005B759F" w:rsidRPr="002C0BEB" w:rsidRDefault="00F67F17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5. ფარმაკოლოგიური თვისებები </w:t>
      </w:r>
    </w:p>
    <w:p w14:paraId="3601B640" w14:textId="77777777" w:rsidR="00F67F17" w:rsidRPr="002C0BEB" w:rsidRDefault="00F67F17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5.1 ფარმაკოდინამიკური თვისებებ</w:t>
      </w:r>
      <w:r w:rsidRPr="002C0BEB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</w:p>
    <w:p w14:paraId="7AB98100" w14:textId="77777777" w:rsidR="00BC51B5" w:rsidRPr="002C0BEB" w:rsidRDefault="007639CB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ფარმაკოთერაპიული ჯგუფი: სხვა დერმატოლოგიური პრეპარატები.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დერმატიტის სამკურნალო საშუალებები, კორტიკოსტეროიდების </w:t>
      </w:r>
      <w:r w:rsidR="00FA6B31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გარდა</w:t>
      </w:r>
      <w:r w:rsidR="00EA7CF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ათქ კოდი: D11AH02.</w:t>
      </w:r>
    </w:p>
    <w:p w14:paraId="3996CF57" w14:textId="77777777" w:rsidR="00345B04" w:rsidRPr="002C0BEB" w:rsidRDefault="00810213" w:rsidP="00EA1C93">
      <w:pPr>
        <w:spacing w:after="0" w:line="240" w:lineRule="auto"/>
        <w:jc w:val="both"/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მოქმედების მექანიზმ</w:t>
      </w:r>
      <w:r w:rsidRPr="002C0BEB">
        <w:rPr>
          <w:rStyle w:val="rynqvb"/>
          <w:rFonts w:ascii="Sylfaen" w:hAnsi="Sylfaen" w:cs="Sylfaen"/>
          <w:noProof/>
          <w:sz w:val="24"/>
          <w:szCs w:val="24"/>
          <w:u w:val="single"/>
          <w:lang w:val="ka-GE"/>
        </w:rPr>
        <w:t>ი</w:t>
      </w:r>
    </w:p>
    <w:p w14:paraId="699D1DA3" w14:textId="77777777" w:rsidR="00810213" w:rsidRPr="002C0BEB" w:rsidRDefault="003C1153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>პიმეკროლიმუსი არის ლიპოფილური ანთების საწინააღმდეგო ასკომიცინის მაკროლაქტამის წარმოებული და უჯრედის სელექციური ინჰიბიტორი, რომელიც აწარმოებს და გამოყოფს პრო-ანთებითი ციტოკინებს. პიმეკროლიმუსი მაღალი აფინურობით უკავშირდება მაკროფილინ-12-ს და აინჰიბირებს კალციუმზე დამოკიდებულ ფოსფატაზა კალცინევრინს.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შედეგად, ის ბლოკავს ანთებითი ციტოკინების სინთეზს T უჯრედებში.</w:t>
      </w:r>
    </w:p>
    <w:p w14:paraId="4B86D8AC" w14:textId="77777777" w:rsidR="00AE5E5D" w:rsidRPr="002C0BEB" w:rsidRDefault="007224E1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u w:val="single"/>
          <w:lang w:val="ka-GE"/>
        </w:rPr>
        <w:t>ფარმაკოდინამიკური ეფექტები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F330BE3" w14:textId="77777777" w:rsidR="006D25BE" w:rsidRPr="002C0BEB" w:rsidRDefault="007224E1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პიმეკროლიმუსი ავლენს მაღალ ანთების საწინააღმდეგო აქტივობას </w:t>
      </w:r>
      <w:r w:rsidR="00981E9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ცხოველურ მოდელებში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კან</w:t>
      </w:r>
      <w:r w:rsidR="00981E9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ზე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ანთების ადგილობრივი და სისტემური გამოყენების შემდეგ.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ალერგიული კონტაქტური დერმატიტის ღორის მოდელში ადგილობრივი პიმეკროლიმუსი ისეთივე ეფექტურია, როგორც ძლიერი კორტიკოსტეროიდები.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კორტიკოსტეროიდებისგან განსხვავებით, პიმეკროლიმუსი არ იწვევს კანის ატროფიას ღორებში და არ მოქმედებს ლანგერჰანსის უჯრედებზე თაგვების კანში.</w:t>
      </w:r>
    </w:p>
    <w:p w14:paraId="345BCF4B" w14:textId="77777777" w:rsidR="00DA5FA2" w:rsidRPr="002C0BEB" w:rsidRDefault="00DA5FA2" w:rsidP="00EA1C93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</w:p>
    <w:p w14:paraId="412C4331" w14:textId="77777777" w:rsidR="00024BB7" w:rsidRPr="002C0BEB" w:rsidRDefault="00024BB7" w:rsidP="00EA1C93">
      <w:pPr>
        <w:spacing w:after="0" w:line="240" w:lineRule="auto"/>
        <w:jc w:val="both"/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5.2 ფარმაკოკინეტიკური თვისებებ</w:t>
      </w:r>
      <w:r w:rsidRPr="002C0BEB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</w:p>
    <w:p w14:paraId="5A1A8B90" w14:textId="77777777" w:rsidR="00466445" w:rsidRPr="002C0BEB" w:rsidRDefault="000E06A3" w:rsidP="00EA1C93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u w:val="single"/>
          <w:lang w:val="ka-GE"/>
        </w:rPr>
      </w:pPr>
      <w:r w:rsidRPr="002C0BEB">
        <w:rPr>
          <w:rFonts w:ascii="Sylfaen" w:hAnsi="Sylfaen"/>
          <w:i/>
          <w:noProof/>
          <w:sz w:val="24"/>
          <w:szCs w:val="24"/>
          <w:u w:val="single"/>
          <w:lang w:val="ka-GE"/>
        </w:rPr>
        <w:t>განაწილება</w:t>
      </w:r>
    </w:p>
    <w:p w14:paraId="4768E835" w14:textId="77777777" w:rsidR="000E06A3" w:rsidRPr="002C0BEB" w:rsidRDefault="00963606" w:rsidP="00EA1C93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კანის სელექციურობის შესაბამისად, ადგილობრივი გამოყენების შემდეგ, პიმეკროლიმუსის დონე სისხლში ძალიან დაბალია.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ამიტომ, პიმეკროლიმუსის მეტაბოლიზმი ვერ განისაზღვრა ადგილობრივი გამოყენების შემდეგ. პლაზმის ცილებთან შეკავშირების კვლევებმა აჩვენა, რომ პლაზმაში პიმეკროლიმუსის 99,6% უკავშირდება ცილებს.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პლაზმაში პიმეკროლიმუსის ძირითადი ნაწილი დაკავშირებულია სხვადასხვა ლიპოპროტეინებთან.</w:t>
      </w:r>
    </w:p>
    <w:p w14:paraId="1EA10B61" w14:textId="77777777" w:rsidR="00854427" w:rsidRPr="002C0BEB" w:rsidRDefault="00AE5FFF" w:rsidP="00EA1C9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2C0BEB">
        <w:rPr>
          <w:rFonts w:ascii="Sylfaen" w:hAnsi="Sylfaen"/>
          <w:i/>
          <w:noProof/>
          <w:sz w:val="24"/>
          <w:szCs w:val="24"/>
          <w:u w:val="single"/>
          <w:lang w:val="ka-GE"/>
        </w:rPr>
        <w:t>ბიოტრანსფორმაცია</w:t>
      </w:r>
    </w:p>
    <w:p w14:paraId="233E3EB7" w14:textId="77777777" w:rsidR="00AE5FFF" w:rsidRPr="002C0BEB" w:rsidRDefault="0002093A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ჯანმრთელ მოხალისეებში რადიო მარკირებული პიმეკროლიმუსის ერთჯერადი პერორალური მიღების შემდეგ, უცვლელი პიმეკროლიმუსი წარმოადგენდა წამლის ძირითად კომპონენტს სისხლში და </w:t>
      </w:r>
      <w:r w:rsidR="00091D8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აღინიშნა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შუალედური პოლარობის მრავალი უმნიშვნელო მეტაბოლიტი, რომლებიც, როგორც ჩანს, იყვნენ O-დემეთილაციისა და ოქსიგენაციის პროდუქტები. ადამიანის კანში პიმეკროლიმუსის მეტაბოლიზმი ინ ვიტრო არ დაფიქსირებულა.</w:t>
      </w:r>
      <w:r w:rsidR="0090452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25F8A7FB" w14:textId="77777777" w:rsidR="00257833" w:rsidRPr="002C0BEB" w:rsidRDefault="00257833" w:rsidP="0002093A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u w:val="single"/>
          <w:lang w:val="ka-GE"/>
        </w:rPr>
      </w:pPr>
      <w:r w:rsidRPr="002C0BEB">
        <w:rPr>
          <w:rFonts w:ascii="Sylfaen" w:hAnsi="Sylfaen"/>
          <w:i/>
          <w:noProof/>
          <w:sz w:val="24"/>
          <w:szCs w:val="24"/>
          <w:u w:val="single"/>
          <w:lang w:val="ka-GE"/>
        </w:rPr>
        <w:t>ელიმინაცია</w:t>
      </w:r>
    </w:p>
    <w:p w14:paraId="4F51162F" w14:textId="77777777" w:rsidR="0070567F" w:rsidRPr="002C0BEB" w:rsidRDefault="00C06F1A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პერორალური მიღების შემდეგ, აქტიურ ნივთიერებასთან დაკავშირებული რადიოაქტიურობა გამოიყოფა ძირითადად განავლით (78.4%) და მხოლოდ მცირე ნაწილი (2.5%) </w:t>
      </w:r>
      <w:r w:rsidR="009A25B0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აღინიშნა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შარდში.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რადიოაქტიურობის მთლიანი საშუალო </w:t>
      </w:r>
      <w:r w:rsidR="00B86E92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დონე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6019D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შეადგენდა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80.9%.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ძირითადი ნაერთი არ იყო გამოვლენილი შარდში და განავალში რადიოაქტიურობის 1%-ზე ნაკლები </w:t>
      </w:r>
      <w:r w:rsidR="006D3125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აღინიშნა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პიმეკროლიმუსი</w:t>
      </w:r>
      <w:r w:rsidR="000742F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უცვლელი სახით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.</w:t>
      </w:r>
      <w:r w:rsidR="00B165ED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4CCE648" w14:textId="77777777" w:rsidR="005D6463" w:rsidRPr="002C0BEB" w:rsidRDefault="005D6463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73AB56DB" w14:textId="77777777" w:rsidR="00B76EB3" w:rsidRPr="002C0BEB" w:rsidRDefault="00B76EB3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5.3 მონაცემებ</w:t>
      </w:r>
      <w:r w:rsidRPr="002C0BEB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>ი</w:t>
      </w:r>
      <w:r w:rsidR="001C75B4" w:rsidRPr="002C0BEB">
        <w:rPr>
          <w:rStyle w:val="rynqvb"/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1C75B4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პრეკლინიკური უსაფრთხოების შესახებ</w:t>
      </w:r>
    </w:p>
    <w:p w14:paraId="0F3015C2" w14:textId="77777777" w:rsidR="002A15A6" w:rsidRPr="002C0BEB" w:rsidRDefault="00536AFC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განმეორებითი დოზი</w:t>
      </w:r>
      <w:r w:rsidR="007F0992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თ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ტოქსიკურობის, რეპროდუქციული ტოქსიკურობის და კანცეროგენურობის ტრადიციულმა კვლევებმა პერორალურად მიღებისას აჩვენა ეფექტები</w:t>
      </w:r>
      <w:r w:rsidR="00C75D50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, რომლებიც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586CE1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ბევრად აღემატებოდა ადამიანებში გამოყენებულ დოზ</w:t>
      </w:r>
      <w:r w:rsidR="00FF413E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ებს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, ამიტომ </w:t>
      </w:r>
      <w:r w:rsidR="0098639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ეს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კლინიკურ</w:t>
      </w:r>
      <w:r w:rsidR="00986396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ად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უმნიშვნელო იყო.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პიმეკროლიმუსს არ გააჩნდა გენოტოქსიური, ანტიგენური, ფოტოტოქსიკური, ფოტოალერგიული ან ფოტოკარცინოგენული პოტენციალი.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="00AB012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კანზე გამოყენებ</w:t>
      </w:r>
      <w:r w:rsidR="00205B7C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</w:t>
      </w:r>
      <w:r w:rsidR="00AB012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="00433428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ვირთხებსა და კურდღლებში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ემბრიონის/ნაყოფის განვითარების კვლევებში და თაგვებსა და ვირთხებში კანცეროგენურობის კვლევებში უარყოფითი იყო.</w:t>
      </w:r>
      <w:r w:rsidR="00BA72E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2BF733E" w14:textId="77777777" w:rsidR="00724D35" w:rsidRPr="002C0BEB" w:rsidRDefault="00724D35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</w:p>
    <w:p w14:paraId="45B4DB1A" w14:textId="77777777" w:rsidR="007A4337" w:rsidRPr="002C0BEB" w:rsidRDefault="007A4337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6. ფარმაცევტული მონაცემები</w:t>
      </w:r>
    </w:p>
    <w:p w14:paraId="46465C85" w14:textId="77777777" w:rsidR="008055D4" w:rsidRPr="002C0BEB" w:rsidRDefault="007A4337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6.1 დამხმარე ნივთიერებების </w:t>
      </w:r>
      <w:r w:rsidR="00D179E6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ჩამონათვალი</w:t>
      </w:r>
    </w:p>
    <w:p w14:paraId="14583F9F" w14:textId="77777777" w:rsidR="004F4D05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საშუალო ჯაჭვის ტრიგლიცერიდები </w:t>
      </w:r>
    </w:p>
    <w:p w14:paraId="188D806B" w14:textId="77777777" w:rsidR="004F4D05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ოლეილის </w:t>
      </w:r>
      <w:r w:rsidR="00293283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სპირტი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784518E" w14:textId="77777777" w:rsidR="004F4D05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პროპილენ გლიკოლი (E 1520)</w:t>
      </w:r>
    </w:p>
    <w:p w14:paraId="7A396F67" w14:textId="77777777" w:rsidR="004F4D05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სტეარილის </w:t>
      </w:r>
      <w:r w:rsidR="004F4D05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სპირტი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0873B2D0" w14:textId="77777777" w:rsidR="004F4D05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ცეტილის სპირტი </w:t>
      </w:r>
    </w:p>
    <w:p w14:paraId="599F9AB8" w14:textId="77777777" w:rsidR="00CD5572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lastRenderedPageBreak/>
        <w:t xml:space="preserve">მონო და დი-გლიცერიდები </w:t>
      </w:r>
    </w:p>
    <w:p w14:paraId="5AFF77C8" w14:textId="77777777" w:rsidR="00CD5572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ნატრიუმის ცეტოსტეარილის სულფატი </w:t>
      </w:r>
    </w:p>
    <w:p w14:paraId="15A325ED" w14:textId="77777777" w:rsidR="00CD5572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ბენზილის სპირტი </w:t>
      </w:r>
    </w:p>
    <w:p w14:paraId="2EF2A8A6" w14:textId="77777777" w:rsidR="00CD5572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ლიმონის მჟავა უწყლო</w:t>
      </w:r>
    </w:p>
    <w:p w14:paraId="2E3CC0F2" w14:textId="77777777" w:rsidR="00CD5572" w:rsidRPr="002C0BEB" w:rsidRDefault="00FE7F41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ნატრიუმის ჰიდროქსიდი </w:t>
      </w:r>
    </w:p>
    <w:p w14:paraId="6BC2D92E" w14:textId="77777777" w:rsidR="005E00B8" w:rsidRPr="002C0BEB" w:rsidRDefault="00CD5572" w:rsidP="0002093A">
      <w:pPr>
        <w:spacing w:after="0" w:line="240" w:lineRule="auto"/>
        <w:jc w:val="both"/>
        <w:rPr>
          <w:rStyle w:val="rynqvb"/>
          <w:rFonts w:ascii="Sylfaen" w:hAnsi="Sylfaen" w:cs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გასუფთავებული </w:t>
      </w:r>
      <w:r w:rsidR="00FE7F41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წყალ</w:t>
      </w:r>
      <w:r w:rsidR="00FE7F41" w:rsidRPr="002C0BEB">
        <w:rPr>
          <w:rStyle w:val="rynqvb"/>
          <w:rFonts w:ascii="Sylfaen" w:hAnsi="Sylfaen" w:cs="Sylfaen"/>
          <w:noProof/>
          <w:sz w:val="24"/>
          <w:szCs w:val="24"/>
          <w:lang w:val="ka-GE"/>
        </w:rPr>
        <w:t>ი</w:t>
      </w:r>
    </w:p>
    <w:p w14:paraId="2D12AEAD" w14:textId="77777777" w:rsidR="00CD3910" w:rsidRPr="002C0BEB" w:rsidRDefault="00CD3910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0C3EB27" w14:textId="77777777" w:rsidR="00CD3910" w:rsidRPr="002C0BEB" w:rsidRDefault="009A1B4B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6.2 შეუთავსებლობა </w:t>
      </w:r>
    </w:p>
    <w:p w14:paraId="37211BDF" w14:textId="77777777" w:rsidR="009A1B4B" w:rsidRPr="002C0BEB" w:rsidRDefault="009A1B4B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2C0BEB">
        <w:rPr>
          <w:rFonts w:ascii="Sylfaen" w:hAnsi="Sylfaen"/>
          <w:noProof/>
          <w:sz w:val="24"/>
          <w:szCs w:val="24"/>
          <w:lang w:val="ka-GE"/>
        </w:rPr>
        <w:t xml:space="preserve">არ აღინიშნება. </w:t>
      </w:r>
    </w:p>
    <w:p w14:paraId="0C3718A6" w14:textId="77777777" w:rsidR="006B6FAC" w:rsidRPr="002C0BEB" w:rsidRDefault="006B6FAC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8B95B97" w14:textId="77777777" w:rsidR="000A0A1A" w:rsidRPr="002C0BEB" w:rsidRDefault="000A0A1A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6.3 შენახვის ვადა </w:t>
      </w:r>
    </w:p>
    <w:p w14:paraId="39FB8E0B" w14:textId="77777777" w:rsidR="006B6FAC" w:rsidRPr="002C0BEB" w:rsidRDefault="000A0A1A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2 წელი.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კონტეინერის პირველი გახსნის შემდეგ: 12 თვე.</w:t>
      </w:r>
    </w:p>
    <w:p w14:paraId="0284FBD7" w14:textId="77777777" w:rsidR="000A0A1A" w:rsidRPr="002C0BEB" w:rsidRDefault="000A0A1A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2BE114A" w14:textId="77777777" w:rsidR="005450B0" w:rsidRPr="002C0BEB" w:rsidRDefault="005450B0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6.4 განსაკუთრებული სიფრთხილის ზომები შენახვისას </w:t>
      </w:r>
    </w:p>
    <w:p w14:paraId="10AA27D8" w14:textId="77777777" w:rsidR="000A0A1A" w:rsidRPr="002C0BEB" w:rsidRDefault="005450B0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ინახება არაუმეტეს 25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sym w:font="Symbol" w:char="F0B0"/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C</w:t>
      </w:r>
      <w:r w:rsidR="00743D19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ტემპერატურაზე.</w:t>
      </w:r>
      <w:r w:rsidRPr="002C0BEB">
        <w:rPr>
          <w:rStyle w:val="hwtze"/>
          <w:rFonts w:ascii="Sylfaen" w:hAnsi="Sylfaen"/>
          <w:noProof/>
          <w:sz w:val="24"/>
          <w:szCs w:val="24"/>
          <w:lang w:val="ka-GE"/>
        </w:rPr>
        <w:t xml:space="preserve"> 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არ გაყინოთ.</w:t>
      </w:r>
    </w:p>
    <w:p w14:paraId="6AC7396C" w14:textId="77777777" w:rsidR="00E006FF" w:rsidRPr="002C0BEB" w:rsidRDefault="00E006FF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გარეგნული სახე და შეფუთვის შემცველობა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77F2C7A9" w14:textId="77777777" w:rsidR="009B62D3" w:rsidRPr="002C0BEB" w:rsidRDefault="00E006FF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ალუმინის </w:t>
      </w:r>
      <w:r w:rsidR="00472A3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ტუბი</w:t>
      </w: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 ფენოლ-ეპოქსიდური დამცავი შიდა ლაქით და პოლიპროპილენის ხრახნიანი თავსახურით. </w:t>
      </w:r>
    </w:p>
    <w:p w14:paraId="37E2A019" w14:textId="77777777" w:rsidR="000F3084" w:rsidRPr="002C0BEB" w:rsidRDefault="009B62D3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ტუბები შეიცავენ </w:t>
      </w:r>
      <w:r w:rsidR="00E006FF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5, 15, 30, 60 და 100 გრამ</w:t>
      </w:r>
      <w:r w:rsidR="005F76DB"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ს.</w:t>
      </w:r>
    </w:p>
    <w:p w14:paraId="0C24A2BF" w14:textId="77777777" w:rsidR="000D08B7" w:rsidRPr="002C0BEB" w:rsidRDefault="00E006FF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შეიძლება ყველა ზომის შეფუთვა არ იყოს გაყიდვაში.</w:t>
      </w:r>
    </w:p>
    <w:p w14:paraId="74842DAF" w14:textId="77777777" w:rsidR="003A2DEB" w:rsidRDefault="003A2DEB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B6B54C1" w14:textId="77777777" w:rsidR="00455EB2" w:rsidRPr="002C02BD" w:rsidRDefault="00455EB2" w:rsidP="00455EB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2C02BD">
        <w:rPr>
          <w:rFonts w:ascii="Sylfaen" w:hAnsi="Sylfaen"/>
          <w:b/>
          <w:bCs/>
          <w:sz w:val="24"/>
          <w:szCs w:val="24"/>
          <w:lang w:val="ka-GE"/>
        </w:rPr>
        <w:t>გაცემის წესი:</w:t>
      </w:r>
    </w:p>
    <w:p w14:paraId="2F9F3101" w14:textId="77777777" w:rsidR="00455EB2" w:rsidRPr="002C02BD" w:rsidRDefault="00455EB2" w:rsidP="00455EB2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2C02BD">
        <w:rPr>
          <w:rFonts w:ascii="Sylfaen" w:hAnsi="Sylfaen" w:cs="Sylfaen"/>
          <w:bCs/>
          <w:noProof/>
          <w:lang w:val="ka-GE"/>
        </w:rPr>
        <w:t>ფარმაცევტული</w:t>
      </w:r>
      <w:r w:rsidRPr="002C02BD">
        <w:rPr>
          <w:rFonts w:ascii="Sylfaen" w:hAnsi="Sylfaen"/>
          <w:bCs/>
          <w:noProof/>
          <w:lang w:val="ka-GE"/>
        </w:rPr>
        <w:t xml:space="preserve"> </w:t>
      </w:r>
      <w:r w:rsidRPr="002C02BD">
        <w:rPr>
          <w:rFonts w:ascii="Sylfaen" w:hAnsi="Sylfaen" w:cs="Sylfaen"/>
          <w:bCs/>
          <w:noProof/>
          <w:lang w:val="ka-GE"/>
        </w:rPr>
        <w:t>პროდუქტის</w:t>
      </w:r>
      <w:r w:rsidRPr="002C02BD">
        <w:rPr>
          <w:rFonts w:ascii="Sylfaen" w:hAnsi="Sylfaen"/>
          <w:bCs/>
          <w:noProof/>
          <w:lang w:val="ka-GE"/>
        </w:rPr>
        <w:t xml:space="preserve"> </w:t>
      </w:r>
      <w:r w:rsidRPr="002C02BD">
        <w:rPr>
          <w:rFonts w:ascii="Sylfaen" w:hAnsi="Sylfaen" w:cs="Sylfaen"/>
          <w:bCs/>
          <w:noProof/>
          <w:lang w:val="ka-GE"/>
        </w:rPr>
        <w:t>ჯგუფი -</w:t>
      </w:r>
      <w:r w:rsidRPr="002C02BD">
        <w:rPr>
          <w:rFonts w:ascii="Sylfaen" w:hAnsi="Sylfaen" w:cs="Sylfaen"/>
          <w:bCs/>
          <w:noProof/>
          <w:lang w:val="en-US"/>
        </w:rPr>
        <w:t xml:space="preserve"> </w:t>
      </w:r>
      <w:r w:rsidRPr="002C02BD">
        <w:rPr>
          <w:rFonts w:ascii="Sylfaen" w:hAnsi="Sylfaen" w:cs="Arial"/>
          <w:bCs/>
        </w:rPr>
        <w:t>III , გაიცემა რეცეპტის გარეშე</w:t>
      </w:r>
    </w:p>
    <w:p w14:paraId="3B7ED2D7" w14:textId="77777777" w:rsidR="00455EB2" w:rsidRPr="002C0BEB" w:rsidRDefault="00455EB2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DD98A8A" w14:textId="77777777" w:rsidR="007615E5" w:rsidRPr="002C0BEB" w:rsidRDefault="00193700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6.6 განსაკუთრებული სიფრთხილის ზომები </w:t>
      </w:r>
      <w:r w:rsidR="00A857B5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უტილიზაციის</w:t>
      </w: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და სხვა </w:t>
      </w:r>
      <w:r w:rsidR="00CB10E2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მანიპულაციების</w:t>
      </w:r>
      <w:r w:rsidR="009515EC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დროს</w:t>
      </w:r>
    </w:p>
    <w:p w14:paraId="6DA47C43" w14:textId="77777777" w:rsidR="003A2DEB" w:rsidRPr="002C0BEB" w:rsidRDefault="00193700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>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შესაბამისად.</w:t>
      </w:r>
    </w:p>
    <w:p w14:paraId="5A401604" w14:textId="77777777" w:rsidR="009F050F" w:rsidRPr="002C0BEB" w:rsidRDefault="009F050F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7998512" w14:textId="77777777" w:rsidR="00FA61CF" w:rsidRPr="002C0BEB" w:rsidRDefault="007E6C98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7. სავაჭრო ნებართვის მფლობელი </w:t>
      </w:r>
    </w:p>
    <w:p w14:paraId="49CD5E17" w14:textId="180581E8" w:rsidR="00016E64" w:rsidRPr="002C0BEB" w:rsidRDefault="00016E64" w:rsidP="00016E64">
      <w:pPr>
        <w:pStyle w:val="BodyText"/>
        <w:jc w:val="both"/>
        <w:rPr>
          <w:rFonts w:ascii="Sylfaen" w:hAnsi="Sylfaen"/>
          <w:noProof/>
          <w:spacing w:val="-1"/>
          <w:sz w:val="24"/>
          <w:szCs w:val="24"/>
          <w:lang w:val="ka-GE"/>
        </w:rPr>
      </w:pPr>
      <w:r w:rsidRPr="002C0BEB">
        <w:rPr>
          <w:rFonts w:ascii="AcadNusx" w:hAnsi="AcadNusx"/>
          <w:noProof/>
          <w:sz w:val="24"/>
          <w:szCs w:val="24"/>
          <w:lang w:val="ka-GE"/>
        </w:rPr>
        <w:t xml:space="preserve">viatris helsqea gmbx lutixer Strase </w:t>
      </w:r>
      <w:r w:rsidRPr="002C0BEB">
        <w:rPr>
          <w:rFonts w:ascii="Sylfaen" w:hAnsi="Sylfaen"/>
          <w:noProof/>
          <w:sz w:val="24"/>
          <w:szCs w:val="24"/>
          <w:lang w:val="ka-GE"/>
        </w:rPr>
        <w:t xml:space="preserve">5, </w:t>
      </w:r>
      <w:r w:rsidRPr="002C0BEB">
        <w:rPr>
          <w:rFonts w:ascii="AcadNusx" w:hAnsi="AcadNusx"/>
          <w:noProof/>
          <w:spacing w:val="-1"/>
          <w:sz w:val="24"/>
          <w:szCs w:val="24"/>
          <w:lang w:val="ka-GE"/>
        </w:rPr>
        <w:t>53842 troisdorfi,</w:t>
      </w:r>
      <w:r w:rsidRPr="002C0BEB">
        <w:rPr>
          <w:rFonts w:ascii="Sylfaen" w:hAnsi="Sylfaen"/>
          <w:noProof/>
          <w:spacing w:val="-1"/>
          <w:sz w:val="24"/>
          <w:szCs w:val="24"/>
          <w:lang w:val="ka-GE"/>
        </w:rPr>
        <w:t xml:space="preserve"> გერმანია</w:t>
      </w:r>
    </w:p>
    <w:p w14:paraId="67FEED48" w14:textId="77777777" w:rsidR="00016E64" w:rsidRPr="002C0BEB" w:rsidRDefault="00016E64" w:rsidP="00016E64">
      <w:pPr>
        <w:jc w:val="both"/>
        <w:rPr>
          <w:iCs/>
          <w:noProof/>
          <w:sz w:val="24"/>
          <w:szCs w:val="24"/>
          <w:lang w:val="ka-GE"/>
        </w:rPr>
      </w:pPr>
      <w:r w:rsidRPr="002C0BEB">
        <w:rPr>
          <w:iCs/>
          <w:noProof/>
          <w:sz w:val="24"/>
          <w:szCs w:val="24"/>
          <w:lang w:val="ka-GE"/>
        </w:rPr>
        <w:t>Viatris Healthcare GmbH Luetticher Strasse 5, 53842 Troisdorf, Germany. </w:t>
      </w:r>
    </w:p>
    <w:p w14:paraId="2C8512E6" w14:textId="77777777" w:rsidR="009F050F" w:rsidRPr="002C0BEB" w:rsidRDefault="009F050F" w:rsidP="0002093A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832BF99" w14:textId="77777777" w:rsidR="006616ED" w:rsidRPr="002C0BEB" w:rsidRDefault="006616ED" w:rsidP="0002093A">
      <w:pPr>
        <w:spacing w:after="0" w:line="240" w:lineRule="auto"/>
        <w:jc w:val="both"/>
        <w:rPr>
          <w:rStyle w:val="rynqvb"/>
          <w:rFonts w:ascii="Sylfaen" w:hAnsi="Sylfaen"/>
          <w:b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10. </w:t>
      </w:r>
      <w:r w:rsidR="00082B44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გამოყენების ინსტრუქციის </w:t>
      </w: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ტექსტის </w:t>
      </w:r>
      <w:r w:rsidR="007C5400"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>გადახედვის</w:t>
      </w:r>
      <w:r w:rsidRPr="002C0BEB">
        <w:rPr>
          <w:rStyle w:val="rynqvb"/>
          <w:rFonts w:ascii="Sylfaen" w:hAnsi="Sylfaen"/>
          <w:b/>
          <w:noProof/>
          <w:sz w:val="24"/>
          <w:szCs w:val="24"/>
          <w:lang w:val="ka-GE"/>
        </w:rPr>
        <w:t xml:space="preserve"> თარიღი </w:t>
      </w:r>
    </w:p>
    <w:p w14:paraId="1DED1358" w14:textId="77777777" w:rsidR="006F16AE" w:rsidRPr="002C0BEB" w:rsidRDefault="00835397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  <w:r w:rsidRPr="002C0BEB">
        <w:rPr>
          <w:rStyle w:val="rynqvb"/>
          <w:rFonts w:ascii="Sylfaen" w:hAnsi="Sylfaen"/>
          <w:noProof/>
          <w:sz w:val="24"/>
          <w:szCs w:val="24"/>
          <w:lang w:val="ka-GE"/>
        </w:rPr>
        <w:t xml:space="preserve">2021 წლის ოქტომბერი. </w:t>
      </w:r>
    </w:p>
    <w:p w14:paraId="2B0BEABD" w14:textId="77777777" w:rsidR="00121835" w:rsidRPr="002C0BEB" w:rsidRDefault="00121835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p w14:paraId="0339315A" w14:textId="77777777" w:rsidR="00121835" w:rsidRPr="002C0BEB" w:rsidRDefault="00121835" w:rsidP="0002093A">
      <w:pPr>
        <w:spacing w:after="0" w:line="240" w:lineRule="auto"/>
        <w:jc w:val="both"/>
        <w:rPr>
          <w:rStyle w:val="rynqvb"/>
          <w:rFonts w:ascii="Sylfaen" w:hAnsi="Sylfaen"/>
          <w:noProof/>
          <w:sz w:val="24"/>
          <w:szCs w:val="24"/>
          <w:lang w:val="ka-GE"/>
        </w:rPr>
      </w:pPr>
    </w:p>
    <w:sectPr w:rsidR="00121835" w:rsidRPr="002C0BEB" w:rsidSect="000D1D6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09" w:right="707" w:bottom="426" w:left="851" w:header="284" w:footer="27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DFCE4" w14:textId="77777777" w:rsidR="0092052C" w:rsidRDefault="0092052C" w:rsidP="00EA7588">
      <w:pPr>
        <w:spacing w:after="0" w:line="240" w:lineRule="auto"/>
      </w:pPr>
      <w:r>
        <w:separator/>
      </w:r>
    </w:p>
  </w:endnote>
  <w:endnote w:type="continuationSeparator" w:id="0">
    <w:p w14:paraId="0980BA9C" w14:textId="77777777" w:rsidR="0092052C" w:rsidRDefault="0092052C" w:rsidP="00EA7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634028590"/>
      <w:docPartObj>
        <w:docPartGallery w:val="Page Numbers (Bottom of Page)"/>
        <w:docPartUnique/>
      </w:docPartObj>
    </w:sdtPr>
    <w:sdtContent>
      <w:p w14:paraId="1643CEEE" w14:textId="77777777" w:rsidR="00EA7588" w:rsidRPr="000D1D67" w:rsidRDefault="00000000" w:rsidP="00932A9C">
        <w:pPr>
          <w:pStyle w:val="Footer"/>
          <w:rPr>
            <w:rFonts w:ascii="Times New Roman" w:hAnsi="Times New Roman"/>
            <w:sz w:val="20"/>
            <w:szCs w:val="20"/>
            <w:lang w:val="en-US"/>
          </w:rPr>
        </w:pPr>
        <w:sdt>
          <w:sdtPr>
            <w:rPr>
              <w:sz w:val="20"/>
              <w:szCs w:val="20"/>
            </w:rPr>
            <w:id w:val="-1789647840"/>
            <w:docPartObj>
              <w:docPartGallery w:val="Page Numbers (Bottom of Page)"/>
              <w:docPartUnique/>
            </w:docPartObj>
          </w:sdtPr>
          <w:sdtContent>
            <w:r w:rsidR="00E8757F" w:rsidRPr="000D1D67">
              <w:rPr>
                <w:rFonts w:ascii="Times New Roman" w:hAnsi="Times New Roman"/>
                <w:bCs/>
                <w:color w:val="333333"/>
                <w:sz w:val="20"/>
                <w:szCs w:val="20"/>
                <w:lang w:val="en-US"/>
              </w:rPr>
              <w:t>DK/H/0339/001/II/075</w:t>
            </w:r>
          </w:sdtContent>
        </w:sdt>
        <w:r w:rsidR="00932A9C" w:rsidRPr="000D1D67">
          <w:rPr>
            <w:sz w:val="20"/>
            <w:szCs w:val="20"/>
            <w:lang w:val="ka-GE"/>
          </w:rPr>
          <w:t xml:space="preserve">                                                                                     </w:t>
        </w:r>
        <w:r w:rsidR="00E8757F" w:rsidRPr="000D1D67">
          <w:rPr>
            <w:sz w:val="20"/>
            <w:szCs w:val="20"/>
          </w:rPr>
          <w:t xml:space="preserve"> </w:t>
        </w:r>
        <w:r w:rsidR="00790984" w:rsidRPr="000D1D67">
          <w:rPr>
            <w:rFonts w:ascii="Sylfaen" w:hAnsi="Sylfaen"/>
            <w:sz w:val="20"/>
            <w:szCs w:val="20"/>
          </w:rPr>
          <w:fldChar w:fldCharType="begin"/>
        </w:r>
        <w:r w:rsidR="00790984" w:rsidRPr="000D1D67">
          <w:rPr>
            <w:rFonts w:ascii="Sylfaen" w:hAnsi="Sylfaen"/>
            <w:sz w:val="20"/>
            <w:szCs w:val="20"/>
          </w:rPr>
          <w:instrText>PAGE   \* MERGEFORMAT</w:instrText>
        </w:r>
        <w:r w:rsidR="00790984" w:rsidRPr="000D1D67">
          <w:rPr>
            <w:rFonts w:ascii="Sylfaen" w:hAnsi="Sylfaen"/>
            <w:sz w:val="20"/>
            <w:szCs w:val="20"/>
          </w:rPr>
          <w:fldChar w:fldCharType="separate"/>
        </w:r>
        <w:r w:rsidR="00790984" w:rsidRPr="000D1D67">
          <w:rPr>
            <w:rFonts w:ascii="Sylfaen" w:hAnsi="Sylfaen"/>
            <w:sz w:val="20"/>
            <w:szCs w:val="20"/>
          </w:rPr>
          <w:t>2</w:t>
        </w:r>
        <w:r w:rsidR="00790984" w:rsidRPr="000D1D67">
          <w:rPr>
            <w:rFonts w:ascii="Sylfaen" w:hAnsi="Sylfae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3639440"/>
      <w:docPartObj>
        <w:docPartGallery w:val="Page Numbers (Bottom of Page)"/>
        <w:docPartUnique/>
      </w:docPartObj>
    </w:sdtPr>
    <w:sdtContent>
      <w:p w14:paraId="684B85EE" w14:textId="77777777" w:rsidR="00790984" w:rsidRPr="00790984" w:rsidRDefault="00790984" w:rsidP="00790984">
        <w:pPr>
          <w:pStyle w:val="Footer"/>
          <w:rPr>
            <w:rFonts w:ascii="Times New Roman" w:hAnsi="Times New Roman"/>
            <w:sz w:val="18"/>
            <w:szCs w:val="18"/>
            <w:lang w:val="en-US"/>
          </w:rPr>
        </w:pPr>
        <w:r w:rsidRPr="00550F16">
          <w:rPr>
            <w:rFonts w:ascii="Times New Roman" w:hAnsi="Times New Roman"/>
            <w:bCs/>
            <w:color w:val="333333"/>
            <w:sz w:val="18"/>
            <w:szCs w:val="18"/>
            <w:lang w:val="en-US"/>
          </w:rPr>
          <w:t>DK/H/0339/001/II/075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E0E2" w14:textId="77777777" w:rsidR="0092052C" w:rsidRDefault="0092052C" w:rsidP="00EA7588">
      <w:pPr>
        <w:spacing w:after="0" w:line="240" w:lineRule="auto"/>
      </w:pPr>
      <w:r>
        <w:separator/>
      </w:r>
    </w:p>
  </w:footnote>
  <w:footnote w:type="continuationSeparator" w:id="0">
    <w:p w14:paraId="7E02C67C" w14:textId="77777777" w:rsidR="0092052C" w:rsidRDefault="0092052C" w:rsidP="00EA7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5"/>
      <w:gridCol w:w="4673"/>
    </w:tblGrid>
    <w:tr w:rsidR="000121E9" w:rsidRPr="00ED1C00" w14:paraId="1255F958" w14:textId="77777777" w:rsidTr="00DA4CD1">
      <w:tc>
        <w:tcPr>
          <w:tcW w:w="5665" w:type="dxa"/>
          <w:tcBorders>
            <w:bottom w:val="single" w:sz="4" w:space="0" w:color="auto"/>
          </w:tcBorders>
        </w:tcPr>
        <w:p w14:paraId="34DB149F" w14:textId="77777777" w:rsidR="000121E9" w:rsidRPr="00ED1C00" w:rsidRDefault="000121E9" w:rsidP="00EA7588">
          <w:pPr>
            <w:tabs>
              <w:tab w:val="center" w:pos="4536"/>
              <w:tab w:val="left" w:pos="4838"/>
              <w:tab w:val="right" w:pos="9072"/>
            </w:tabs>
            <w:rPr>
              <w:rFonts w:ascii="Sylfaen" w:hAnsi="Sylfaen"/>
              <w:sz w:val="20"/>
              <w:szCs w:val="20"/>
              <w:lang w:val="ka-GE"/>
            </w:rPr>
          </w:pPr>
          <w:r w:rsidRPr="00ED1C00">
            <w:rPr>
              <w:rFonts w:ascii="Sylfaen" w:hAnsi="Sylfaen"/>
              <w:sz w:val="20"/>
              <w:szCs w:val="20"/>
              <w:lang w:val="ka-GE"/>
            </w:rPr>
            <w:t>მილანი</w:t>
          </w:r>
        </w:p>
      </w:tc>
      <w:tc>
        <w:tcPr>
          <w:tcW w:w="4673" w:type="dxa"/>
          <w:tcBorders>
            <w:bottom w:val="single" w:sz="4" w:space="0" w:color="auto"/>
          </w:tcBorders>
        </w:tcPr>
        <w:p w14:paraId="53B2EDB4" w14:textId="77777777" w:rsidR="000121E9" w:rsidRPr="00ED1C00" w:rsidRDefault="00EF6C7D" w:rsidP="00ED1C00">
          <w:pPr>
            <w:tabs>
              <w:tab w:val="center" w:pos="4536"/>
              <w:tab w:val="left" w:pos="4838"/>
              <w:tab w:val="right" w:pos="9072"/>
            </w:tabs>
            <w:jc w:val="center"/>
            <w:rPr>
              <w:rFonts w:ascii="Sylfaen" w:hAnsi="Sylfaen"/>
              <w:sz w:val="20"/>
              <w:szCs w:val="20"/>
              <w:lang w:val="ka-GE"/>
            </w:rPr>
          </w:pPr>
          <w:proofErr w:type="spellStart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>პიმეკროლიმუსი</w:t>
          </w:r>
          <w:proofErr w:type="spellEnd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 xml:space="preserve">, კრემი, 10 </w:t>
          </w:r>
          <w:proofErr w:type="spellStart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>მგ</w:t>
          </w:r>
          <w:proofErr w:type="spellEnd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>/</w:t>
          </w:r>
          <w:r w:rsidRPr="00ED1C00">
            <w:rPr>
              <w:rStyle w:val="rynqvb"/>
              <w:rFonts w:ascii="Sylfaen" w:hAnsi="Sylfaen" w:cs="Sylfaen"/>
              <w:sz w:val="20"/>
              <w:szCs w:val="20"/>
              <w:lang w:val="ka-GE"/>
            </w:rPr>
            <w:t>გ</w:t>
          </w:r>
        </w:p>
      </w:tc>
    </w:tr>
    <w:tr w:rsidR="000121E9" w:rsidRPr="00ED1C00" w14:paraId="0C34C43D" w14:textId="77777777" w:rsidTr="00DA4CD1">
      <w:tc>
        <w:tcPr>
          <w:tcW w:w="5665" w:type="dxa"/>
          <w:tcBorders>
            <w:top w:val="single" w:sz="4" w:space="0" w:color="auto"/>
          </w:tcBorders>
        </w:tcPr>
        <w:p w14:paraId="074B6E7A" w14:textId="77777777" w:rsidR="000121E9" w:rsidRPr="00ED1C00" w:rsidRDefault="000121E9" w:rsidP="00EA7588">
          <w:pPr>
            <w:tabs>
              <w:tab w:val="center" w:pos="4536"/>
              <w:tab w:val="left" w:pos="4838"/>
              <w:tab w:val="right" w:pos="9072"/>
            </w:tabs>
            <w:rPr>
              <w:rFonts w:ascii="Sylfaen" w:hAnsi="Sylfaen"/>
              <w:sz w:val="20"/>
              <w:szCs w:val="20"/>
              <w:lang w:val="ka-GE"/>
            </w:rPr>
          </w:pPr>
          <w:r w:rsidRPr="00ED1C00">
            <w:rPr>
              <w:rFonts w:ascii="Sylfaen" w:hAnsi="Sylfaen"/>
              <w:sz w:val="20"/>
              <w:szCs w:val="20"/>
              <w:lang w:val="ka-GE"/>
            </w:rPr>
            <w:t>1.3.1 პროდუქტის მახასიათებლების შეჯამება</w:t>
          </w:r>
        </w:p>
      </w:tc>
      <w:tc>
        <w:tcPr>
          <w:tcW w:w="4673" w:type="dxa"/>
          <w:tcBorders>
            <w:top w:val="single" w:sz="4" w:space="0" w:color="auto"/>
          </w:tcBorders>
        </w:tcPr>
        <w:p w14:paraId="73D9F910" w14:textId="77777777" w:rsidR="000121E9" w:rsidRPr="00ED1C00" w:rsidRDefault="000121E9" w:rsidP="00ED1C00">
          <w:pPr>
            <w:tabs>
              <w:tab w:val="center" w:pos="4536"/>
              <w:tab w:val="left" w:pos="4838"/>
              <w:tab w:val="right" w:pos="9072"/>
            </w:tabs>
            <w:jc w:val="center"/>
            <w:rPr>
              <w:rFonts w:ascii="Sylfaen" w:hAnsi="Sylfaen"/>
              <w:sz w:val="20"/>
              <w:szCs w:val="20"/>
            </w:rPr>
          </w:pPr>
          <w:r w:rsidRPr="00ED1C00">
            <w:rPr>
              <w:rFonts w:ascii="Sylfaen" w:hAnsi="Sylfaen"/>
              <w:sz w:val="20"/>
              <w:szCs w:val="20"/>
            </w:rPr>
            <w:t>DK/H/0339</w:t>
          </w:r>
        </w:p>
      </w:tc>
    </w:tr>
  </w:tbl>
  <w:p w14:paraId="5F592183" w14:textId="77777777" w:rsidR="00EA7588" w:rsidRDefault="00EA75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5"/>
      <w:gridCol w:w="4673"/>
    </w:tblGrid>
    <w:tr w:rsidR="00790984" w:rsidRPr="00ED1C00" w14:paraId="2BA01878" w14:textId="77777777" w:rsidTr="0060337D">
      <w:tc>
        <w:tcPr>
          <w:tcW w:w="5665" w:type="dxa"/>
          <w:tcBorders>
            <w:bottom w:val="single" w:sz="4" w:space="0" w:color="auto"/>
          </w:tcBorders>
        </w:tcPr>
        <w:p w14:paraId="690DEB63" w14:textId="77777777" w:rsidR="00790984" w:rsidRPr="00ED1C00" w:rsidRDefault="00790984" w:rsidP="00790984">
          <w:pPr>
            <w:tabs>
              <w:tab w:val="center" w:pos="4536"/>
              <w:tab w:val="left" w:pos="4838"/>
              <w:tab w:val="right" w:pos="9072"/>
            </w:tabs>
            <w:rPr>
              <w:rFonts w:ascii="Sylfaen" w:hAnsi="Sylfaen"/>
              <w:sz w:val="20"/>
              <w:szCs w:val="20"/>
              <w:lang w:val="ka-GE"/>
            </w:rPr>
          </w:pPr>
          <w:r w:rsidRPr="00ED1C00">
            <w:rPr>
              <w:rFonts w:ascii="Sylfaen" w:hAnsi="Sylfaen"/>
              <w:sz w:val="20"/>
              <w:szCs w:val="20"/>
              <w:lang w:val="ka-GE"/>
            </w:rPr>
            <w:t>მილანი</w:t>
          </w:r>
        </w:p>
      </w:tc>
      <w:tc>
        <w:tcPr>
          <w:tcW w:w="4673" w:type="dxa"/>
          <w:tcBorders>
            <w:bottom w:val="single" w:sz="4" w:space="0" w:color="auto"/>
          </w:tcBorders>
        </w:tcPr>
        <w:p w14:paraId="560C297A" w14:textId="77777777" w:rsidR="00790984" w:rsidRPr="00ED1C00" w:rsidRDefault="00790984" w:rsidP="00790984">
          <w:pPr>
            <w:tabs>
              <w:tab w:val="center" w:pos="4536"/>
              <w:tab w:val="left" w:pos="4838"/>
              <w:tab w:val="right" w:pos="9072"/>
            </w:tabs>
            <w:jc w:val="center"/>
            <w:rPr>
              <w:rFonts w:ascii="Sylfaen" w:hAnsi="Sylfaen"/>
              <w:sz w:val="20"/>
              <w:szCs w:val="20"/>
              <w:lang w:val="ka-GE"/>
            </w:rPr>
          </w:pPr>
          <w:proofErr w:type="spellStart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>პიმეკროლიმუსი</w:t>
          </w:r>
          <w:proofErr w:type="spellEnd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 xml:space="preserve">, კრემი, 10 </w:t>
          </w:r>
          <w:proofErr w:type="spellStart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>მგ</w:t>
          </w:r>
          <w:proofErr w:type="spellEnd"/>
          <w:r w:rsidRPr="00ED1C00">
            <w:rPr>
              <w:rStyle w:val="rynqvb"/>
              <w:rFonts w:ascii="Sylfaen" w:hAnsi="Sylfaen"/>
              <w:sz w:val="20"/>
              <w:szCs w:val="20"/>
              <w:lang w:val="ka-GE"/>
            </w:rPr>
            <w:t>/</w:t>
          </w:r>
          <w:r w:rsidRPr="00ED1C00">
            <w:rPr>
              <w:rStyle w:val="rynqvb"/>
              <w:rFonts w:ascii="Sylfaen" w:hAnsi="Sylfaen" w:cs="Sylfaen"/>
              <w:sz w:val="20"/>
              <w:szCs w:val="20"/>
              <w:lang w:val="ka-GE"/>
            </w:rPr>
            <w:t>გ</w:t>
          </w:r>
        </w:p>
      </w:tc>
    </w:tr>
    <w:tr w:rsidR="00790984" w:rsidRPr="00ED1C00" w14:paraId="028CC63E" w14:textId="77777777" w:rsidTr="0060337D">
      <w:tc>
        <w:tcPr>
          <w:tcW w:w="5665" w:type="dxa"/>
          <w:tcBorders>
            <w:top w:val="single" w:sz="4" w:space="0" w:color="auto"/>
          </w:tcBorders>
        </w:tcPr>
        <w:p w14:paraId="37D783B1" w14:textId="77777777" w:rsidR="00790984" w:rsidRPr="00ED1C00" w:rsidRDefault="00790984" w:rsidP="00790984">
          <w:pPr>
            <w:tabs>
              <w:tab w:val="center" w:pos="4536"/>
              <w:tab w:val="left" w:pos="4838"/>
              <w:tab w:val="right" w:pos="9072"/>
            </w:tabs>
            <w:rPr>
              <w:rFonts w:ascii="Sylfaen" w:hAnsi="Sylfaen"/>
              <w:sz w:val="20"/>
              <w:szCs w:val="20"/>
              <w:lang w:val="ka-GE"/>
            </w:rPr>
          </w:pPr>
          <w:r w:rsidRPr="00ED1C00">
            <w:rPr>
              <w:rFonts w:ascii="Sylfaen" w:hAnsi="Sylfaen"/>
              <w:sz w:val="20"/>
              <w:szCs w:val="20"/>
              <w:lang w:val="ka-GE"/>
            </w:rPr>
            <w:t>1.3.1 პროდუქტის მახასიათებლების შეჯამება</w:t>
          </w:r>
        </w:p>
      </w:tc>
      <w:tc>
        <w:tcPr>
          <w:tcW w:w="4673" w:type="dxa"/>
          <w:tcBorders>
            <w:top w:val="single" w:sz="4" w:space="0" w:color="auto"/>
          </w:tcBorders>
        </w:tcPr>
        <w:p w14:paraId="61E3FDCF" w14:textId="77777777" w:rsidR="00790984" w:rsidRPr="00ED1C00" w:rsidRDefault="00790984" w:rsidP="00790984">
          <w:pPr>
            <w:tabs>
              <w:tab w:val="center" w:pos="4536"/>
              <w:tab w:val="left" w:pos="4838"/>
              <w:tab w:val="right" w:pos="9072"/>
            </w:tabs>
            <w:jc w:val="center"/>
            <w:rPr>
              <w:rFonts w:ascii="Sylfaen" w:hAnsi="Sylfaen"/>
              <w:sz w:val="20"/>
              <w:szCs w:val="20"/>
            </w:rPr>
          </w:pPr>
          <w:r w:rsidRPr="00ED1C00">
            <w:rPr>
              <w:rFonts w:ascii="Sylfaen" w:hAnsi="Sylfaen"/>
              <w:sz w:val="20"/>
              <w:szCs w:val="20"/>
            </w:rPr>
            <w:t>DK/H/0339</w:t>
          </w:r>
        </w:p>
      </w:tc>
    </w:tr>
  </w:tbl>
  <w:p w14:paraId="6D9DFC68" w14:textId="77777777" w:rsidR="00790984" w:rsidRDefault="007909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24F29"/>
    <w:multiLevelType w:val="hybridMultilevel"/>
    <w:tmpl w:val="53402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32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88"/>
    <w:rsid w:val="000008CC"/>
    <w:rsid w:val="000121E9"/>
    <w:rsid w:val="000126A0"/>
    <w:rsid w:val="00016E64"/>
    <w:rsid w:val="0002093A"/>
    <w:rsid w:val="00024BB7"/>
    <w:rsid w:val="00030FF5"/>
    <w:rsid w:val="00032BE7"/>
    <w:rsid w:val="00036F4B"/>
    <w:rsid w:val="000420A6"/>
    <w:rsid w:val="00055563"/>
    <w:rsid w:val="00070F02"/>
    <w:rsid w:val="0007408B"/>
    <w:rsid w:val="000742FC"/>
    <w:rsid w:val="00077D99"/>
    <w:rsid w:val="00082B44"/>
    <w:rsid w:val="00085DA8"/>
    <w:rsid w:val="00091D86"/>
    <w:rsid w:val="00092869"/>
    <w:rsid w:val="000A0A1A"/>
    <w:rsid w:val="000A640B"/>
    <w:rsid w:val="000C01D9"/>
    <w:rsid w:val="000C3BC5"/>
    <w:rsid w:val="000D08B7"/>
    <w:rsid w:val="000D1D67"/>
    <w:rsid w:val="000D2188"/>
    <w:rsid w:val="000D2881"/>
    <w:rsid w:val="000E06A3"/>
    <w:rsid w:val="000E765A"/>
    <w:rsid w:val="000E781B"/>
    <w:rsid w:val="000F0DDB"/>
    <w:rsid w:val="000F20B1"/>
    <w:rsid w:val="000F3084"/>
    <w:rsid w:val="00121835"/>
    <w:rsid w:val="001467D1"/>
    <w:rsid w:val="00165B28"/>
    <w:rsid w:val="00170BD1"/>
    <w:rsid w:val="001873D4"/>
    <w:rsid w:val="00193700"/>
    <w:rsid w:val="0019783A"/>
    <w:rsid w:val="001A2F43"/>
    <w:rsid w:val="001A5BFC"/>
    <w:rsid w:val="001B27C4"/>
    <w:rsid w:val="001B3DCB"/>
    <w:rsid w:val="001B4905"/>
    <w:rsid w:val="001B61F0"/>
    <w:rsid w:val="001C75B4"/>
    <w:rsid w:val="001C7828"/>
    <w:rsid w:val="001E0530"/>
    <w:rsid w:val="001F3D8F"/>
    <w:rsid w:val="001F783D"/>
    <w:rsid w:val="00205B7C"/>
    <w:rsid w:val="00214514"/>
    <w:rsid w:val="002217B2"/>
    <w:rsid w:val="00237953"/>
    <w:rsid w:val="002502FA"/>
    <w:rsid w:val="00257833"/>
    <w:rsid w:val="0026211D"/>
    <w:rsid w:val="00266F96"/>
    <w:rsid w:val="0028237D"/>
    <w:rsid w:val="00286FD0"/>
    <w:rsid w:val="00293283"/>
    <w:rsid w:val="002A15A6"/>
    <w:rsid w:val="002A6988"/>
    <w:rsid w:val="002B1620"/>
    <w:rsid w:val="002B7A58"/>
    <w:rsid w:val="002C0BEB"/>
    <w:rsid w:val="002C129D"/>
    <w:rsid w:val="002D5FB0"/>
    <w:rsid w:val="002E5A7B"/>
    <w:rsid w:val="002F663B"/>
    <w:rsid w:val="002F678F"/>
    <w:rsid w:val="00300F54"/>
    <w:rsid w:val="00305A8D"/>
    <w:rsid w:val="003077AA"/>
    <w:rsid w:val="00315345"/>
    <w:rsid w:val="00341404"/>
    <w:rsid w:val="00345B04"/>
    <w:rsid w:val="00357A56"/>
    <w:rsid w:val="003622AC"/>
    <w:rsid w:val="00367D94"/>
    <w:rsid w:val="003711D7"/>
    <w:rsid w:val="0037324E"/>
    <w:rsid w:val="00387CC9"/>
    <w:rsid w:val="00397CAE"/>
    <w:rsid w:val="003A2DEB"/>
    <w:rsid w:val="003B3E78"/>
    <w:rsid w:val="003C020E"/>
    <w:rsid w:val="003C1153"/>
    <w:rsid w:val="003D3E5F"/>
    <w:rsid w:val="003E3264"/>
    <w:rsid w:val="00404E14"/>
    <w:rsid w:val="004150F3"/>
    <w:rsid w:val="00422F77"/>
    <w:rsid w:val="0042619C"/>
    <w:rsid w:val="00432004"/>
    <w:rsid w:val="00433428"/>
    <w:rsid w:val="004425F8"/>
    <w:rsid w:val="00443AEE"/>
    <w:rsid w:val="00446CEF"/>
    <w:rsid w:val="00447E98"/>
    <w:rsid w:val="00455EB2"/>
    <w:rsid w:val="00457A2F"/>
    <w:rsid w:val="00466445"/>
    <w:rsid w:val="00470FBC"/>
    <w:rsid w:val="00472A3F"/>
    <w:rsid w:val="00490394"/>
    <w:rsid w:val="00493A66"/>
    <w:rsid w:val="004A464B"/>
    <w:rsid w:val="004A6831"/>
    <w:rsid w:val="004C0F96"/>
    <w:rsid w:val="004C612D"/>
    <w:rsid w:val="004E7E7F"/>
    <w:rsid w:val="004F4D05"/>
    <w:rsid w:val="004F7F27"/>
    <w:rsid w:val="00500E9D"/>
    <w:rsid w:val="00514B0F"/>
    <w:rsid w:val="00516221"/>
    <w:rsid w:val="0052062B"/>
    <w:rsid w:val="00526AF0"/>
    <w:rsid w:val="00533765"/>
    <w:rsid w:val="00536AFC"/>
    <w:rsid w:val="005450B0"/>
    <w:rsid w:val="0054683D"/>
    <w:rsid w:val="00555879"/>
    <w:rsid w:val="00557DF2"/>
    <w:rsid w:val="005711FE"/>
    <w:rsid w:val="00575A08"/>
    <w:rsid w:val="005816D1"/>
    <w:rsid w:val="0058249A"/>
    <w:rsid w:val="005842C3"/>
    <w:rsid w:val="00586CE1"/>
    <w:rsid w:val="00591291"/>
    <w:rsid w:val="005944A5"/>
    <w:rsid w:val="005B00A6"/>
    <w:rsid w:val="005B759F"/>
    <w:rsid w:val="005C03D9"/>
    <w:rsid w:val="005C7725"/>
    <w:rsid w:val="005D0AA9"/>
    <w:rsid w:val="005D2634"/>
    <w:rsid w:val="005D2AEC"/>
    <w:rsid w:val="005D495D"/>
    <w:rsid w:val="005D6463"/>
    <w:rsid w:val="005D7DC4"/>
    <w:rsid w:val="005E00B8"/>
    <w:rsid w:val="005E06BE"/>
    <w:rsid w:val="005E2B66"/>
    <w:rsid w:val="005E3859"/>
    <w:rsid w:val="005F0A95"/>
    <w:rsid w:val="005F76DB"/>
    <w:rsid w:val="006019DE"/>
    <w:rsid w:val="00614AB3"/>
    <w:rsid w:val="006453FB"/>
    <w:rsid w:val="0064682D"/>
    <w:rsid w:val="006522BB"/>
    <w:rsid w:val="00657CBA"/>
    <w:rsid w:val="006616ED"/>
    <w:rsid w:val="00663826"/>
    <w:rsid w:val="006645AE"/>
    <w:rsid w:val="00665965"/>
    <w:rsid w:val="00672A77"/>
    <w:rsid w:val="00690A5C"/>
    <w:rsid w:val="006B4228"/>
    <w:rsid w:val="006B6FAC"/>
    <w:rsid w:val="006B7AF9"/>
    <w:rsid w:val="006C26FE"/>
    <w:rsid w:val="006C684C"/>
    <w:rsid w:val="006D25BE"/>
    <w:rsid w:val="006D3125"/>
    <w:rsid w:val="006D544E"/>
    <w:rsid w:val="006E28AB"/>
    <w:rsid w:val="006F16AE"/>
    <w:rsid w:val="006F5674"/>
    <w:rsid w:val="006F7AAA"/>
    <w:rsid w:val="00701509"/>
    <w:rsid w:val="0070229D"/>
    <w:rsid w:val="0070567F"/>
    <w:rsid w:val="007224E1"/>
    <w:rsid w:val="00722820"/>
    <w:rsid w:val="00724D35"/>
    <w:rsid w:val="0072533F"/>
    <w:rsid w:val="00736BB0"/>
    <w:rsid w:val="00743D19"/>
    <w:rsid w:val="00750360"/>
    <w:rsid w:val="00750364"/>
    <w:rsid w:val="00756E40"/>
    <w:rsid w:val="007615E5"/>
    <w:rsid w:val="007620D8"/>
    <w:rsid w:val="007639CB"/>
    <w:rsid w:val="00763B1E"/>
    <w:rsid w:val="00772C59"/>
    <w:rsid w:val="007743C3"/>
    <w:rsid w:val="00790984"/>
    <w:rsid w:val="00793E9A"/>
    <w:rsid w:val="007A2170"/>
    <w:rsid w:val="007A4337"/>
    <w:rsid w:val="007A7661"/>
    <w:rsid w:val="007B66C5"/>
    <w:rsid w:val="007C5400"/>
    <w:rsid w:val="007E6C98"/>
    <w:rsid w:val="007F0992"/>
    <w:rsid w:val="007F6C71"/>
    <w:rsid w:val="007F7E98"/>
    <w:rsid w:val="00800ACE"/>
    <w:rsid w:val="008055D4"/>
    <w:rsid w:val="00806845"/>
    <w:rsid w:val="00806A47"/>
    <w:rsid w:val="00810213"/>
    <w:rsid w:val="00821F31"/>
    <w:rsid w:val="0083445F"/>
    <w:rsid w:val="00835397"/>
    <w:rsid w:val="00837A15"/>
    <w:rsid w:val="0084748A"/>
    <w:rsid w:val="0085197D"/>
    <w:rsid w:val="00854427"/>
    <w:rsid w:val="008645A5"/>
    <w:rsid w:val="00864B9D"/>
    <w:rsid w:val="008759F4"/>
    <w:rsid w:val="0088361B"/>
    <w:rsid w:val="008D145B"/>
    <w:rsid w:val="008D4FCB"/>
    <w:rsid w:val="008D5CB3"/>
    <w:rsid w:val="008D75AA"/>
    <w:rsid w:val="008F5E3A"/>
    <w:rsid w:val="0090452F"/>
    <w:rsid w:val="009116D9"/>
    <w:rsid w:val="00911ABB"/>
    <w:rsid w:val="009168CE"/>
    <w:rsid w:val="0092052C"/>
    <w:rsid w:val="00924EB5"/>
    <w:rsid w:val="00924EC7"/>
    <w:rsid w:val="00932A9C"/>
    <w:rsid w:val="00934739"/>
    <w:rsid w:val="009402C1"/>
    <w:rsid w:val="009515EC"/>
    <w:rsid w:val="00953AEB"/>
    <w:rsid w:val="00963606"/>
    <w:rsid w:val="00964295"/>
    <w:rsid w:val="00965242"/>
    <w:rsid w:val="00981B72"/>
    <w:rsid w:val="00981E93"/>
    <w:rsid w:val="00986396"/>
    <w:rsid w:val="009A1B4B"/>
    <w:rsid w:val="009A25B0"/>
    <w:rsid w:val="009B62D3"/>
    <w:rsid w:val="009C52B5"/>
    <w:rsid w:val="009D0C2C"/>
    <w:rsid w:val="009E0A29"/>
    <w:rsid w:val="009E155B"/>
    <w:rsid w:val="009F050F"/>
    <w:rsid w:val="009F16DE"/>
    <w:rsid w:val="009F45FF"/>
    <w:rsid w:val="00A02100"/>
    <w:rsid w:val="00A07484"/>
    <w:rsid w:val="00A13CCD"/>
    <w:rsid w:val="00A145AA"/>
    <w:rsid w:val="00A211B4"/>
    <w:rsid w:val="00A55374"/>
    <w:rsid w:val="00A5772E"/>
    <w:rsid w:val="00A61E5D"/>
    <w:rsid w:val="00A6372F"/>
    <w:rsid w:val="00A676CA"/>
    <w:rsid w:val="00A70A5C"/>
    <w:rsid w:val="00A842FD"/>
    <w:rsid w:val="00A857B5"/>
    <w:rsid w:val="00AA137A"/>
    <w:rsid w:val="00AB0123"/>
    <w:rsid w:val="00AB6CEF"/>
    <w:rsid w:val="00AD2D9B"/>
    <w:rsid w:val="00AD7F14"/>
    <w:rsid w:val="00AE5E5D"/>
    <w:rsid w:val="00AE5FFF"/>
    <w:rsid w:val="00AF7073"/>
    <w:rsid w:val="00AF7902"/>
    <w:rsid w:val="00B008E3"/>
    <w:rsid w:val="00B10836"/>
    <w:rsid w:val="00B15897"/>
    <w:rsid w:val="00B16051"/>
    <w:rsid w:val="00B165ED"/>
    <w:rsid w:val="00B20AEF"/>
    <w:rsid w:val="00B23485"/>
    <w:rsid w:val="00B319F2"/>
    <w:rsid w:val="00B37A16"/>
    <w:rsid w:val="00B64A99"/>
    <w:rsid w:val="00B76340"/>
    <w:rsid w:val="00B76B3C"/>
    <w:rsid w:val="00B76EB3"/>
    <w:rsid w:val="00B82E8F"/>
    <w:rsid w:val="00B86E92"/>
    <w:rsid w:val="00BA72E9"/>
    <w:rsid w:val="00BB2E10"/>
    <w:rsid w:val="00BC51B5"/>
    <w:rsid w:val="00BC5B61"/>
    <w:rsid w:val="00BD156F"/>
    <w:rsid w:val="00BD5431"/>
    <w:rsid w:val="00BF21AA"/>
    <w:rsid w:val="00C00DE5"/>
    <w:rsid w:val="00C06F1A"/>
    <w:rsid w:val="00C16935"/>
    <w:rsid w:val="00C23EE4"/>
    <w:rsid w:val="00C407E5"/>
    <w:rsid w:val="00C537FF"/>
    <w:rsid w:val="00C552FA"/>
    <w:rsid w:val="00C75D50"/>
    <w:rsid w:val="00C801EB"/>
    <w:rsid w:val="00C950E6"/>
    <w:rsid w:val="00CB10E2"/>
    <w:rsid w:val="00CB2BFE"/>
    <w:rsid w:val="00CB3AAA"/>
    <w:rsid w:val="00CD3910"/>
    <w:rsid w:val="00CD5572"/>
    <w:rsid w:val="00CD7F77"/>
    <w:rsid w:val="00CE49F2"/>
    <w:rsid w:val="00CE58E8"/>
    <w:rsid w:val="00CF584A"/>
    <w:rsid w:val="00D00D89"/>
    <w:rsid w:val="00D179E6"/>
    <w:rsid w:val="00D214BE"/>
    <w:rsid w:val="00D264C5"/>
    <w:rsid w:val="00D32DAB"/>
    <w:rsid w:val="00D3359E"/>
    <w:rsid w:val="00D44E1C"/>
    <w:rsid w:val="00D56D4C"/>
    <w:rsid w:val="00D610F9"/>
    <w:rsid w:val="00D62CA9"/>
    <w:rsid w:val="00D7071E"/>
    <w:rsid w:val="00D801F2"/>
    <w:rsid w:val="00DA23F3"/>
    <w:rsid w:val="00DA4CD1"/>
    <w:rsid w:val="00DA5FA2"/>
    <w:rsid w:val="00DC500D"/>
    <w:rsid w:val="00DD70F1"/>
    <w:rsid w:val="00DD7836"/>
    <w:rsid w:val="00DE5663"/>
    <w:rsid w:val="00DE649F"/>
    <w:rsid w:val="00DF7DD7"/>
    <w:rsid w:val="00E006FF"/>
    <w:rsid w:val="00E01168"/>
    <w:rsid w:val="00E052CE"/>
    <w:rsid w:val="00E05519"/>
    <w:rsid w:val="00E06BDC"/>
    <w:rsid w:val="00E34C1E"/>
    <w:rsid w:val="00E53B2E"/>
    <w:rsid w:val="00E54AE8"/>
    <w:rsid w:val="00E748B9"/>
    <w:rsid w:val="00E749DA"/>
    <w:rsid w:val="00E8757F"/>
    <w:rsid w:val="00EA1C93"/>
    <w:rsid w:val="00EA20BC"/>
    <w:rsid w:val="00EA7588"/>
    <w:rsid w:val="00EA7CF3"/>
    <w:rsid w:val="00EB3606"/>
    <w:rsid w:val="00ED1C00"/>
    <w:rsid w:val="00ED57DD"/>
    <w:rsid w:val="00EE1BF6"/>
    <w:rsid w:val="00EE3FFA"/>
    <w:rsid w:val="00EE403C"/>
    <w:rsid w:val="00EE4B92"/>
    <w:rsid w:val="00EF6C7D"/>
    <w:rsid w:val="00F07172"/>
    <w:rsid w:val="00F22AA5"/>
    <w:rsid w:val="00F34222"/>
    <w:rsid w:val="00F35720"/>
    <w:rsid w:val="00F46D1C"/>
    <w:rsid w:val="00F474EB"/>
    <w:rsid w:val="00F551E8"/>
    <w:rsid w:val="00F67F17"/>
    <w:rsid w:val="00F71463"/>
    <w:rsid w:val="00F76356"/>
    <w:rsid w:val="00F81061"/>
    <w:rsid w:val="00F8417E"/>
    <w:rsid w:val="00F85873"/>
    <w:rsid w:val="00F933C8"/>
    <w:rsid w:val="00F952F0"/>
    <w:rsid w:val="00F96EB4"/>
    <w:rsid w:val="00FA61CF"/>
    <w:rsid w:val="00FA6A23"/>
    <w:rsid w:val="00FA6B31"/>
    <w:rsid w:val="00FB2542"/>
    <w:rsid w:val="00FC16F8"/>
    <w:rsid w:val="00FC56B8"/>
    <w:rsid w:val="00FC742C"/>
    <w:rsid w:val="00FC7877"/>
    <w:rsid w:val="00FE13A5"/>
    <w:rsid w:val="00FE1A93"/>
    <w:rsid w:val="00FE7F41"/>
    <w:rsid w:val="00FF22FB"/>
    <w:rsid w:val="00FF413E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1BC5B"/>
  <w15:chartTrackingRefBased/>
  <w15:docId w15:val="{EB4E0174-DD57-4B59-BDF6-5FA93190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588"/>
  </w:style>
  <w:style w:type="paragraph" w:styleId="Footer">
    <w:name w:val="footer"/>
    <w:basedOn w:val="Normal"/>
    <w:link w:val="FooterChar"/>
    <w:uiPriority w:val="99"/>
    <w:unhideWhenUsed/>
    <w:rsid w:val="00EA7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588"/>
  </w:style>
  <w:style w:type="table" w:styleId="TableGrid">
    <w:name w:val="Table Grid"/>
    <w:basedOn w:val="TableNormal"/>
    <w:uiPriority w:val="39"/>
    <w:rsid w:val="00012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EF6C7D"/>
  </w:style>
  <w:style w:type="character" w:customStyle="1" w:styleId="hwtze">
    <w:name w:val="hwtze"/>
    <w:basedOn w:val="DefaultParagraphFont"/>
    <w:rsid w:val="005C7725"/>
  </w:style>
  <w:style w:type="paragraph" w:styleId="ListParagraph">
    <w:name w:val="List Paragraph"/>
    <w:basedOn w:val="Normal"/>
    <w:uiPriority w:val="34"/>
    <w:qFormat/>
    <w:rsid w:val="00B20AEF"/>
    <w:pPr>
      <w:ind w:left="720"/>
      <w:contextualSpacing/>
    </w:pPr>
  </w:style>
  <w:style w:type="paragraph" w:customStyle="1" w:styleId="Text">
    <w:name w:val="Text"/>
    <w:basedOn w:val="Normal"/>
    <w:link w:val="TextChar1"/>
    <w:rsid w:val="00F96EB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TextChar1">
    <w:name w:val="Text Char1"/>
    <w:link w:val="Text"/>
    <w:rsid w:val="00F96EB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16E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16E64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2484</Words>
  <Characters>14161</Characters>
  <Application>Microsoft Office Word</Application>
  <DocSecurity>0</DocSecurity>
  <Lines>118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Nanuli Janiashvili</cp:lastModifiedBy>
  <cp:revision>387</cp:revision>
  <dcterms:created xsi:type="dcterms:W3CDTF">2024-10-07T12:59:00Z</dcterms:created>
  <dcterms:modified xsi:type="dcterms:W3CDTF">2026-05-07T12:04:00Z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2026-04-21T10:07:12Z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3c54922c-aceb-4504-8a13-b5dd9d9932c8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10, 3, 0, 1</vt:lpwstr>
  </property>
</Properties>
</file>