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06332" w14:textId="77777777" w:rsidR="003D36D6" w:rsidRPr="00711A1F" w:rsidRDefault="003D36D6" w:rsidP="004A25E9">
      <w:pPr>
        <w:spacing w:after="0" w:line="240" w:lineRule="auto"/>
        <w:jc w:val="center"/>
        <w:rPr>
          <w:rFonts w:ascii="Sylfaen" w:hAnsi="Sylfaen"/>
          <w:b/>
          <w:noProof/>
          <w:sz w:val="24"/>
          <w:szCs w:val="24"/>
          <w:lang w:val="ka-GE"/>
        </w:rPr>
      </w:pPr>
      <w:r w:rsidRPr="00711A1F">
        <w:rPr>
          <w:rFonts w:ascii="Sylfaen" w:hAnsi="Sylfaen"/>
          <w:b/>
          <w:noProof/>
          <w:sz w:val="24"/>
          <w:szCs w:val="24"/>
          <w:lang w:val="ka-GE"/>
        </w:rPr>
        <w:t>გამოყენების ინსტრუქცია</w:t>
      </w:r>
    </w:p>
    <w:p w14:paraId="4DDA263E" w14:textId="77777777" w:rsidR="00E148BA" w:rsidRPr="00711A1F" w:rsidRDefault="00E148BA" w:rsidP="004A25E9">
      <w:pPr>
        <w:spacing w:after="0" w:line="240" w:lineRule="auto"/>
        <w:jc w:val="center"/>
        <w:rPr>
          <w:rFonts w:ascii="Sylfaen" w:hAnsi="Sylfaen"/>
          <w:b/>
          <w:noProof/>
          <w:sz w:val="24"/>
          <w:szCs w:val="24"/>
          <w:lang w:val="ka-GE"/>
        </w:rPr>
      </w:pPr>
    </w:p>
    <w:p w14:paraId="44F9F163" w14:textId="77777777" w:rsidR="003D36D6" w:rsidRPr="00711A1F" w:rsidRDefault="00E148BA"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ტურკფლექსი 5</w:t>
      </w:r>
      <w:r w:rsidR="003D36D6" w:rsidRPr="00711A1F">
        <w:rPr>
          <w:rFonts w:ascii="Sylfaen" w:hAnsi="Sylfaen"/>
          <w:b/>
          <w:bCs/>
          <w:noProof/>
          <w:sz w:val="24"/>
          <w:szCs w:val="24"/>
          <w:lang w:val="ka-GE"/>
        </w:rPr>
        <w:t>%-იანი დექსტროზის ხსნარი წყალში</w:t>
      </w:r>
    </w:p>
    <w:p w14:paraId="43AE4D23"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გამოიყენება ინტრავენურად.</w:t>
      </w:r>
    </w:p>
    <w:p w14:paraId="10D22051" w14:textId="77777777" w:rsidR="003D36D6" w:rsidRPr="00711A1F" w:rsidRDefault="003D36D6" w:rsidP="004A25E9">
      <w:pPr>
        <w:spacing w:after="0" w:line="240" w:lineRule="auto"/>
        <w:rPr>
          <w:rFonts w:ascii="Sylfaen" w:hAnsi="Sylfaen"/>
          <w:b/>
          <w:noProof/>
          <w:sz w:val="24"/>
          <w:szCs w:val="24"/>
          <w:lang w:val="ka-GE"/>
        </w:rPr>
      </w:pPr>
      <w:r w:rsidRPr="00711A1F">
        <w:rPr>
          <w:rFonts w:ascii="Sylfaen" w:hAnsi="Sylfaen"/>
          <w:b/>
          <w:noProof/>
          <w:sz w:val="24"/>
          <w:szCs w:val="24"/>
          <w:lang w:val="ka-GE"/>
        </w:rPr>
        <w:t>სტერილური</w:t>
      </w:r>
    </w:p>
    <w:p w14:paraId="682E8CC7" w14:textId="77777777" w:rsidR="00E148BA" w:rsidRPr="00711A1F" w:rsidRDefault="00E148BA" w:rsidP="004A25E9">
      <w:pPr>
        <w:spacing w:after="0" w:line="240" w:lineRule="auto"/>
        <w:rPr>
          <w:rFonts w:ascii="Sylfaen" w:hAnsi="Sylfaen"/>
          <w:noProof/>
          <w:sz w:val="24"/>
          <w:szCs w:val="24"/>
          <w:lang w:val="ka-GE"/>
        </w:rPr>
      </w:pPr>
    </w:p>
    <w:p w14:paraId="5CDBA7D3" w14:textId="77777777" w:rsidR="003D36D6" w:rsidRPr="00711A1F" w:rsidRDefault="003D36D6" w:rsidP="004A25E9">
      <w:pPr>
        <w:pStyle w:val="ListParagraph"/>
        <w:numPr>
          <w:ilvl w:val="0"/>
          <w:numId w:val="7"/>
        </w:numPr>
        <w:spacing w:after="0" w:line="240" w:lineRule="auto"/>
        <w:ind w:left="0" w:firstLine="0"/>
        <w:rPr>
          <w:rFonts w:ascii="Sylfaen" w:hAnsi="Sylfaen"/>
          <w:noProof/>
          <w:sz w:val="24"/>
          <w:szCs w:val="24"/>
          <w:lang w:val="ka-GE"/>
        </w:rPr>
      </w:pPr>
      <w:r w:rsidRPr="00711A1F">
        <w:rPr>
          <w:rFonts w:ascii="Sylfaen" w:hAnsi="Sylfaen"/>
          <w:b/>
          <w:bCs/>
          <w:i/>
          <w:noProof/>
          <w:sz w:val="24"/>
          <w:szCs w:val="24"/>
          <w:lang w:val="ka-GE"/>
        </w:rPr>
        <w:t>აქტიური ნივთიერება:</w:t>
      </w:r>
      <w:r w:rsidRPr="00711A1F">
        <w:rPr>
          <w:rFonts w:ascii="Sylfaen" w:hAnsi="Sylfaen"/>
          <w:noProof/>
          <w:sz w:val="24"/>
          <w:szCs w:val="24"/>
          <w:lang w:val="ka-GE"/>
        </w:rPr>
        <w:t xml:space="preserve"> 100 მლ ხსნარი შეიცავს 5 გრამ გლუკოზას (შაქარს).</w:t>
      </w:r>
    </w:p>
    <w:p w14:paraId="71C23B51" w14:textId="77777777" w:rsidR="003D36D6" w:rsidRPr="00711A1F" w:rsidRDefault="003D36D6" w:rsidP="004A25E9">
      <w:pPr>
        <w:pStyle w:val="ListParagraph"/>
        <w:numPr>
          <w:ilvl w:val="0"/>
          <w:numId w:val="7"/>
        </w:numPr>
        <w:spacing w:after="0" w:line="240" w:lineRule="auto"/>
        <w:ind w:left="0" w:firstLine="0"/>
        <w:rPr>
          <w:rFonts w:ascii="Sylfaen" w:hAnsi="Sylfaen"/>
          <w:noProof/>
          <w:sz w:val="24"/>
          <w:szCs w:val="24"/>
          <w:lang w:val="ka-GE"/>
        </w:rPr>
      </w:pPr>
      <w:r w:rsidRPr="00711A1F">
        <w:rPr>
          <w:rFonts w:ascii="Sylfaen" w:hAnsi="Sylfaen"/>
          <w:b/>
          <w:i/>
          <w:noProof/>
          <w:sz w:val="24"/>
          <w:szCs w:val="24"/>
          <w:lang w:val="ka-GE"/>
        </w:rPr>
        <w:t>დამხმარე ნივთიერება:</w:t>
      </w:r>
      <w:r w:rsidRPr="00711A1F">
        <w:rPr>
          <w:rFonts w:ascii="Sylfaen" w:hAnsi="Sylfaen"/>
          <w:noProof/>
          <w:sz w:val="24"/>
          <w:szCs w:val="24"/>
          <w:lang w:val="ka-GE"/>
        </w:rPr>
        <w:t xml:space="preserve"> საინექციო წყალი.</w:t>
      </w:r>
    </w:p>
    <w:p w14:paraId="436A8152" w14:textId="77777777" w:rsidR="003D36D6" w:rsidRPr="00711A1F" w:rsidRDefault="003D36D6" w:rsidP="004A25E9">
      <w:pPr>
        <w:spacing w:after="0" w:line="240" w:lineRule="auto"/>
        <w:rPr>
          <w:rFonts w:ascii="Sylfaen" w:hAnsi="Sylfaen"/>
          <w:b/>
          <w:noProof/>
          <w:sz w:val="24"/>
          <w:szCs w:val="24"/>
          <w:lang w:val="ka-GE"/>
        </w:rPr>
      </w:pPr>
      <w:r w:rsidRPr="00711A1F">
        <w:rPr>
          <w:rFonts w:ascii="Sylfaen" w:hAnsi="Sylfaen"/>
          <w:b/>
          <w:noProof/>
          <w:sz w:val="24"/>
          <w:szCs w:val="24"/>
          <w:lang w:val="ka-GE"/>
        </w:rPr>
        <w:t>ამ პრეპარატის გამოყენების დაწყებამდე გთხოვთ, ყურადღებით გაეცნოთ გამოყენების ინსტრუქციას.</w:t>
      </w:r>
    </w:p>
    <w:p w14:paraId="67EFFA08" w14:textId="77777777" w:rsidR="003D36D6" w:rsidRPr="00711A1F" w:rsidRDefault="003D36D6" w:rsidP="004A25E9">
      <w:pPr>
        <w:pStyle w:val="ListParagraph"/>
        <w:numPr>
          <w:ilvl w:val="0"/>
          <w:numId w:val="8"/>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წაიკითხეთ იგი, რადგან შეიცავს თქვენთვის მნიშვნელოვან ინფორმაციას.</w:t>
      </w:r>
    </w:p>
    <w:p w14:paraId="7C57FD8A" w14:textId="77777777" w:rsidR="003D36D6" w:rsidRPr="00711A1F" w:rsidRDefault="003D36D6" w:rsidP="004A25E9">
      <w:pPr>
        <w:pStyle w:val="ListParagraph"/>
        <w:numPr>
          <w:ilvl w:val="0"/>
          <w:numId w:val="8"/>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შეინახეთ ინსტრუქცია. შესაძლოა მოგვიანებით კვლავ დაგჭირდეთ მისი წაკითხვა.</w:t>
      </w:r>
    </w:p>
    <w:p w14:paraId="56A681E8" w14:textId="77777777" w:rsidR="003D36D6" w:rsidRPr="00711A1F" w:rsidRDefault="003D36D6" w:rsidP="004A25E9">
      <w:pPr>
        <w:pStyle w:val="ListParagraph"/>
        <w:numPr>
          <w:ilvl w:val="0"/>
          <w:numId w:val="8"/>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დამატებითი კითხვების შემთხვევაში მიმართეთ ექიმს ან ფარმაცევტს.</w:t>
      </w:r>
    </w:p>
    <w:p w14:paraId="4CD274FA" w14:textId="77777777" w:rsidR="003D36D6" w:rsidRPr="00711A1F" w:rsidRDefault="003D36D6" w:rsidP="004A25E9">
      <w:pPr>
        <w:pStyle w:val="ListParagraph"/>
        <w:numPr>
          <w:ilvl w:val="0"/>
          <w:numId w:val="8"/>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ეს პრეპარატი დანიშნულია პირადად თქვენთვის. არ გადასცეთ იგი სხვებს.</w:t>
      </w:r>
    </w:p>
    <w:p w14:paraId="40DE708A" w14:textId="77777777" w:rsidR="003D36D6" w:rsidRPr="00711A1F" w:rsidRDefault="003D36D6" w:rsidP="004A25E9">
      <w:pPr>
        <w:pStyle w:val="ListParagraph"/>
        <w:numPr>
          <w:ilvl w:val="0"/>
          <w:numId w:val="8"/>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ამ მედიკამენტის გამოყენებისას, საავადმყოფოში მიმართვის შემთხვევაში, აცნობეთ ექიმს, რომ იყენებთ აღნიშნულ პრეპარატს.</w:t>
      </w:r>
    </w:p>
    <w:p w14:paraId="3090302E" w14:textId="77777777" w:rsidR="003D36D6" w:rsidRPr="00711A1F" w:rsidRDefault="003D36D6" w:rsidP="004A25E9">
      <w:pPr>
        <w:pStyle w:val="ListParagraph"/>
        <w:numPr>
          <w:ilvl w:val="0"/>
          <w:numId w:val="8"/>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ზუსტად დაიცავით ინსტრუქციაში მოცემული რეკომენდაციები. არ გადააჭარბოთ რეკომენდებულ დოზას.</w:t>
      </w:r>
    </w:p>
    <w:p w14:paraId="26952A95" w14:textId="77777777" w:rsidR="003D36D6" w:rsidRPr="00711A1F" w:rsidRDefault="003D36D6" w:rsidP="004A25E9">
      <w:pPr>
        <w:pStyle w:val="ListParagraph"/>
        <w:numPr>
          <w:ilvl w:val="0"/>
          <w:numId w:val="8"/>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არ გამოიყენოთ რეკომენდებულზე მაღალი ან დაბალი დოზა.</w:t>
      </w:r>
    </w:p>
    <w:p w14:paraId="438F4FC0" w14:textId="77777777" w:rsidR="00E148BA" w:rsidRPr="00711A1F" w:rsidRDefault="00E148BA" w:rsidP="004A25E9">
      <w:pPr>
        <w:spacing w:after="0" w:line="240" w:lineRule="auto"/>
        <w:rPr>
          <w:rFonts w:ascii="Sylfaen" w:hAnsi="Sylfaen"/>
          <w:noProof/>
          <w:sz w:val="24"/>
          <w:szCs w:val="24"/>
          <w:lang w:val="ka-GE"/>
        </w:rPr>
      </w:pPr>
    </w:p>
    <w:p w14:paraId="6BF34660" w14:textId="77777777" w:rsidR="00E148BA" w:rsidRPr="00711A1F" w:rsidRDefault="00E148BA" w:rsidP="004A25E9">
      <w:pPr>
        <w:spacing w:after="0" w:line="240" w:lineRule="auto"/>
        <w:rPr>
          <w:rFonts w:ascii="Sylfaen" w:hAnsi="Sylfaen"/>
          <w:b/>
          <w:bCs/>
          <w:noProof/>
          <w:sz w:val="24"/>
          <w:szCs w:val="24"/>
          <w:u w:val="single"/>
          <w:lang w:val="ka-GE"/>
        </w:rPr>
      </w:pPr>
      <w:r w:rsidRPr="00711A1F">
        <w:rPr>
          <w:rFonts w:ascii="Sylfaen" w:hAnsi="Sylfaen"/>
          <w:b/>
          <w:bCs/>
          <w:noProof/>
          <w:sz w:val="24"/>
          <w:szCs w:val="24"/>
          <w:u w:val="single"/>
          <w:lang w:val="ka-GE"/>
        </w:rPr>
        <w:t>გამოყენების ინსტრუქცია შეიცავს შემდეგ პუნქტებს:</w:t>
      </w:r>
    </w:p>
    <w:p w14:paraId="16AD7455" w14:textId="3EC3621A"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 xml:space="preserve">1. რა არის </w:t>
      </w:r>
      <w:r w:rsidR="004A25E9" w:rsidRPr="00711A1F">
        <w:rPr>
          <w:rFonts w:ascii="Sylfaen" w:hAnsi="Sylfaen"/>
          <w:b/>
          <w:bCs/>
          <w:noProof/>
          <w:sz w:val="24"/>
          <w:szCs w:val="24"/>
          <w:lang w:val="ka-GE"/>
        </w:rPr>
        <w:t xml:space="preserve">ტურკფლექსი  5%-იანი </w:t>
      </w:r>
      <w:r w:rsidRPr="00711A1F">
        <w:rPr>
          <w:rFonts w:ascii="Sylfaen" w:hAnsi="Sylfaen"/>
          <w:b/>
          <w:bCs/>
          <w:noProof/>
          <w:sz w:val="24"/>
          <w:szCs w:val="24"/>
          <w:lang w:val="ka-GE"/>
        </w:rPr>
        <w:t>დექსტროზა</w:t>
      </w:r>
      <w:r w:rsidRPr="00711A1F">
        <w:rPr>
          <w:rFonts w:ascii="Sylfaen" w:hAnsi="Sylfaen"/>
          <w:noProof/>
          <w:sz w:val="24"/>
          <w:szCs w:val="24"/>
          <w:lang w:val="ka-GE"/>
        </w:rPr>
        <w:t xml:space="preserve"> და რისთვის გამოიყენება?</w:t>
      </w:r>
    </w:p>
    <w:p w14:paraId="17549F72" w14:textId="6BAD24DC"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 xml:space="preserve">2. რა უნდა გაითვალისწინოთ </w:t>
      </w:r>
      <w:r w:rsidR="004A25E9" w:rsidRPr="00711A1F">
        <w:rPr>
          <w:rFonts w:ascii="Sylfaen" w:hAnsi="Sylfaen"/>
          <w:b/>
          <w:bCs/>
          <w:noProof/>
          <w:sz w:val="24"/>
          <w:szCs w:val="24"/>
          <w:lang w:val="ka-GE"/>
        </w:rPr>
        <w:t>ტურკფლექსი  5%-იანი დექსტროზას</w:t>
      </w:r>
      <w:r w:rsidR="004A25E9" w:rsidRPr="00711A1F">
        <w:rPr>
          <w:rFonts w:ascii="Sylfaen" w:hAnsi="Sylfaen"/>
          <w:noProof/>
          <w:sz w:val="24"/>
          <w:szCs w:val="24"/>
          <w:lang w:val="ka-GE"/>
        </w:rPr>
        <w:t xml:space="preserve"> </w:t>
      </w:r>
      <w:r w:rsidRPr="00711A1F">
        <w:rPr>
          <w:rFonts w:ascii="Sylfaen" w:hAnsi="Sylfaen"/>
          <w:noProof/>
          <w:sz w:val="24"/>
          <w:szCs w:val="24"/>
          <w:lang w:val="ka-GE"/>
        </w:rPr>
        <w:t>გამოყენებამდე</w:t>
      </w:r>
    </w:p>
    <w:p w14:paraId="2475A598" w14:textId="07E91BA6"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 xml:space="preserve">3. როგორ გამოვიყენოთ </w:t>
      </w:r>
      <w:r w:rsidR="004A25E9" w:rsidRPr="00711A1F">
        <w:rPr>
          <w:rFonts w:ascii="Sylfaen" w:hAnsi="Sylfaen"/>
          <w:b/>
          <w:bCs/>
          <w:noProof/>
          <w:sz w:val="24"/>
          <w:szCs w:val="24"/>
          <w:lang w:val="ka-GE"/>
        </w:rPr>
        <w:t>ტურკფლექსი  5%-იანი დექსტროზა</w:t>
      </w:r>
      <w:r w:rsidRPr="00711A1F">
        <w:rPr>
          <w:rFonts w:ascii="Sylfaen" w:hAnsi="Sylfaen"/>
          <w:noProof/>
          <w:sz w:val="24"/>
          <w:szCs w:val="24"/>
          <w:lang w:val="ka-GE"/>
        </w:rPr>
        <w:t>?</w:t>
      </w:r>
    </w:p>
    <w:p w14:paraId="505E6F24"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4. რა არის შესაძლო გვერდითი მოვლენები?</w:t>
      </w:r>
    </w:p>
    <w:p w14:paraId="51DA9763" w14:textId="20AE04AF"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 xml:space="preserve">5. </w:t>
      </w:r>
      <w:r w:rsidR="004A25E9" w:rsidRPr="00711A1F">
        <w:rPr>
          <w:rFonts w:ascii="Sylfaen" w:hAnsi="Sylfaen"/>
          <w:b/>
          <w:bCs/>
          <w:noProof/>
          <w:sz w:val="24"/>
          <w:szCs w:val="24"/>
          <w:lang w:val="ka-GE"/>
        </w:rPr>
        <w:t>ტურკფლექსი  5%-იანი დექსტროზა</w:t>
      </w:r>
      <w:r w:rsidR="004A25E9" w:rsidRPr="00711A1F">
        <w:rPr>
          <w:rFonts w:ascii="Sylfaen" w:hAnsi="Sylfaen"/>
          <w:noProof/>
          <w:sz w:val="24"/>
          <w:szCs w:val="24"/>
          <w:lang w:val="ka-GE"/>
        </w:rPr>
        <w:t xml:space="preserve"> </w:t>
      </w:r>
      <w:r w:rsidRPr="00711A1F">
        <w:rPr>
          <w:rFonts w:ascii="Sylfaen" w:hAnsi="Sylfaen"/>
          <w:noProof/>
          <w:sz w:val="24"/>
          <w:szCs w:val="24"/>
          <w:lang w:val="ka-GE"/>
        </w:rPr>
        <w:t>შენახვ</w:t>
      </w:r>
      <w:r w:rsidR="004A25E9" w:rsidRPr="00711A1F">
        <w:rPr>
          <w:rFonts w:ascii="Sylfaen" w:hAnsi="Sylfaen"/>
          <w:noProof/>
          <w:sz w:val="24"/>
          <w:szCs w:val="24"/>
          <w:lang w:val="ka-GE"/>
        </w:rPr>
        <w:t>ის წესი</w:t>
      </w:r>
    </w:p>
    <w:p w14:paraId="49EE8C9A" w14:textId="77777777" w:rsidR="00E148BA" w:rsidRPr="00711A1F" w:rsidRDefault="00E148BA" w:rsidP="004A25E9">
      <w:pPr>
        <w:spacing w:after="0" w:line="240" w:lineRule="auto"/>
        <w:rPr>
          <w:rFonts w:ascii="Sylfaen" w:hAnsi="Sylfaen"/>
          <w:b/>
          <w:bCs/>
          <w:noProof/>
          <w:sz w:val="24"/>
          <w:szCs w:val="24"/>
          <w:lang w:val="ka-GE"/>
        </w:rPr>
      </w:pPr>
    </w:p>
    <w:p w14:paraId="5F94CF67" w14:textId="1EF0E708" w:rsidR="00E148BA" w:rsidRPr="00711A1F" w:rsidRDefault="004A25E9" w:rsidP="004A25E9">
      <w:pPr>
        <w:spacing w:after="0" w:line="240" w:lineRule="auto"/>
        <w:rPr>
          <w:rFonts w:ascii="Sylfaen" w:hAnsi="Sylfaen"/>
          <w:b/>
          <w:bCs/>
          <w:noProof/>
          <w:sz w:val="24"/>
          <w:szCs w:val="24"/>
          <w:u w:val="single"/>
          <w:lang w:val="ka-GE"/>
        </w:rPr>
      </w:pPr>
      <w:r w:rsidRPr="00711A1F">
        <w:rPr>
          <w:rFonts w:ascii="Sylfaen" w:hAnsi="Sylfaen"/>
          <w:b/>
          <w:bCs/>
          <w:noProof/>
          <w:sz w:val="24"/>
          <w:szCs w:val="24"/>
          <w:u w:val="single"/>
          <w:lang w:val="ka-GE"/>
        </w:rPr>
        <w:t>ამ ინსტრუქციაში წაიკითხავთ:</w:t>
      </w:r>
    </w:p>
    <w:p w14:paraId="0338667E"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 xml:space="preserve">1. რა არის </w:t>
      </w:r>
      <w:r w:rsidR="00E148BA" w:rsidRPr="00711A1F">
        <w:rPr>
          <w:rFonts w:ascii="Sylfaen" w:hAnsi="Sylfaen"/>
          <w:b/>
          <w:bCs/>
          <w:noProof/>
          <w:sz w:val="24"/>
          <w:szCs w:val="24"/>
          <w:lang w:val="ka-GE"/>
        </w:rPr>
        <w:t xml:space="preserve">ტურკფლექსი </w:t>
      </w:r>
      <w:r w:rsidRPr="00711A1F">
        <w:rPr>
          <w:rFonts w:ascii="Sylfaen" w:hAnsi="Sylfaen"/>
          <w:b/>
          <w:bCs/>
          <w:noProof/>
          <w:sz w:val="24"/>
          <w:szCs w:val="24"/>
          <w:lang w:val="ka-GE"/>
        </w:rPr>
        <w:t xml:space="preserve"> 5%-იანი დექსტროზის ხსნარი წყალში და რისთვის გამოიყენება?</w:t>
      </w:r>
    </w:p>
    <w:p w14:paraId="25C0B3BC" w14:textId="77777777" w:rsidR="003D36D6" w:rsidRPr="00711A1F" w:rsidRDefault="00E148BA" w:rsidP="004A25E9">
      <w:pPr>
        <w:pStyle w:val="ListParagraph"/>
        <w:numPr>
          <w:ilvl w:val="0"/>
          <w:numId w:val="10"/>
        </w:numPr>
        <w:spacing w:after="0" w:line="240" w:lineRule="auto"/>
        <w:ind w:left="0" w:firstLine="0"/>
        <w:rPr>
          <w:rFonts w:ascii="Sylfaen" w:hAnsi="Sylfaen"/>
          <w:noProof/>
          <w:sz w:val="24"/>
          <w:szCs w:val="24"/>
          <w:lang w:val="ka-GE"/>
        </w:rPr>
      </w:pPr>
      <w:r w:rsidRPr="00711A1F">
        <w:rPr>
          <w:rFonts w:ascii="Sylfaen" w:hAnsi="Sylfaen"/>
          <w:b/>
          <w:bCs/>
          <w:noProof/>
          <w:sz w:val="24"/>
          <w:szCs w:val="24"/>
          <w:lang w:val="ka-GE"/>
        </w:rPr>
        <w:t xml:space="preserve">ტურკფლექსი </w:t>
      </w:r>
      <w:r w:rsidR="003D36D6" w:rsidRPr="00711A1F">
        <w:rPr>
          <w:rFonts w:ascii="Sylfaen" w:hAnsi="Sylfaen"/>
          <w:b/>
          <w:bCs/>
          <w:noProof/>
          <w:sz w:val="24"/>
          <w:szCs w:val="24"/>
          <w:lang w:val="ka-GE"/>
        </w:rPr>
        <w:t xml:space="preserve"> 5%-იანი დექსტროზის ხსნარი წყალში</w:t>
      </w:r>
      <w:r w:rsidR="003D36D6" w:rsidRPr="00711A1F">
        <w:rPr>
          <w:rFonts w:ascii="Sylfaen" w:hAnsi="Sylfaen"/>
          <w:noProof/>
          <w:sz w:val="24"/>
          <w:szCs w:val="24"/>
          <w:lang w:val="ka-GE"/>
        </w:rPr>
        <w:t xml:space="preserve"> არის სტერილური (მიკროორგანიზმებისგან თავისუფალი) ხსნარი, რომელიც განკუთვნილია ინტრავენური გამოყენებისთვის და შეიცავს დექსტროზას (გლუკოზას) — შაქარს, რომელიც აუცილებელია ორგანიზმის ენერგეტიკული მოთხოვნილებების დასაკმაყოფილებლად.</w:t>
      </w:r>
    </w:p>
    <w:p w14:paraId="6CBC0378" w14:textId="77777777" w:rsidR="00311E57" w:rsidRPr="00711A1F" w:rsidRDefault="003D36D6" w:rsidP="004A25E9">
      <w:pPr>
        <w:pStyle w:val="ListParagraph"/>
        <w:numPr>
          <w:ilvl w:val="0"/>
          <w:numId w:val="10"/>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ხსნარი მოთავსებულია პლასტმასის პარკში, რომელსაც აქვს გარე დამცავი პლასტმასის გარსი. პრეპარატი ხელმისაწვდომია 100 მლ, 150 მლ, 250 მლ, 500 მლ ან 1000 მლ მოცულობით, ინფუზიის სისტემით ან მის გარეშე. იგი ინტრავენურად შეჰყავთ პლასტმასის მილის (ინფუზიის სისტემის) მეშვეობით.</w:t>
      </w:r>
    </w:p>
    <w:p w14:paraId="03DE1114" w14:textId="77777777" w:rsidR="003D36D6" w:rsidRPr="00711A1F" w:rsidRDefault="00E148BA" w:rsidP="004A25E9">
      <w:pPr>
        <w:pStyle w:val="ListParagraph"/>
        <w:numPr>
          <w:ilvl w:val="0"/>
          <w:numId w:val="10"/>
        </w:numPr>
        <w:spacing w:after="0" w:line="240" w:lineRule="auto"/>
        <w:ind w:left="0" w:firstLine="0"/>
        <w:rPr>
          <w:rFonts w:ascii="Sylfaen" w:hAnsi="Sylfaen"/>
          <w:noProof/>
          <w:sz w:val="24"/>
          <w:szCs w:val="24"/>
          <w:lang w:val="ka-GE"/>
        </w:rPr>
      </w:pPr>
      <w:r w:rsidRPr="00711A1F">
        <w:rPr>
          <w:rFonts w:ascii="Sylfaen" w:hAnsi="Sylfaen"/>
          <w:b/>
          <w:bCs/>
          <w:noProof/>
          <w:sz w:val="24"/>
          <w:szCs w:val="24"/>
          <w:lang w:val="ka-GE"/>
        </w:rPr>
        <w:t xml:space="preserve">ტურკფლექსი </w:t>
      </w:r>
      <w:r w:rsidR="003D36D6" w:rsidRPr="00711A1F">
        <w:rPr>
          <w:rFonts w:ascii="Sylfaen" w:hAnsi="Sylfaen"/>
          <w:b/>
          <w:bCs/>
          <w:noProof/>
          <w:sz w:val="24"/>
          <w:szCs w:val="24"/>
          <w:lang w:val="ka-GE"/>
        </w:rPr>
        <w:t xml:space="preserve"> 5%-იანი დექსტროზის ხსნარი წყალში</w:t>
      </w:r>
      <w:r w:rsidR="003D36D6" w:rsidRPr="00711A1F">
        <w:rPr>
          <w:rFonts w:ascii="Sylfaen" w:hAnsi="Sylfaen"/>
          <w:noProof/>
          <w:sz w:val="24"/>
          <w:szCs w:val="24"/>
          <w:lang w:val="ka-GE"/>
        </w:rPr>
        <w:t xml:space="preserve"> გამოიყენება:</w:t>
      </w:r>
      <w:r w:rsidR="00311E57" w:rsidRPr="00711A1F">
        <w:rPr>
          <w:rFonts w:ascii="Sylfaen" w:hAnsi="Sylfaen"/>
          <w:noProof/>
          <w:sz w:val="24"/>
          <w:szCs w:val="24"/>
          <w:lang w:val="ka-GE"/>
        </w:rPr>
        <w:t xml:space="preserve"> </w:t>
      </w:r>
      <w:r w:rsidR="003D36D6" w:rsidRPr="00711A1F">
        <w:rPr>
          <w:rFonts w:ascii="Sylfaen" w:hAnsi="Sylfaen"/>
          <w:noProof/>
          <w:sz w:val="24"/>
          <w:szCs w:val="24"/>
          <w:lang w:val="ka-GE"/>
        </w:rPr>
        <w:t>დეჰიდრატაციის სამკურნალოდ, ორგანიზმიდან დაკარგული სითხის შევსების მიზნით;</w:t>
      </w:r>
      <w:r w:rsidR="00311E57" w:rsidRPr="00711A1F">
        <w:rPr>
          <w:rFonts w:ascii="Sylfaen" w:hAnsi="Sylfaen"/>
          <w:noProof/>
          <w:sz w:val="24"/>
          <w:szCs w:val="24"/>
          <w:lang w:val="ka-GE"/>
        </w:rPr>
        <w:t xml:space="preserve"> </w:t>
      </w:r>
      <w:r w:rsidR="003D36D6" w:rsidRPr="00711A1F">
        <w:rPr>
          <w:rFonts w:ascii="Sylfaen" w:hAnsi="Sylfaen"/>
          <w:noProof/>
          <w:sz w:val="24"/>
          <w:szCs w:val="24"/>
          <w:lang w:val="ka-GE"/>
        </w:rPr>
        <w:t>ორგანიზმიდან დაკარგული ან პერორალურად არასაკმარისად მიღებული შაქრის ჩასანაცვლებლად, რითაც ნაწილობრივ დაკმაყოფილდება ორგანიზმის ენერგეტიკული მოთხოვნილებები.</w:t>
      </w:r>
      <w:r w:rsidR="00311E57" w:rsidRPr="00711A1F">
        <w:rPr>
          <w:rFonts w:ascii="Sylfaen" w:hAnsi="Sylfaen"/>
          <w:noProof/>
          <w:sz w:val="24"/>
          <w:szCs w:val="24"/>
          <w:lang w:val="ka-GE"/>
        </w:rPr>
        <w:t xml:space="preserve"> </w:t>
      </w:r>
      <w:r w:rsidR="003D36D6" w:rsidRPr="00711A1F">
        <w:rPr>
          <w:rFonts w:ascii="Sylfaen" w:hAnsi="Sylfaen"/>
          <w:noProof/>
          <w:sz w:val="24"/>
          <w:szCs w:val="24"/>
          <w:lang w:val="ka-GE"/>
        </w:rPr>
        <w:t>აღნიშნული ხსნარი ასევე ხელს უწყობს ორგანიზმიდან ზედმეტი სითხის გამოდევნას გარკვეულ კლინიკურ მდგომარეობებში.</w:t>
      </w:r>
    </w:p>
    <w:p w14:paraId="7941D0C1" w14:textId="77777777" w:rsidR="003D36D6" w:rsidRPr="00711A1F" w:rsidRDefault="003D36D6" w:rsidP="004A25E9">
      <w:pPr>
        <w:spacing w:after="0" w:line="240" w:lineRule="auto"/>
        <w:rPr>
          <w:rFonts w:ascii="Sylfaen" w:hAnsi="Sylfaen"/>
          <w:noProof/>
          <w:sz w:val="24"/>
          <w:szCs w:val="24"/>
          <w:lang w:val="ka-GE"/>
        </w:rPr>
      </w:pPr>
    </w:p>
    <w:p w14:paraId="6CF2678F" w14:textId="77777777" w:rsidR="003D36D6" w:rsidRPr="00711A1F" w:rsidRDefault="00E148BA" w:rsidP="004A25E9">
      <w:pPr>
        <w:pStyle w:val="ListParagraph"/>
        <w:numPr>
          <w:ilvl w:val="0"/>
          <w:numId w:val="10"/>
        </w:numPr>
        <w:spacing w:after="0" w:line="240" w:lineRule="auto"/>
        <w:ind w:left="0" w:firstLine="0"/>
        <w:rPr>
          <w:rFonts w:ascii="Sylfaen" w:hAnsi="Sylfaen"/>
          <w:noProof/>
          <w:sz w:val="24"/>
          <w:szCs w:val="24"/>
          <w:lang w:val="ka-GE"/>
        </w:rPr>
      </w:pPr>
      <w:r w:rsidRPr="00711A1F">
        <w:rPr>
          <w:rFonts w:ascii="Sylfaen" w:hAnsi="Sylfaen"/>
          <w:b/>
          <w:bCs/>
          <w:noProof/>
          <w:sz w:val="24"/>
          <w:szCs w:val="24"/>
          <w:lang w:val="ka-GE"/>
        </w:rPr>
        <w:t xml:space="preserve">ტურკფლექსი </w:t>
      </w:r>
      <w:r w:rsidR="003D36D6" w:rsidRPr="00711A1F">
        <w:rPr>
          <w:rFonts w:ascii="Sylfaen" w:hAnsi="Sylfaen"/>
          <w:b/>
          <w:bCs/>
          <w:noProof/>
          <w:sz w:val="24"/>
          <w:szCs w:val="24"/>
          <w:lang w:val="ka-GE"/>
        </w:rPr>
        <w:t xml:space="preserve"> 5%-იანი დექსტროზის ხსნარი წყალში</w:t>
      </w:r>
      <w:r w:rsidR="003D36D6" w:rsidRPr="00711A1F">
        <w:rPr>
          <w:rFonts w:ascii="Sylfaen" w:hAnsi="Sylfaen"/>
          <w:noProof/>
          <w:sz w:val="24"/>
          <w:szCs w:val="24"/>
          <w:lang w:val="ka-GE"/>
        </w:rPr>
        <w:t xml:space="preserve"> ასევე გამოიყენება გარკვეული კონცენტრირებული ინტრავენური მედიკამენტების განზავებისთვის მათ ინტრავენურ შეყვანამდე.</w:t>
      </w:r>
    </w:p>
    <w:p w14:paraId="2A7BC513" w14:textId="77777777" w:rsidR="003D36D6" w:rsidRPr="00711A1F" w:rsidRDefault="003D36D6" w:rsidP="004A25E9">
      <w:pPr>
        <w:spacing w:after="0" w:line="240" w:lineRule="auto"/>
        <w:rPr>
          <w:rFonts w:ascii="Sylfaen" w:hAnsi="Sylfaen"/>
          <w:noProof/>
          <w:sz w:val="24"/>
          <w:szCs w:val="24"/>
          <w:lang w:val="ka-GE"/>
        </w:rPr>
      </w:pPr>
    </w:p>
    <w:p w14:paraId="69442192"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lastRenderedPageBreak/>
        <w:t xml:space="preserve">2. რა უნდა გაითვალისწინოთ </w:t>
      </w:r>
      <w:r w:rsidR="00E148BA" w:rsidRPr="00711A1F">
        <w:rPr>
          <w:rFonts w:ascii="Sylfaen" w:hAnsi="Sylfaen"/>
          <w:b/>
          <w:bCs/>
          <w:noProof/>
          <w:sz w:val="24"/>
          <w:szCs w:val="24"/>
          <w:lang w:val="ka-GE"/>
        </w:rPr>
        <w:t xml:space="preserve">ტურკფლექსი </w:t>
      </w:r>
      <w:r w:rsidRPr="00711A1F">
        <w:rPr>
          <w:rFonts w:ascii="Sylfaen" w:hAnsi="Sylfaen"/>
          <w:b/>
          <w:bCs/>
          <w:noProof/>
          <w:sz w:val="24"/>
          <w:szCs w:val="24"/>
          <w:lang w:val="ka-GE"/>
        </w:rPr>
        <w:t xml:space="preserve"> 5%-იანი დექსტროზის ხსნარის გამოყენებამდე</w:t>
      </w:r>
    </w:p>
    <w:p w14:paraId="35C664E9" w14:textId="77777777" w:rsidR="003D36D6" w:rsidRPr="00711A1F" w:rsidRDefault="00E148BA"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 xml:space="preserve">ტურკფლექსი </w:t>
      </w:r>
      <w:r w:rsidR="003D36D6" w:rsidRPr="00711A1F">
        <w:rPr>
          <w:rFonts w:ascii="Sylfaen" w:hAnsi="Sylfaen"/>
          <w:b/>
          <w:bCs/>
          <w:noProof/>
          <w:sz w:val="24"/>
          <w:szCs w:val="24"/>
          <w:lang w:val="ka-GE"/>
        </w:rPr>
        <w:t xml:space="preserve"> 5%-იანი დექსტროზის ხსნარი წყალში</w:t>
      </w:r>
      <w:r w:rsidR="003D36D6" w:rsidRPr="00711A1F">
        <w:rPr>
          <w:rFonts w:ascii="Sylfaen" w:hAnsi="Sylfaen"/>
          <w:noProof/>
          <w:sz w:val="24"/>
          <w:szCs w:val="24"/>
          <w:lang w:val="ka-GE"/>
        </w:rPr>
        <w:t xml:space="preserve"> უსაფრთხოა მრავალი პაციენტისთვის. თუმცა, თუ გაწუხებთ გულის, თირკმლის, ღვიძლის ან ფილტვის დაავადება, ან გაქვთ დიაბეტი, ექიმმა შესაძლოა გადაწყვიტოს, რომ ეს პრეპარატი თქვენთვის არ არის რეკომენდებული.</w:t>
      </w:r>
    </w:p>
    <w:p w14:paraId="171A21ED"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გარდა ამისა, აღნიშნული ხსნარი არ უნდა შეიყვანოთ იმავე საინფუზიო სისტემით, რომლითაც ტარდება სისხლის გადასხმა — არც გადასხმამდე და არც მის შემდეგ.</w:t>
      </w:r>
    </w:p>
    <w:p w14:paraId="60944E6C" w14:textId="77777777" w:rsidR="00311E57" w:rsidRPr="00711A1F" w:rsidRDefault="00311E57" w:rsidP="004A25E9">
      <w:pPr>
        <w:spacing w:after="0" w:line="240" w:lineRule="auto"/>
        <w:rPr>
          <w:rFonts w:ascii="Sylfaen" w:hAnsi="Sylfaen"/>
          <w:b/>
          <w:bCs/>
          <w:noProof/>
          <w:sz w:val="24"/>
          <w:szCs w:val="24"/>
          <w:lang w:val="ka-GE"/>
        </w:rPr>
      </w:pPr>
    </w:p>
    <w:p w14:paraId="34917075"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 xml:space="preserve">არ გამოიყენოთ </w:t>
      </w:r>
      <w:r w:rsidR="00E148BA" w:rsidRPr="00711A1F">
        <w:rPr>
          <w:rFonts w:ascii="Sylfaen" w:hAnsi="Sylfaen"/>
          <w:b/>
          <w:bCs/>
          <w:noProof/>
          <w:sz w:val="24"/>
          <w:szCs w:val="24"/>
          <w:lang w:val="ka-GE"/>
        </w:rPr>
        <w:t xml:space="preserve">ტურკფლექსი </w:t>
      </w:r>
      <w:r w:rsidRPr="00711A1F">
        <w:rPr>
          <w:rFonts w:ascii="Sylfaen" w:hAnsi="Sylfaen"/>
          <w:b/>
          <w:bCs/>
          <w:noProof/>
          <w:sz w:val="24"/>
          <w:szCs w:val="24"/>
          <w:lang w:val="ka-GE"/>
        </w:rPr>
        <w:t xml:space="preserve"> 5%-იანი დექსტროზის ხსნარი წყალში შემდეგ შემთხვევებში:</w:t>
      </w:r>
    </w:p>
    <w:p w14:paraId="4A940F92"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თუ:</w:t>
      </w:r>
    </w:p>
    <w:p w14:paraId="2D26306D" w14:textId="77777777" w:rsidR="003D36D6" w:rsidRPr="00711A1F" w:rsidRDefault="003D36D6" w:rsidP="004A25E9">
      <w:pPr>
        <w:numPr>
          <w:ilvl w:val="0"/>
          <w:numId w:val="2"/>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სისხლში შაქრის დონე ნორმაზე მაღალია (ჰიპერგლიკემია);</w:t>
      </w:r>
    </w:p>
    <w:p w14:paraId="2D1C9E04" w14:textId="77777777" w:rsidR="003D36D6" w:rsidRPr="00711A1F" w:rsidRDefault="003D36D6" w:rsidP="004A25E9">
      <w:pPr>
        <w:numPr>
          <w:ilvl w:val="0"/>
          <w:numId w:val="2"/>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გაქვთ უკონტროლო დიაბეტი;</w:t>
      </w:r>
    </w:p>
    <w:p w14:paraId="3DE6BFD1" w14:textId="77777777" w:rsidR="003D36D6" w:rsidRPr="00711A1F" w:rsidRDefault="003D36D6" w:rsidP="004A25E9">
      <w:pPr>
        <w:numPr>
          <w:ilvl w:val="0"/>
          <w:numId w:val="2"/>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აღგენიშნებათ შაქრის აუტანლობა, რომელიც შეიძლება განვითარდეს ორგანიზმში მეტაბოლური პროცესების დარღვევისას;</w:t>
      </w:r>
    </w:p>
    <w:p w14:paraId="58598FE3" w14:textId="77777777" w:rsidR="003D36D6" w:rsidRPr="00711A1F" w:rsidRDefault="003D36D6" w:rsidP="004A25E9">
      <w:pPr>
        <w:numPr>
          <w:ilvl w:val="0"/>
          <w:numId w:val="2"/>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ორგანიზმი მძიმედ არის გაუწყლოებული და მდგომარეობის კორექციის მიზნით დიდი რაოდენობით შაქრიანი სითხეების მიღების შედეგად განვითარდა ჰიპეროსმოლარული კომა;</w:t>
      </w:r>
    </w:p>
    <w:p w14:paraId="7EF1E4EE" w14:textId="77777777" w:rsidR="003D36D6" w:rsidRPr="00711A1F" w:rsidRDefault="003D36D6" w:rsidP="004A25E9">
      <w:pPr>
        <w:numPr>
          <w:ilvl w:val="0"/>
          <w:numId w:val="2"/>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გაქვთ სისხლში რძემჟავას მომატებული დონე (ჰიპერლაქტატემია), რაც ნახშირწყლების ცვლის დარღვევასთანაა დაკავშირებული;</w:t>
      </w:r>
    </w:p>
    <w:p w14:paraId="20E88D20" w14:textId="77777777" w:rsidR="003D36D6" w:rsidRPr="00711A1F" w:rsidRDefault="003D36D6" w:rsidP="004A25E9">
      <w:pPr>
        <w:numPr>
          <w:ilvl w:val="0"/>
          <w:numId w:val="2"/>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გაქვთ მომატებული მგრძნობელობა (ალერგია) სიმინდის ან სიმინდის პროდუქტების მიმართ.</w:t>
      </w:r>
    </w:p>
    <w:p w14:paraId="147AD879" w14:textId="77777777" w:rsidR="003D36D6" w:rsidRPr="00711A1F" w:rsidRDefault="003D36D6" w:rsidP="004A25E9">
      <w:pPr>
        <w:spacing w:after="0" w:line="240" w:lineRule="auto"/>
        <w:rPr>
          <w:rFonts w:ascii="Sylfaen" w:hAnsi="Sylfaen"/>
          <w:noProof/>
          <w:sz w:val="24"/>
          <w:szCs w:val="24"/>
          <w:lang w:val="ka-GE"/>
        </w:rPr>
      </w:pPr>
    </w:p>
    <w:p w14:paraId="47CF5740" w14:textId="77777777" w:rsidR="003D36D6" w:rsidRPr="00711A1F" w:rsidRDefault="00E148BA"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 xml:space="preserve">ტურკფლექსი </w:t>
      </w:r>
      <w:r w:rsidR="003D36D6" w:rsidRPr="00711A1F">
        <w:rPr>
          <w:rFonts w:ascii="Sylfaen" w:hAnsi="Sylfaen"/>
          <w:b/>
          <w:bCs/>
          <w:noProof/>
          <w:sz w:val="24"/>
          <w:szCs w:val="24"/>
          <w:lang w:val="ka-GE"/>
        </w:rPr>
        <w:t xml:space="preserve"> 5%-იანი დექსტროზის ხსნარი წყალში სიფრთხილით გამოიყენეთ შემდეგ შემთხვევებში:</w:t>
      </w:r>
    </w:p>
    <w:p w14:paraId="7852FC0D"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თუ:</w:t>
      </w:r>
    </w:p>
    <w:p w14:paraId="229C7BB5" w14:textId="77777777" w:rsidR="003D36D6" w:rsidRPr="00711A1F" w:rsidRDefault="003D36D6" w:rsidP="004A25E9">
      <w:pPr>
        <w:numPr>
          <w:ilvl w:val="0"/>
          <w:numId w:val="3"/>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გაქვთ წყლის ინტოქსიკაცია;</w:t>
      </w:r>
    </w:p>
    <w:p w14:paraId="68428154" w14:textId="77777777" w:rsidR="003D36D6" w:rsidRPr="00711A1F" w:rsidRDefault="003D36D6" w:rsidP="004A25E9">
      <w:pPr>
        <w:numPr>
          <w:ilvl w:val="0"/>
          <w:numId w:val="3"/>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გაწუხებთ თირკმლის მძიმე უკმარისობა, რომელიც ხასიათდება შარდის გამოყოფის მკვეთრი შემცირებით ან სრული არარსებობით (ოლიგურია/ანურია);</w:t>
      </w:r>
    </w:p>
    <w:p w14:paraId="5A6864A8" w14:textId="77777777" w:rsidR="003D36D6" w:rsidRPr="00711A1F" w:rsidRDefault="003D36D6" w:rsidP="004A25E9">
      <w:pPr>
        <w:numPr>
          <w:ilvl w:val="0"/>
          <w:numId w:val="3"/>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გაქვთ გულის უკმარისობა;</w:t>
      </w:r>
    </w:p>
    <w:p w14:paraId="71EA6582" w14:textId="77777777" w:rsidR="003D36D6" w:rsidRPr="00711A1F" w:rsidRDefault="003D36D6" w:rsidP="004A25E9">
      <w:pPr>
        <w:numPr>
          <w:ilvl w:val="0"/>
          <w:numId w:val="3"/>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გაქვთ ფილტვის უკმარისობა;</w:t>
      </w:r>
    </w:p>
    <w:p w14:paraId="48451C52" w14:textId="77777777" w:rsidR="003D36D6" w:rsidRPr="00711A1F" w:rsidRDefault="003D36D6" w:rsidP="004A25E9">
      <w:pPr>
        <w:numPr>
          <w:ilvl w:val="0"/>
          <w:numId w:val="3"/>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გადატანილი გაქვთ ინსულტი (მათ შორის მწვავე იშემიური ინსულტი), რომელიც გამოწვეულია თავის ტვინის სისხლძარღვების უეცარი ბლოკირებით ან სისხლდენით;</w:t>
      </w:r>
    </w:p>
    <w:p w14:paraId="1E5C4571" w14:textId="77777777" w:rsidR="003D36D6" w:rsidRPr="00711A1F" w:rsidRDefault="003D36D6" w:rsidP="004A25E9">
      <w:pPr>
        <w:numPr>
          <w:ilvl w:val="0"/>
          <w:numId w:val="3"/>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ბოლო 24 საათის განმავლობაში გადაიტანეთ თავის ტრავმა;</w:t>
      </w:r>
    </w:p>
    <w:p w14:paraId="54E0B6BF" w14:textId="77777777" w:rsidR="003D36D6" w:rsidRPr="00711A1F" w:rsidRDefault="003D36D6" w:rsidP="004A25E9">
      <w:pPr>
        <w:numPr>
          <w:ilvl w:val="0"/>
          <w:numId w:val="3"/>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გაქვთ მომატებული ქალასშიდა წნევა.</w:t>
      </w:r>
    </w:p>
    <w:p w14:paraId="4BCFAE27" w14:textId="77777777" w:rsidR="00311E57" w:rsidRPr="00711A1F" w:rsidRDefault="00311E57" w:rsidP="004A25E9">
      <w:pPr>
        <w:spacing w:after="0" w:line="240" w:lineRule="auto"/>
        <w:rPr>
          <w:rFonts w:ascii="Sylfaen" w:hAnsi="Sylfaen"/>
          <w:noProof/>
          <w:sz w:val="24"/>
          <w:szCs w:val="24"/>
          <w:lang w:val="ka-GE"/>
        </w:rPr>
      </w:pPr>
    </w:p>
    <w:p w14:paraId="7958F62A"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ამ მდგომარეობების არსებობის შემთხვევაში პრეპარატის გამოყენება შესაძლებელია მხოლოდ ექიმის მკაცრი კონტროლის ქვეშ.</w:t>
      </w:r>
    </w:p>
    <w:p w14:paraId="64E8ADF4" w14:textId="77777777" w:rsidR="00311E57" w:rsidRPr="00711A1F" w:rsidRDefault="00311E57" w:rsidP="004A25E9">
      <w:pPr>
        <w:spacing w:after="0" w:line="240" w:lineRule="auto"/>
        <w:rPr>
          <w:rFonts w:ascii="Sylfaen" w:hAnsi="Sylfaen"/>
          <w:noProof/>
          <w:sz w:val="24"/>
          <w:szCs w:val="24"/>
          <w:lang w:val="ka-GE"/>
        </w:rPr>
      </w:pPr>
    </w:p>
    <w:p w14:paraId="4D665DDB" w14:textId="77777777" w:rsidR="003D36D6" w:rsidRPr="00711A1F" w:rsidRDefault="00E148BA"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 xml:space="preserve">ტურკფლექსი </w:t>
      </w:r>
      <w:r w:rsidR="003D36D6" w:rsidRPr="00711A1F">
        <w:rPr>
          <w:rFonts w:ascii="Sylfaen" w:hAnsi="Sylfaen"/>
          <w:b/>
          <w:bCs/>
          <w:noProof/>
          <w:sz w:val="24"/>
          <w:szCs w:val="24"/>
          <w:lang w:val="ka-GE"/>
        </w:rPr>
        <w:t xml:space="preserve"> 5%-იანი დექსტროზის ხსნარის გამოყენება საკვებთან და სასმელებთან</w:t>
      </w:r>
    </w:p>
    <w:p w14:paraId="6B2B69D5" w14:textId="77777777" w:rsidR="003D36D6"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 xml:space="preserve">ტურკფლექსი </w:t>
      </w:r>
      <w:r w:rsidR="003D36D6" w:rsidRPr="00711A1F">
        <w:rPr>
          <w:rFonts w:ascii="Sylfaen" w:hAnsi="Sylfaen"/>
          <w:noProof/>
          <w:sz w:val="24"/>
          <w:szCs w:val="24"/>
          <w:lang w:val="ka-GE"/>
        </w:rPr>
        <w:t xml:space="preserve"> 5%-იანი დექსტროზის ხსნარი ინტრავენურად შესაყვანი პრეპარატია; მისი ურთიერთქმედება საკვებთან ან სასმელებთან ცნობილი არ არის.</w:t>
      </w:r>
    </w:p>
    <w:p w14:paraId="7B87F0F5" w14:textId="77777777" w:rsidR="003D36D6" w:rsidRPr="00711A1F" w:rsidRDefault="003D36D6" w:rsidP="004A25E9">
      <w:pPr>
        <w:spacing w:after="0" w:line="240" w:lineRule="auto"/>
        <w:rPr>
          <w:rFonts w:ascii="Sylfaen" w:hAnsi="Sylfaen"/>
          <w:noProof/>
          <w:sz w:val="24"/>
          <w:szCs w:val="24"/>
          <w:lang w:val="ka-GE"/>
        </w:rPr>
      </w:pPr>
    </w:p>
    <w:p w14:paraId="2933EC74"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ორსულობა</w:t>
      </w:r>
    </w:p>
    <w:p w14:paraId="4802E4F3" w14:textId="77777777" w:rsidR="003D36D6" w:rsidRPr="00711A1F" w:rsidRDefault="003D36D6" w:rsidP="004A25E9">
      <w:pPr>
        <w:spacing w:after="0" w:line="240" w:lineRule="auto"/>
        <w:rPr>
          <w:rFonts w:ascii="Sylfaen" w:hAnsi="Sylfaen"/>
          <w:i/>
          <w:noProof/>
          <w:sz w:val="24"/>
          <w:szCs w:val="24"/>
          <w:lang w:val="ka-GE"/>
        </w:rPr>
      </w:pPr>
      <w:r w:rsidRPr="00711A1F">
        <w:rPr>
          <w:rFonts w:ascii="Sylfaen" w:hAnsi="Sylfaen"/>
          <w:i/>
          <w:noProof/>
          <w:sz w:val="24"/>
          <w:szCs w:val="24"/>
          <w:lang w:val="ka-GE"/>
        </w:rPr>
        <w:t>პრეპარატის გამოყენებამდე მიმართეთ ექიმს ან ფარმაცევტს.</w:t>
      </w:r>
    </w:p>
    <w:p w14:paraId="32160AB5"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lastRenderedPageBreak/>
        <w:t xml:space="preserve">ორსულობის პერიოდში </w:t>
      </w:r>
      <w:r w:rsidR="00E148BA" w:rsidRPr="00711A1F">
        <w:rPr>
          <w:rFonts w:ascii="Sylfaen" w:hAnsi="Sylfaen"/>
          <w:noProof/>
          <w:sz w:val="24"/>
          <w:szCs w:val="24"/>
          <w:lang w:val="ka-GE"/>
        </w:rPr>
        <w:t xml:space="preserve">ტურკფლექსი </w:t>
      </w:r>
      <w:r w:rsidRPr="00711A1F">
        <w:rPr>
          <w:rFonts w:ascii="Sylfaen" w:hAnsi="Sylfaen"/>
          <w:noProof/>
          <w:sz w:val="24"/>
          <w:szCs w:val="24"/>
          <w:lang w:val="ka-GE"/>
        </w:rPr>
        <w:t xml:space="preserve"> 5%-იანი დექსტროზის ხსნარი არ უნდა გამოიყენებოდეს, გარდა იმ შემთხვევებისა, როდესაც მისი გამოყენება აბსოლუტურად აუცილებელია.</w:t>
      </w:r>
    </w:p>
    <w:p w14:paraId="12A57FB9"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თუ ორსულად ხართ ან ფიქრობთ, რომ შესაძლოა ორსულად იყოთ, დაუყოვნებლივ აცნობეთ ამის შესახებ ექიმს.</w:t>
      </w:r>
    </w:p>
    <w:p w14:paraId="722197FF"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თუ მკურნალობის პერიოდში გაიგებთ, რომ ორსულად ხართ, დაუყოვნებლივ მიმართეთ ექიმს ან ფარმაცევტს.</w:t>
      </w:r>
    </w:p>
    <w:p w14:paraId="285B7A37"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ძუძუთი კვება</w:t>
      </w:r>
    </w:p>
    <w:p w14:paraId="586C6865" w14:textId="77777777" w:rsidR="003D36D6" w:rsidRPr="00711A1F" w:rsidRDefault="003D36D6" w:rsidP="004A25E9">
      <w:pPr>
        <w:spacing w:after="0" w:line="240" w:lineRule="auto"/>
        <w:rPr>
          <w:rFonts w:ascii="Sylfaen" w:hAnsi="Sylfaen"/>
          <w:i/>
          <w:noProof/>
          <w:sz w:val="24"/>
          <w:szCs w:val="24"/>
          <w:lang w:val="ka-GE"/>
        </w:rPr>
      </w:pPr>
      <w:r w:rsidRPr="00711A1F">
        <w:rPr>
          <w:rFonts w:ascii="Sylfaen" w:hAnsi="Sylfaen"/>
          <w:i/>
          <w:noProof/>
          <w:sz w:val="24"/>
          <w:szCs w:val="24"/>
          <w:lang w:val="ka-GE"/>
        </w:rPr>
        <w:t>პრეპარატის გამოყენებამდე მიმართეთ ექიმს ან ფარმაცევტს.</w:t>
      </w:r>
    </w:p>
    <w:p w14:paraId="2B87D0D6"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ავტომობილისა და მექანიზმების მართვა</w:t>
      </w:r>
    </w:p>
    <w:p w14:paraId="146368DA" w14:textId="77777777" w:rsidR="003D36D6"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 xml:space="preserve">ტურკფლექსი </w:t>
      </w:r>
      <w:r w:rsidR="003D36D6" w:rsidRPr="00711A1F">
        <w:rPr>
          <w:rFonts w:ascii="Sylfaen" w:hAnsi="Sylfaen"/>
          <w:noProof/>
          <w:sz w:val="24"/>
          <w:szCs w:val="24"/>
          <w:lang w:val="ka-GE"/>
        </w:rPr>
        <w:t xml:space="preserve"> 5%-იანი დექსტროზის ხსნარით მკურნალობის პერიოდში ავტომობილის მართვა ან მექანიზმებთან მუშაობა რეკომენდებული არ არის.</w:t>
      </w:r>
    </w:p>
    <w:p w14:paraId="44BA3522"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მკურნალობის დასრულების შემდეგ შეგიძლიათ განაგრძოთ ყოველდღიური საქმიანობა, მათ შორის ავტომობილის მართვა და მექანიზმებთან მუშაობა.</w:t>
      </w:r>
    </w:p>
    <w:p w14:paraId="13F3BAD2"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 xml:space="preserve">მნიშვნელოვანი ინფორმაცია </w:t>
      </w:r>
      <w:r w:rsidR="00E148BA" w:rsidRPr="00711A1F">
        <w:rPr>
          <w:rFonts w:ascii="Sylfaen" w:hAnsi="Sylfaen"/>
          <w:b/>
          <w:bCs/>
          <w:noProof/>
          <w:sz w:val="24"/>
          <w:szCs w:val="24"/>
          <w:lang w:val="ka-GE"/>
        </w:rPr>
        <w:t xml:space="preserve">ტურკფლექსი </w:t>
      </w:r>
      <w:r w:rsidRPr="00711A1F">
        <w:rPr>
          <w:rFonts w:ascii="Sylfaen" w:hAnsi="Sylfaen"/>
          <w:b/>
          <w:bCs/>
          <w:noProof/>
          <w:sz w:val="24"/>
          <w:szCs w:val="24"/>
          <w:lang w:val="ka-GE"/>
        </w:rPr>
        <w:t xml:space="preserve"> 5%-იანი დექსტროზის ხსნარში შემავალი ზოგიერთი დამხმარე ნივთიერების შესახებ</w:t>
      </w:r>
    </w:p>
    <w:p w14:paraId="0852D419"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პრეპარატი არ შეიცავს ისეთ დამხმარე ნივთიერებებს, რომლებიც განსაკუთრებულ გაფრთხილებას საჭიროებს.</w:t>
      </w:r>
    </w:p>
    <w:p w14:paraId="3C18832F"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სხვა პრეპარატებთან ერთად გამოყენება</w:t>
      </w:r>
    </w:p>
    <w:p w14:paraId="136D6CEE" w14:textId="77777777" w:rsidR="003D36D6"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 xml:space="preserve">ტურკფლექსი </w:t>
      </w:r>
      <w:r w:rsidR="003D36D6" w:rsidRPr="00711A1F">
        <w:rPr>
          <w:rFonts w:ascii="Sylfaen" w:hAnsi="Sylfaen"/>
          <w:noProof/>
          <w:sz w:val="24"/>
          <w:szCs w:val="24"/>
          <w:lang w:val="ka-GE"/>
        </w:rPr>
        <w:t xml:space="preserve"> 5%-იანი დექსტროზის ხსნართან ერთად ნებისმიერი მედიკამენტის გამოყენებამდე გაიარეთ კონსულტაცია ექიმთან.</w:t>
      </w:r>
    </w:p>
    <w:p w14:paraId="67F8AB8B"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თუ გაქვთ დიაბეტი, აღნიშნული პრეპარატის გამოყენება შეიძლება არ იყოს რეკომენდებული, ან საჭირო გახდეს მისი გამოყენება სხვა მედიკამენტთან ერთად სისხლში შაქრის დონის კონტროლის მიზნით.</w:t>
      </w:r>
    </w:p>
    <w:p w14:paraId="49D9DF78"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მკურნალობის დაწყებამდე მნიშვნელოვანია აცნობოთ ექიმს ან ექთანს ყველა იმ მედიკამენტის შესახებ, რომელსაც ამჟამად იღებთ — როგორც რეცეპტით, ასევე ურეცეპტოდ გაცემულს.</w:t>
      </w:r>
    </w:p>
    <w:p w14:paraId="465ECE9E" w14:textId="77777777" w:rsidR="003D36D6" w:rsidRPr="00711A1F" w:rsidRDefault="003D36D6" w:rsidP="004A25E9">
      <w:pPr>
        <w:spacing w:after="0" w:line="240" w:lineRule="auto"/>
        <w:rPr>
          <w:rFonts w:ascii="Sylfaen" w:hAnsi="Sylfaen"/>
          <w:i/>
          <w:noProof/>
          <w:sz w:val="24"/>
          <w:szCs w:val="24"/>
          <w:lang w:val="ka-GE"/>
        </w:rPr>
      </w:pPr>
      <w:r w:rsidRPr="00711A1F">
        <w:rPr>
          <w:rFonts w:ascii="Sylfaen" w:hAnsi="Sylfaen"/>
          <w:i/>
          <w:noProof/>
          <w:sz w:val="24"/>
          <w:szCs w:val="24"/>
          <w:lang w:val="ka-GE"/>
        </w:rPr>
        <w:t>თუ ამჟამად იღებთ ან ახლო წარსულში იღებდით ნებისმიერ რეცეპტით ან ურეცეპტოდ გაცემულ მედიკამენტს, აუცილებლად აცნობეთ ამის შესახებ ექიმს ან ფარმაცევტს.</w:t>
      </w:r>
    </w:p>
    <w:p w14:paraId="3E295CF0" w14:textId="77777777" w:rsidR="00311E57" w:rsidRPr="00711A1F" w:rsidRDefault="00311E57" w:rsidP="004A25E9">
      <w:pPr>
        <w:spacing w:after="0" w:line="240" w:lineRule="auto"/>
        <w:rPr>
          <w:rFonts w:ascii="Sylfaen" w:hAnsi="Sylfaen"/>
          <w:noProof/>
          <w:sz w:val="24"/>
          <w:szCs w:val="24"/>
          <w:lang w:val="ka-GE"/>
        </w:rPr>
      </w:pPr>
    </w:p>
    <w:p w14:paraId="53DF3F59"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 xml:space="preserve">3. როგორ გამოვიყენოთ </w:t>
      </w:r>
      <w:r w:rsidR="00E148BA" w:rsidRPr="00711A1F">
        <w:rPr>
          <w:rFonts w:ascii="Sylfaen" w:hAnsi="Sylfaen"/>
          <w:b/>
          <w:bCs/>
          <w:noProof/>
          <w:sz w:val="24"/>
          <w:szCs w:val="24"/>
          <w:lang w:val="ka-GE"/>
        </w:rPr>
        <w:t xml:space="preserve">ტურკფლექსი </w:t>
      </w:r>
      <w:r w:rsidRPr="00711A1F">
        <w:rPr>
          <w:rFonts w:ascii="Sylfaen" w:hAnsi="Sylfaen"/>
          <w:b/>
          <w:bCs/>
          <w:noProof/>
          <w:sz w:val="24"/>
          <w:szCs w:val="24"/>
          <w:lang w:val="ka-GE"/>
        </w:rPr>
        <w:t xml:space="preserve"> 5%-იანი დექსტროზის ხსნარი წყალში?</w:t>
      </w:r>
    </w:p>
    <w:p w14:paraId="368E2335" w14:textId="77777777" w:rsidR="003D36D6" w:rsidRPr="00711A1F" w:rsidRDefault="003D36D6" w:rsidP="004A25E9">
      <w:pPr>
        <w:spacing w:after="0" w:line="240" w:lineRule="auto"/>
        <w:rPr>
          <w:rFonts w:ascii="Sylfaen" w:hAnsi="Sylfaen"/>
          <w:b/>
          <w:bCs/>
          <w:noProof/>
          <w:sz w:val="24"/>
          <w:szCs w:val="24"/>
          <w:lang w:val="ka-GE"/>
        </w:rPr>
      </w:pPr>
      <w:r w:rsidRPr="00711A1F">
        <w:rPr>
          <w:rFonts w:ascii="Sylfaen" w:hAnsi="Sylfaen"/>
          <w:b/>
          <w:bCs/>
          <w:noProof/>
          <w:sz w:val="24"/>
          <w:szCs w:val="24"/>
          <w:lang w:val="ka-GE"/>
        </w:rPr>
        <w:t>სწორი გამოყენებისა და დოზირების/მიღების სიხშირის შესახებ ინსტრუქცია:</w:t>
      </w:r>
    </w:p>
    <w:p w14:paraId="68399B05" w14:textId="77777777" w:rsidR="003D36D6" w:rsidRPr="00711A1F" w:rsidRDefault="003D36D6" w:rsidP="004A25E9">
      <w:pPr>
        <w:pStyle w:val="ListParagraph"/>
        <w:numPr>
          <w:ilvl w:val="0"/>
          <w:numId w:val="11"/>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ექიმი განსაზღვრავს, რა რაოდენობით გჭირდებათ აღნიშნული პრეპარატი და როდის უნდა მოხდეს მისი შეყვანა. დოზა დამოკიდებულია თქვენს ასაკზე, სხეულის მასაზე და პრეპარატის გამოყენების მიზანზე.</w:t>
      </w:r>
    </w:p>
    <w:p w14:paraId="04FD06DB" w14:textId="77777777" w:rsidR="00311E57" w:rsidRPr="00711A1F" w:rsidRDefault="003D36D6" w:rsidP="004A25E9">
      <w:pPr>
        <w:pStyle w:val="ListParagraph"/>
        <w:numPr>
          <w:ilvl w:val="0"/>
          <w:numId w:val="11"/>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დაიცავით ექიმის მითითებები. არ შეცვალოთ დოზა და არ შეწყვიტოთ მკურნალობა ექიმთან კონსულტაციის გარეშე.</w:t>
      </w:r>
    </w:p>
    <w:p w14:paraId="79FCB295" w14:textId="77777777" w:rsidR="00311E57" w:rsidRPr="00711A1F" w:rsidRDefault="003D36D6" w:rsidP="004A25E9">
      <w:pPr>
        <w:pStyle w:val="ListParagraph"/>
        <w:numPr>
          <w:ilvl w:val="0"/>
          <w:numId w:val="11"/>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ეცადეთ, არ გამოტოვოთ დანიშნული პროცედურა.</w:t>
      </w:r>
    </w:p>
    <w:p w14:paraId="6E5BF2B7" w14:textId="77777777" w:rsidR="003D36D6" w:rsidRPr="00711A1F" w:rsidRDefault="003D36D6" w:rsidP="004A25E9">
      <w:pPr>
        <w:pStyle w:val="ListParagraph"/>
        <w:numPr>
          <w:ilvl w:val="0"/>
          <w:numId w:val="11"/>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ექიმი განსაზღვრავს მკურნალობის ხანგრძლივობას. არ შეწყვიტოთ მკურნალობა ნაადრევად, რადგან ამან შესაძლოა შეამციროს თერაპიული ეფექტი.</w:t>
      </w:r>
    </w:p>
    <w:p w14:paraId="587B4898" w14:textId="77777777" w:rsidR="003D36D6" w:rsidRPr="00711A1F" w:rsidRDefault="003D36D6" w:rsidP="004A25E9">
      <w:pPr>
        <w:spacing w:after="0" w:line="240" w:lineRule="auto"/>
        <w:rPr>
          <w:rFonts w:ascii="Sylfaen" w:hAnsi="Sylfaen"/>
          <w:noProof/>
          <w:sz w:val="24"/>
          <w:szCs w:val="24"/>
          <w:lang w:val="ka-GE"/>
        </w:rPr>
      </w:pPr>
    </w:p>
    <w:p w14:paraId="0C9CE1A3"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გამოყენების მეთოდი და წესი:</w:t>
      </w:r>
    </w:p>
    <w:p w14:paraId="7988EBB3"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პრეპარატი შეჰყავთ ვენაში (ინტრავენურად) შესაბამისი ინფუზიის სისტემის (პლასტმასის ნაკრების) მეშვეობით.</w:t>
      </w:r>
    </w:p>
    <w:p w14:paraId="3774A37A"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სხვადასხვა ასაკობრივი ჯგუფები</w:t>
      </w:r>
    </w:p>
    <w:p w14:paraId="10B04DD9"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გამოყენება ბავშვებში:</w:t>
      </w:r>
      <w:r w:rsidRPr="00711A1F">
        <w:rPr>
          <w:rFonts w:ascii="Sylfaen" w:hAnsi="Sylfaen"/>
          <w:noProof/>
          <w:sz w:val="24"/>
          <w:szCs w:val="24"/>
          <w:lang w:val="ka-GE"/>
        </w:rPr>
        <w:br/>
        <w:t>ბავშვებში დოზა და ინფუზიის სიჩქარე განისაზღვრება მკურნალი ექიმის მიერ, ბავშვის ასაკის, სხეულის მასისა და კლინიკური მდგომარეობის გათვალისწინებით.</w:t>
      </w:r>
    </w:p>
    <w:p w14:paraId="56A73F18" w14:textId="77777777" w:rsidR="00311E57" w:rsidRPr="00711A1F" w:rsidRDefault="00311E57" w:rsidP="004A25E9">
      <w:pPr>
        <w:spacing w:after="0" w:line="240" w:lineRule="auto"/>
        <w:rPr>
          <w:rFonts w:ascii="Sylfaen" w:hAnsi="Sylfaen"/>
          <w:noProof/>
          <w:sz w:val="24"/>
          <w:szCs w:val="24"/>
          <w:lang w:val="ka-GE"/>
        </w:rPr>
      </w:pPr>
    </w:p>
    <w:p w14:paraId="692C5D93"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გამოყენება ხანდაზმულებში:</w:t>
      </w:r>
      <w:r w:rsidRPr="00711A1F">
        <w:rPr>
          <w:rFonts w:ascii="Sylfaen" w:hAnsi="Sylfaen"/>
          <w:noProof/>
          <w:sz w:val="24"/>
          <w:szCs w:val="24"/>
          <w:lang w:val="ka-GE"/>
        </w:rPr>
        <w:br/>
        <w:t>ხანდაზმულ პაციენტებში პრეპარატი გამოიყენება ისევე, როგორც მოზრდილებში, თუმცა დოზა და ინფუზიის სიჩქარე ინდივიდუალურად უნდა განისაზღვროს ექიმის მიერ.</w:t>
      </w:r>
    </w:p>
    <w:p w14:paraId="5CED8F73"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გამოყენება ხანდაზმულებში</w:t>
      </w:r>
    </w:p>
    <w:p w14:paraId="20A52517" w14:textId="77777777" w:rsidR="00311E57"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 xml:space="preserve">ხანდაზმულ პაციენტებში </w:t>
      </w:r>
      <w:r w:rsidR="00E148BA" w:rsidRPr="00711A1F">
        <w:rPr>
          <w:rFonts w:ascii="Sylfaen" w:hAnsi="Sylfaen"/>
          <w:noProof/>
          <w:sz w:val="24"/>
          <w:szCs w:val="24"/>
          <w:lang w:val="ka-GE"/>
        </w:rPr>
        <w:t xml:space="preserve">ტურკფლექსი </w:t>
      </w:r>
      <w:r w:rsidRPr="00711A1F">
        <w:rPr>
          <w:rFonts w:ascii="Sylfaen" w:hAnsi="Sylfaen"/>
          <w:noProof/>
          <w:sz w:val="24"/>
          <w:szCs w:val="24"/>
          <w:lang w:val="ka-GE"/>
        </w:rPr>
        <w:t xml:space="preserve"> 5%-იანი დექსტროზის ხსნარი გამოიყენება ისე, როგორც მოზრდილებში</w:t>
      </w:r>
      <w:r w:rsidR="00311E57" w:rsidRPr="00711A1F">
        <w:rPr>
          <w:rFonts w:ascii="Sylfaen" w:hAnsi="Sylfaen"/>
          <w:noProof/>
          <w:sz w:val="24"/>
          <w:szCs w:val="24"/>
          <w:lang w:val="ka-GE"/>
        </w:rPr>
        <w:t>.</w:t>
      </w:r>
    </w:p>
    <w:p w14:paraId="032C2562"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სპეციალური გამოყენების შემთხვევები</w:t>
      </w:r>
    </w:p>
    <w:p w14:paraId="4FA2E3D0"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თირკმლისა და ღვიძლის უკმარისობის დროს:</w:t>
      </w:r>
      <w:r w:rsidRPr="00711A1F">
        <w:rPr>
          <w:rFonts w:ascii="Sylfaen" w:hAnsi="Sylfaen"/>
          <w:noProof/>
          <w:sz w:val="24"/>
          <w:szCs w:val="24"/>
          <w:lang w:val="ka-GE"/>
        </w:rPr>
        <w:br/>
        <w:t>თუ გაქვთ თირკმლის ან ღვიძლის უკმარისობა, თქვენი მდგომარეობის სიმძიმის მიხედვით, ექიმმა შესაძლოა არ დაგინიშნოთ ეს პრეპარატი. თუ დანიშნავენ, თქვენი მიღება მკაცრად კონტროლდება.</w:t>
      </w:r>
    </w:p>
    <w:p w14:paraId="370A79C8" w14:textId="77777777" w:rsidR="00311E57"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თუ ფიქრობთ, რომ პრეპარატის ეფექტი ძალიან ძლიერი ან ძალიან სუსტია, მიმართეთ ექიმს ან ფარმაცევტს</w:t>
      </w:r>
      <w:r w:rsidR="00311E57" w:rsidRPr="00711A1F">
        <w:rPr>
          <w:rFonts w:ascii="Sylfaen" w:hAnsi="Sylfaen"/>
          <w:noProof/>
          <w:sz w:val="24"/>
          <w:szCs w:val="24"/>
          <w:lang w:val="ka-GE"/>
        </w:rPr>
        <w:t>.</w:t>
      </w:r>
    </w:p>
    <w:p w14:paraId="0E9342DF"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გაუფრთხილებლობა დოზირებისას</w:t>
      </w:r>
    </w:p>
    <w:p w14:paraId="427926F3"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თუ მიიღეთ საჭიროაზე მეტი პრეპარატი:</w:t>
      </w:r>
      <w:r w:rsidRPr="00711A1F">
        <w:rPr>
          <w:rFonts w:ascii="Sylfaen" w:hAnsi="Sylfaen"/>
          <w:noProof/>
          <w:sz w:val="24"/>
          <w:szCs w:val="24"/>
          <w:lang w:val="ka-GE"/>
        </w:rPr>
        <w:br/>
        <w:t>მიმართეთ დაუყოვნებლივ ექიმს ან ფარმაცევტს.</w:t>
      </w:r>
    </w:p>
    <w:p w14:paraId="3CD80C1F"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თუ დაგავიწყდათ დოზის მიღება:</w:t>
      </w:r>
      <w:r w:rsidRPr="00711A1F">
        <w:rPr>
          <w:rFonts w:ascii="Sylfaen" w:hAnsi="Sylfaen"/>
          <w:noProof/>
          <w:sz w:val="24"/>
          <w:szCs w:val="24"/>
          <w:lang w:val="ka-GE"/>
        </w:rPr>
        <w:br/>
      </w:r>
      <w:r w:rsidRPr="00711A1F">
        <w:rPr>
          <w:rFonts w:ascii="Sylfaen" w:hAnsi="Sylfaen"/>
          <w:i/>
          <w:noProof/>
          <w:sz w:val="24"/>
          <w:szCs w:val="24"/>
          <w:lang w:val="ka-GE"/>
        </w:rPr>
        <w:t>არ მიიღოთ ორმაგი დოზა გამოტოვებული დოზის კომპენსირებისთვის.</w:t>
      </w:r>
    </w:p>
    <w:p w14:paraId="453BD52D" w14:textId="77777777" w:rsidR="003D36D6" w:rsidRPr="00711A1F" w:rsidRDefault="00311E57"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შეწყვეტის</w:t>
      </w:r>
      <w:r w:rsidR="003D36D6" w:rsidRPr="00711A1F">
        <w:rPr>
          <w:rFonts w:ascii="Sylfaen" w:hAnsi="Sylfaen"/>
          <w:b/>
          <w:bCs/>
          <w:noProof/>
          <w:sz w:val="24"/>
          <w:szCs w:val="24"/>
          <w:lang w:val="ka-GE"/>
        </w:rPr>
        <w:t xml:space="preserve"> შემდეგ შესაძლო ეფექტები:</w:t>
      </w:r>
      <w:r w:rsidR="003D36D6" w:rsidRPr="00711A1F">
        <w:rPr>
          <w:rFonts w:ascii="Sylfaen" w:hAnsi="Sylfaen"/>
          <w:noProof/>
          <w:sz w:val="24"/>
          <w:szCs w:val="24"/>
          <w:lang w:val="ka-GE"/>
        </w:rPr>
        <w:br/>
      </w:r>
      <w:r w:rsidR="003D36D6" w:rsidRPr="00711A1F">
        <w:rPr>
          <w:rFonts w:ascii="Sylfaen" w:hAnsi="Sylfaen"/>
          <w:i/>
          <w:noProof/>
          <w:sz w:val="24"/>
          <w:szCs w:val="24"/>
          <w:lang w:val="ka-GE"/>
        </w:rPr>
        <w:t>ამ პრეპარატის შეწყვეტის შემდეგ სპეციალური ეფექტები არ არის დაფიქსირებული.</w:t>
      </w:r>
    </w:p>
    <w:p w14:paraId="236DF5F8" w14:textId="77777777" w:rsidR="00311E57" w:rsidRPr="00711A1F" w:rsidRDefault="00311E57" w:rsidP="004A25E9">
      <w:pPr>
        <w:spacing w:after="0" w:line="240" w:lineRule="auto"/>
        <w:rPr>
          <w:rFonts w:ascii="Sylfaen" w:hAnsi="Sylfaen"/>
          <w:noProof/>
          <w:sz w:val="24"/>
          <w:szCs w:val="24"/>
          <w:lang w:val="ka-GE"/>
        </w:rPr>
      </w:pPr>
    </w:p>
    <w:p w14:paraId="4C81DDAB"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4. რა არის შესაძლო გვერდითი მოვლენები?</w:t>
      </w:r>
    </w:p>
    <w:p w14:paraId="2D21DA44"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 xml:space="preserve">ყველა მედიკამენტის მსგავსად, </w:t>
      </w:r>
      <w:r w:rsidR="00E148BA" w:rsidRPr="00711A1F">
        <w:rPr>
          <w:rFonts w:ascii="Sylfaen" w:hAnsi="Sylfaen"/>
          <w:noProof/>
          <w:sz w:val="24"/>
          <w:szCs w:val="24"/>
          <w:lang w:val="ka-GE"/>
        </w:rPr>
        <w:t xml:space="preserve">ტურკფლექსი </w:t>
      </w:r>
      <w:r w:rsidRPr="00711A1F">
        <w:rPr>
          <w:rFonts w:ascii="Sylfaen" w:hAnsi="Sylfaen"/>
          <w:noProof/>
          <w:sz w:val="24"/>
          <w:szCs w:val="24"/>
          <w:lang w:val="ka-GE"/>
        </w:rPr>
        <w:t xml:space="preserve"> 5%-იანი დექსტროზა შეიძლება გამოიწვიოს გვერდითი მოვლენები ადამიანებში, რომლებიც მგრძნობიარენი არიან მასში შემავალი ნივთიერებების მიმართ.</w:t>
      </w:r>
    </w:p>
    <w:p w14:paraId="06BF20D3" w14:textId="77777777" w:rsidR="00311E57" w:rsidRPr="00711A1F" w:rsidRDefault="00311E57" w:rsidP="004A25E9">
      <w:pPr>
        <w:spacing w:after="0" w:line="240" w:lineRule="auto"/>
        <w:rPr>
          <w:rFonts w:ascii="Sylfaen" w:hAnsi="Sylfaen"/>
          <w:noProof/>
          <w:sz w:val="24"/>
          <w:szCs w:val="24"/>
          <w:lang w:val="ka-GE"/>
        </w:rPr>
      </w:pPr>
    </w:p>
    <w:p w14:paraId="6D5AE204"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შეწყვიტეთ პრეპარატის გამოყენება და დაუყოვნებლივ მიმართეთ ექიმს ან უახლოეს საავადმყოფოს გადაუდებელი დახმარების განყოფილებას</w:t>
      </w:r>
      <w:r w:rsidRPr="00711A1F">
        <w:rPr>
          <w:rFonts w:ascii="Sylfaen" w:hAnsi="Sylfaen"/>
          <w:noProof/>
          <w:sz w:val="24"/>
          <w:szCs w:val="24"/>
          <w:lang w:val="ka-GE"/>
        </w:rPr>
        <w:t>, თუ შეამჩნევთ შემდეგ სიმპტომთაგან რომელიმეს:</w:t>
      </w:r>
    </w:p>
    <w:p w14:paraId="529DA977" w14:textId="77777777" w:rsidR="003D36D6" w:rsidRPr="00711A1F" w:rsidRDefault="003D36D6" w:rsidP="004A25E9">
      <w:pPr>
        <w:numPr>
          <w:ilvl w:val="0"/>
          <w:numId w:val="4"/>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გენერალიზებული ან ლოკალიზებული ჭინჭრის ციება (ურტიკარია)</w:t>
      </w:r>
      <w:r w:rsidR="00311E57" w:rsidRPr="00711A1F">
        <w:rPr>
          <w:rFonts w:ascii="Sylfaen" w:hAnsi="Sylfaen"/>
          <w:noProof/>
          <w:sz w:val="24"/>
          <w:szCs w:val="24"/>
          <w:lang w:val="ka-GE"/>
        </w:rPr>
        <w:t xml:space="preserve">, </w:t>
      </w:r>
      <w:r w:rsidRPr="00711A1F">
        <w:rPr>
          <w:rFonts w:ascii="Sylfaen" w:hAnsi="Sylfaen"/>
          <w:noProof/>
          <w:sz w:val="24"/>
          <w:szCs w:val="24"/>
          <w:lang w:val="ka-GE"/>
        </w:rPr>
        <w:t>ხიხინი</w:t>
      </w:r>
      <w:r w:rsidR="00311E57" w:rsidRPr="00711A1F">
        <w:rPr>
          <w:rFonts w:ascii="Sylfaen" w:hAnsi="Sylfaen"/>
          <w:noProof/>
          <w:sz w:val="24"/>
          <w:szCs w:val="24"/>
          <w:lang w:val="ka-GE"/>
        </w:rPr>
        <w:t xml:space="preserve">, </w:t>
      </w:r>
      <w:r w:rsidRPr="00711A1F">
        <w:rPr>
          <w:rFonts w:ascii="Sylfaen" w:hAnsi="Sylfaen"/>
          <w:noProof/>
          <w:sz w:val="24"/>
          <w:szCs w:val="24"/>
          <w:lang w:val="ka-GE"/>
        </w:rPr>
        <w:t>გულმკერდის არეში შებოჭილობა</w:t>
      </w:r>
      <w:r w:rsidR="00311E57" w:rsidRPr="00711A1F">
        <w:rPr>
          <w:rFonts w:ascii="Sylfaen" w:hAnsi="Sylfaen"/>
          <w:noProof/>
          <w:sz w:val="24"/>
          <w:szCs w:val="24"/>
          <w:lang w:val="ka-GE"/>
        </w:rPr>
        <w:t xml:space="preserve">, </w:t>
      </w:r>
      <w:r w:rsidRPr="00711A1F">
        <w:rPr>
          <w:rFonts w:ascii="Sylfaen" w:hAnsi="Sylfaen"/>
          <w:noProof/>
          <w:sz w:val="24"/>
          <w:szCs w:val="24"/>
          <w:lang w:val="ka-GE"/>
        </w:rPr>
        <w:t>დაბალი არტერიული წნევა</w:t>
      </w:r>
      <w:r w:rsidR="00311E57" w:rsidRPr="00711A1F">
        <w:rPr>
          <w:rFonts w:ascii="Sylfaen" w:hAnsi="Sylfaen"/>
          <w:noProof/>
          <w:sz w:val="24"/>
          <w:szCs w:val="24"/>
          <w:lang w:val="ka-GE"/>
        </w:rPr>
        <w:t xml:space="preserve">, </w:t>
      </w:r>
      <w:r w:rsidRPr="00711A1F">
        <w:rPr>
          <w:rFonts w:ascii="Sylfaen" w:hAnsi="Sylfaen"/>
          <w:noProof/>
          <w:sz w:val="24"/>
          <w:szCs w:val="24"/>
          <w:lang w:val="ka-GE"/>
        </w:rPr>
        <w:t>მაღალი სიცხე</w:t>
      </w:r>
      <w:r w:rsidR="00311E57" w:rsidRPr="00711A1F">
        <w:rPr>
          <w:rFonts w:ascii="Sylfaen" w:hAnsi="Sylfaen"/>
          <w:noProof/>
          <w:sz w:val="24"/>
          <w:szCs w:val="24"/>
          <w:lang w:val="ka-GE"/>
        </w:rPr>
        <w:t>, შეუძლოდ</w:t>
      </w:r>
      <w:r w:rsidRPr="00711A1F">
        <w:rPr>
          <w:rFonts w:ascii="Sylfaen" w:hAnsi="Sylfaen"/>
          <w:noProof/>
          <w:sz w:val="24"/>
          <w:szCs w:val="24"/>
          <w:lang w:val="ka-GE"/>
        </w:rPr>
        <w:t xml:space="preserve"> ყოფნა</w:t>
      </w:r>
      <w:r w:rsidR="00311E57" w:rsidRPr="00711A1F">
        <w:rPr>
          <w:rFonts w:ascii="Sylfaen" w:hAnsi="Sylfaen"/>
          <w:noProof/>
          <w:sz w:val="24"/>
          <w:szCs w:val="24"/>
          <w:lang w:val="ka-GE"/>
        </w:rPr>
        <w:t xml:space="preserve">, </w:t>
      </w:r>
      <w:r w:rsidRPr="00711A1F">
        <w:rPr>
          <w:rFonts w:ascii="Sylfaen" w:hAnsi="Sylfaen"/>
          <w:noProof/>
          <w:sz w:val="24"/>
          <w:szCs w:val="24"/>
          <w:lang w:val="ka-GE"/>
        </w:rPr>
        <w:t>მუცლის ტკივილი ან შემცივნება / გრიპის მსგავსი სიმპტომები</w:t>
      </w:r>
    </w:p>
    <w:p w14:paraId="057B175F" w14:textId="77777777" w:rsidR="00311E57" w:rsidRPr="00711A1F" w:rsidRDefault="003D36D6" w:rsidP="004A25E9">
      <w:pPr>
        <w:spacing w:after="0" w:line="240" w:lineRule="auto"/>
        <w:rPr>
          <w:rFonts w:ascii="Sylfaen" w:hAnsi="Sylfaen"/>
          <w:b/>
          <w:bCs/>
          <w:noProof/>
          <w:sz w:val="24"/>
          <w:szCs w:val="24"/>
          <w:lang w:val="ka-GE"/>
        </w:rPr>
      </w:pPr>
      <w:r w:rsidRPr="00711A1F">
        <w:rPr>
          <w:rFonts w:ascii="Sylfaen" w:hAnsi="Sylfaen"/>
          <w:noProof/>
          <w:sz w:val="24"/>
          <w:szCs w:val="24"/>
          <w:lang w:val="ka-GE"/>
        </w:rPr>
        <w:t xml:space="preserve">ეს სიმპტომები წარმოადგენს სერიოზულ ალერგიულ რეაქციას </w:t>
      </w:r>
      <w:r w:rsidR="00E148BA" w:rsidRPr="00711A1F">
        <w:rPr>
          <w:rFonts w:ascii="Sylfaen" w:hAnsi="Sylfaen"/>
          <w:noProof/>
          <w:sz w:val="24"/>
          <w:szCs w:val="24"/>
          <w:lang w:val="ka-GE"/>
        </w:rPr>
        <w:t xml:space="preserve">ტურკფლექსი </w:t>
      </w:r>
      <w:r w:rsidRPr="00711A1F">
        <w:rPr>
          <w:rFonts w:ascii="Sylfaen" w:hAnsi="Sylfaen"/>
          <w:noProof/>
          <w:sz w:val="24"/>
          <w:szCs w:val="24"/>
          <w:lang w:val="ka-GE"/>
        </w:rPr>
        <w:t xml:space="preserve"> 5%-იან დექსტროზაზე და შესაძლოა საჭირო გახდეს </w:t>
      </w:r>
      <w:r w:rsidRPr="00711A1F">
        <w:rPr>
          <w:rFonts w:ascii="Sylfaen" w:hAnsi="Sylfaen"/>
          <w:b/>
          <w:bCs/>
          <w:noProof/>
          <w:sz w:val="24"/>
          <w:szCs w:val="24"/>
          <w:lang w:val="ka-GE"/>
        </w:rPr>
        <w:t xml:space="preserve">სასწრაფო სამედიცინო დახმარება ან </w:t>
      </w:r>
    </w:p>
    <w:p w14:paraId="5E3C4285" w14:textId="77777777" w:rsidR="00E148BA" w:rsidRPr="00711A1F" w:rsidRDefault="003D36D6"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ჰოსპიტალიზაცია</w:t>
      </w:r>
      <w:r w:rsidRPr="00711A1F">
        <w:rPr>
          <w:rFonts w:ascii="Sylfaen" w:hAnsi="Sylfaen"/>
          <w:noProof/>
          <w:sz w:val="24"/>
          <w:szCs w:val="24"/>
          <w:lang w:val="ka-GE"/>
        </w:rPr>
        <w:t>.</w:t>
      </w:r>
    </w:p>
    <w:p w14:paraId="0D3678E0" w14:textId="77777777" w:rsidR="003D36D6" w:rsidRPr="00711A1F" w:rsidRDefault="003D36D6" w:rsidP="004A25E9">
      <w:pPr>
        <w:spacing w:after="0" w:line="240" w:lineRule="auto"/>
        <w:rPr>
          <w:rFonts w:ascii="Sylfaen" w:hAnsi="Sylfaen"/>
          <w:noProof/>
          <w:sz w:val="24"/>
          <w:szCs w:val="24"/>
          <w:lang w:val="ka-GE"/>
        </w:rPr>
      </w:pPr>
      <w:r w:rsidRPr="00711A1F">
        <w:rPr>
          <w:rFonts w:ascii="Sylfaen" w:hAnsi="Sylfaen"/>
          <w:noProof/>
          <w:sz w:val="24"/>
          <w:szCs w:val="24"/>
          <w:lang w:val="ka-GE"/>
        </w:rPr>
        <w:t>აღსანიშნავია, რომ მსგავსი სერიოზული გვერდითი მოვლენები ძალიან იშვიათია.</w:t>
      </w:r>
    </w:p>
    <w:p w14:paraId="7DC7F3A0"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აცნობეთ ექიმს, თუ შეამჩნევთ შემდეგიდან რომელიმეს:</w:t>
      </w:r>
    </w:p>
    <w:p w14:paraId="7ADA418D" w14:textId="77777777" w:rsidR="00E148BA" w:rsidRPr="00711A1F" w:rsidRDefault="00E148BA" w:rsidP="004A25E9">
      <w:pPr>
        <w:numPr>
          <w:ilvl w:val="0"/>
          <w:numId w:val="5"/>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ორგანიზმში სითხის რაოდენობის შემცირება (დეჰიდრატაცია);</w:t>
      </w:r>
    </w:p>
    <w:p w14:paraId="2211A4F4" w14:textId="77777777" w:rsidR="00E148BA" w:rsidRPr="00711A1F" w:rsidRDefault="00E148BA" w:rsidP="004A25E9">
      <w:pPr>
        <w:numPr>
          <w:ilvl w:val="0"/>
          <w:numId w:val="5"/>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სისხლში იონების (მაგალითად, კალიუმის, მაგნიუმის, ფოსფატის და სხვა ელექტროლიტების) დონის შემცირება;</w:t>
      </w:r>
    </w:p>
    <w:p w14:paraId="19F1D951" w14:textId="77777777" w:rsidR="00E148BA" w:rsidRPr="00711A1F" w:rsidRDefault="00E148BA" w:rsidP="004A25E9">
      <w:pPr>
        <w:numPr>
          <w:ilvl w:val="0"/>
          <w:numId w:val="5"/>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სისხლში შაქრის დონის მომატება (ჰიპერგლიკემია);</w:t>
      </w:r>
    </w:p>
    <w:p w14:paraId="6E2AC680" w14:textId="77777777" w:rsidR="00E148BA" w:rsidRPr="00711A1F" w:rsidRDefault="00E148BA" w:rsidP="004A25E9">
      <w:pPr>
        <w:numPr>
          <w:ilvl w:val="0"/>
          <w:numId w:val="5"/>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მოცირკულირე სისხლის მოცულობის გაზრდა (ჰიპერვოლემია);</w:t>
      </w:r>
    </w:p>
    <w:p w14:paraId="7A0E00AD" w14:textId="77777777" w:rsidR="00E148BA" w:rsidRPr="00711A1F" w:rsidRDefault="00E148BA" w:rsidP="004A25E9">
      <w:pPr>
        <w:numPr>
          <w:ilvl w:val="0"/>
          <w:numId w:val="5"/>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შარდის რაოდენობის მომატება;</w:t>
      </w:r>
    </w:p>
    <w:p w14:paraId="063CE782"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ინფუზიის ადგილის რეაქციები:</w:t>
      </w:r>
    </w:p>
    <w:p w14:paraId="698A270A" w14:textId="77777777" w:rsidR="00E148BA" w:rsidRPr="00711A1F" w:rsidRDefault="00E148BA" w:rsidP="004A25E9">
      <w:pPr>
        <w:numPr>
          <w:ilvl w:val="0"/>
          <w:numId w:val="6"/>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ხსნარის გაჟონვა ვენის გარეთ იმ ადგილას, სადაც ჩატარდა პროცედურა;</w:t>
      </w:r>
    </w:p>
    <w:p w14:paraId="7408890A" w14:textId="77777777" w:rsidR="00E148BA" w:rsidRPr="00711A1F" w:rsidRDefault="00E148BA" w:rsidP="004A25E9">
      <w:pPr>
        <w:numPr>
          <w:ilvl w:val="0"/>
          <w:numId w:val="6"/>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ტკივილი, სიწითლე ან შეშუპება ინფუზიის ადგილის გარშემო;</w:t>
      </w:r>
    </w:p>
    <w:p w14:paraId="067E3FBE" w14:textId="77777777" w:rsidR="00E148BA" w:rsidRPr="00711A1F" w:rsidRDefault="00E148BA" w:rsidP="004A25E9">
      <w:pPr>
        <w:numPr>
          <w:ilvl w:val="0"/>
          <w:numId w:val="6"/>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ანთება ინფუზიის ადგილზე;</w:t>
      </w:r>
    </w:p>
    <w:p w14:paraId="34602049" w14:textId="77777777" w:rsidR="00E148BA" w:rsidRPr="00711A1F" w:rsidRDefault="00E148BA" w:rsidP="004A25E9">
      <w:pPr>
        <w:numPr>
          <w:ilvl w:val="0"/>
          <w:numId w:val="6"/>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lastRenderedPageBreak/>
        <w:t>ვენების გაღიზიანება;</w:t>
      </w:r>
    </w:p>
    <w:p w14:paraId="66C35633" w14:textId="77777777" w:rsidR="00E148BA" w:rsidRPr="00711A1F" w:rsidRDefault="00E148BA" w:rsidP="004A25E9">
      <w:pPr>
        <w:numPr>
          <w:ilvl w:val="0"/>
          <w:numId w:val="6"/>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ანთება, რომელიც ვრცელდება ვენის გასწვრივ ინფუზიის ადგილის დაწყებიდან (ფლებიტი);</w:t>
      </w:r>
    </w:p>
    <w:p w14:paraId="6ECEDFE1" w14:textId="77777777" w:rsidR="00E148BA" w:rsidRPr="00711A1F" w:rsidRDefault="00E148BA" w:rsidP="004A25E9">
      <w:pPr>
        <w:numPr>
          <w:ilvl w:val="0"/>
          <w:numId w:val="6"/>
        </w:numPr>
        <w:spacing w:after="0" w:line="240" w:lineRule="auto"/>
        <w:ind w:left="0" w:firstLine="0"/>
        <w:rPr>
          <w:rFonts w:ascii="Sylfaen" w:hAnsi="Sylfaen"/>
          <w:noProof/>
          <w:sz w:val="24"/>
          <w:szCs w:val="24"/>
          <w:lang w:val="ka-GE"/>
        </w:rPr>
      </w:pPr>
      <w:r w:rsidRPr="00711A1F">
        <w:rPr>
          <w:rFonts w:ascii="Sylfaen" w:hAnsi="Sylfaen"/>
          <w:noProof/>
          <w:sz w:val="24"/>
          <w:szCs w:val="24"/>
          <w:lang w:val="ka-GE"/>
        </w:rPr>
        <w:t>თრომბის წარმოქმნა ინფუზიის ადგილზე, რომელმაც შესაძლოა ვენა დაახშოს (თრომბოფლებიტი).</w:t>
      </w:r>
    </w:p>
    <w:p w14:paraId="116FB686"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ზემოთ ჩამოთვლილი მოვლენები შეიძლება იყოს სერიოზული და საჭიროებდეს სამედიცინო შეფასებას.</w:t>
      </w:r>
    </w:p>
    <w:p w14:paraId="05B9E8DB"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თუ შენიშნავთ ნებისმიერ გვერდით მოვლენას, რომელიც არ არის მითითებული ამ ფურცელ-ჩანართში, აცნობეთ ამის შესახებ ექიმს ან ფარმაცევტს.</w:t>
      </w:r>
    </w:p>
    <w:p w14:paraId="4826D98C" w14:textId="77777777" w:rsidR="00311E57" w:rsidRPr="00711A1F" w:rsidRDefault="00311E57" w:rsidP="004A25E9">
      <w:pPr>
        <w:spacing w:after="0" w:line="240" w:lineRule="auto"/>
        <w:rPr>
          <w:rFonts w:ascii="Sylfaen" w:hAnsi="Sylfaen"/>
          <w:b/>
          <w:bCs/>
          <w:noProof/>
          <w:sz w:val="24"/>
          <w:szCs w:val="24"/>
          <w:lang w:val="ka-GE"/>
        </w:rPr>
      </w:pPr>
    </w:p>
    <w:p w14:paraId="1574AE59"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გვერდითი მოვლენების შესახებ შეტყობინება</w:t>
      </w:r>
    </w:p>
    <w:p w14:paraId="385141AF"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თუ შენიშნავთ რაიმე გვერდით მოვლენას — მიუხედავად იმისა, მითითებულია თუ არა ის გამოყენების ინსტრუქციაში — მიმართეთ ექიმს, ფარმაცევტს ან ექთანს.</w:t>
      </w:r>
    </w:p>
    <w:p w14:paraId="205196A4"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 xml:space="preserve">ასევე, შეგიძლიათ გვერდითი მოვლენების შესახებ აცნობოთ თურქეთის ფარმაკოზედამხედველობის ცენტრს (TÜFAM) ვებგვერდზე </w:t>
      </w:r>
      <w:hyperlink r:id="rId5" w:tgtFrame="_new" w:history="1">
        <w:r w:rsidRPr="00711A1F">
          <w:rPr>
            <w:rStyle w:val="Hyperlink"/>
            <w:rFonts w:ascii="Sylfaen" w:hAnsi="Sylfaen"/>
            <w:noProof/>
            <w:sz w:val="24"/>
            <w:szCs w:val="24"/>
            <w:lang w:val="ka-GE"/>
          </w:rPr>
          <w:t>www.titck.gov.tr</w:t>
        </w:r>
      </w:hyperlink>
      <w:r w:rsidRPr="00711A1F">
        <w:rPr>
          <w:rFonts w:ascii="Sylfaen" w:hAnsi="Sylfaen"/>
          <w:noProof/>
          <w:sz w:val="24"/>
          <w:szCs w:val="24"/>
          <w:lang w:val="ka-GE"/>
        </w:rPr>
        <w:t xml:space="preserve">, „წამლის გვერდითი მოვლენების შესახებ შეტყობინების“ ბმულზე გადასვლით, ან დარეკოთ გვერდითი მოვლენების შესახებ შეტყობინების ცხელ ხაზზე: </w:t>
      </w:r>
      <w:r w:rsidRPr="00711A1F">
        <w:rPr>
          <w:rFonts w:ascii="Sylfaen" w:hAnsi="Sylfaen"/>
          <w:b/>
          <w:bCs/>
          <w:noProof/>
          <w:sz w:val="24"/>
          <w:szCs w:val="24"/>
          <w:lang w:val="ka-GE"/>
        </w:rPr>
        <w:t>0 800 314 00 08</w:t>
      </w:r>
      <w:r w:rsidRPr="00711A1F">
        <w:rPr>
          <w:rFonts w:ascii="Sylfaen" w:hAnsi="Sylfaen"/>
          <w:noProof/>
          <w:sz w:val="24"/>
          <w:szCs w:val="24"/>
          <w:lang w:val="ka-GE"/>
        </w:rPr>
        <w:t>.</w:t>
      </w:r>
    </w:p>
    <w:p w14:paraId="750CD0AA"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გვერდითი მოვლენების შესახებ შეტყობინებით თქვენ ხელს უწყობთ პრეპარატის უსაფრთხოების შესახებ დამატებითი ინფორმაციის შეგროვებას და პაციენტთა დაცვის გაუმჯობესებას.</w:t>
      </w:r>
    </w:p>
    <w:p w14:paraId="5E0CD4D9" w14:textId="77777777" w:rsidR="004A25E9" w:rsidRPr="00711A1F" w:rsidRDefault="004A25E9" w:rsidP="004A25E9">
      <w:pPr>
        <w:spacing w:after="0" w:line="240" w:lineRule="auto"/>
        <w:rPr>
          <w:rFonts w:ascii="Sylfaen" w:hAnsi="Sylfaen"/>
          <w:noProof/>
          <w:sz w:val="24"/>
          <w:szCs w:val="24"/>
          <w:lang w:val="ka-GE"/>
        </w:rPr>
      </w:pPr>
    </w:p>
    <w:p w14:paraId="07AE07B7"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5. ტურკფლექსი  5%-იანი დექსტროზის ხსნარის შენახვა</w:t>
      </w:r>
    </w:p>
    <w:p w14:paraId="3A6AB7FF"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ტურკფლექსი  5%-იანი დექსტროზის ხსნარი შეინახეთ ბავშვებისთვის მიუწვდომელ ადგილას, ორიგინალ შეფუთვაში.</w:t>
      </w:r>
    </w:p>
    <w:p w14:paraId="2B21742D"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თითოეულ შეფუთვაზე მითითებულია ვარგისიანობის ვადა. ვადის გასვლის შემდეგ პრეპარატი არ გამოიყენოთ.</w:t>
      </w:r>
    </w:p>
    <w:p w14:paraId="3D72A137"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არ გამოიყენოთ ხსნარი, თუ ის არ არის გამჭვირვალე.</w:t>
      </w:r>
    </w:p>
    <w:p w14:paraId="719F7DAA"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არ გამოიყენოთ, თუ შეინიშნება ნალექი ან უცხო ნაწილაკები.</w:t>
      </w:r>
    </w:p>
    <w:p w14:paraId="0EA4D5ED"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შეინახეთ 25°C-ზე დაბალ ოთახის ტემპერატურაზე, მზის პირდაპირი სხივებისგან დაცულ ადგილას.</w:t>
      </w:r>
    </w:p>
    <w:p w14:paraId="64AF9F9D"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დარჩენილი ხსნარი გადააგდეთ. გამოუყენებელი ნაწილი ხელმეორედ არ გამოიყენოთ.</w:t>
      </w:r>
    </w:p>
    <w:p w14:paraId="408B44EB"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არ გამოიყენოთ ტურკფლექსი  5%-იანი დექსტროზის ხსნარი შეფუთვაზე მითითებული ვარგისიანობის ვადის გასვლის შემდეგ. გამოიყენეთ ვარგისიანობის ვადამდე.</w:t>
      </w:r>
    </w:p>
    <w:p w14:paraId="39DFC104"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ვადაგასული ან გამოუყენებელი მედიკამენტები არ გადააგდოთ საყოფაცხოვრებო ნაგავში. გთხოვთ, გადააბაროთ ისინი გარემოს დაცვისა და ურბანიზაციის სამინისტროს მიერ განსაზღვრულ შეგროვების სისტემას.</w:t>
      </w:r>
    </w:p>
    <w:p w14:paraId="57FC8188" w14:textId="77777777" w:rsidR="00E148BA" w:rsidRPr="00711A1F" w:rsidRDefault="00E148BA" w:rsidP="004A25E9">
      <w:pPr>
        <w:spacing w:after="0" w:line="240" w:lineRule="auto"/>
        <w:rPr>
          <w:rFonts w:ascii="Sylfaen" w:hAnsi="Sylfaen"/>
          <w:noProof/>
          <w:sz w:val="24"/>
          <w:szCs w:val="24"/>
          <w:lang w:val="ka-GE"/>
        </w:rPr>
      </w:pPr>
    </w:p>
    <w:p w14:paraId="0D021866"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b/>
          <w:bCs/>
          <w:noProof/>
          <w:sz w:val="24"/>
          <w:szCs w:val="24"/>
          <w:lang w:val="ka-GE"/>
        </w:rPr>
        <w:t>ლიცენზიის მფლობელი და მწარმოებელი:</w:t>
      </w:r>
    </w:p>
    <w:p w14:paraId="246EBA4D"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Turk İlaç ve Serum Sanayi A.Ş.</w:t>
      </w:r>
      <w:r w:rsidRPr="00711A1F">
        <w:rPr>
          <w:rFonts w:ascii="Sylfaen" w:hAnsi="Sylfaen"/>
          <w:noProof/>
          <w:sz w:val="24"/>
          <w:szCs w:val="24"/>
          <w:lang w:val="ka-GE"/>
        </w:rPr>
        <w:br/>
        <w:t>ბუღდუზის უბანი, ენვერ ფაშას ქუჩა №8,</w:t>
      </w:r>
      <w:r w:rsidRPr="00711A1F">
        <w:rPr>
          <w:rFonts w:ascii="Sylfaen" w:hAnsi="Sylfaen"/>
          <w:noProof/>
          <w:sz w:val="24"/>
          <w:szCs w:val="24"/>
          <w:lang w:val="ka-GE"/>
        </w:rPr>
        <w:br/>
        <w:t>06750 აქიურტი / ანკარა, თურქეთი</w:t>
      </w:r>
    </w:p>
    <w:p w14:paraId="46EDED1F" w14:textId="77777777" w:rsidR="00E148BA" w:rsidRPr="00711A1F" w:rsidRDefault="00E148BA" w:rsidP="004A25E9">
      <w:pPr>
        <w:spacing w:after="0" w:line="240" w:lineRule="auto"/>
        <w:rPr>
          <w:rFonts w:ascii="Sylfaen" w:hAnsi="Sylfaen"/>
          <w:noProof/>
          <w:sz w:val="24"/>
          <w:szCs w:val="24"/>
          <w:lang w:val="ka-GE"/>
        </w:rPr>
      </w:pPr>
      <w:r w:rsidRPr="00711A1F">
        <w:rPr>
          <w:rFonts w:ascii="Sylfaen" w:hAnsi="Sylfaen"/>
          <w:noProof/>
          <w:sz w:val="24"/>
          <w:szCs w:val="24"/>
          <w:lang w:val="ka-GE"/>
        </w:rPr>
        <w:t>ეს ინსტრუქცია დამტკიცებულია 2017 წლის 31 მაისს.</w:t>
      </w:r>
    </w:p>
    <w:p w14:paraId="30AE8D3D" w14:textId="77777777" w:rsidR="00E148BA" w:rsidRPr="00711A1F" w:rsidRDefault="00E148BA" w:rsidP="004A25E9">
      <w:pPr>
        <w:spacing w:after="0" w:line="240" w:lineRule="auto"/>
        <w:rPr>
          <w:rFonts w:ascii="Sylfaen" w:hAnsi="Sylfaen"/>
          <w:noProof/>
          <w:sz w:val="24"/>
          <w:szCs w:val="24"/>
          <w:lang w:val="ka-GE"/>
        </w:rPr>
      </w:pPr>
    </w:p>
    <w:p w14:paraId="336D21DF" w14:textId="77777777" w:rsidR="003D36D6" w:rsidRPr="00711A1F" w:rsidRDefault="003D36D6" w:rsidP="004A25E9">
      <w:pPr>
        <w:spacing w:after="0"/>
        <w:rPr>
          <w:noProof/>
          <w:sz w:val="24"/>
          <w:szCs w:val="24"/>
          <w:lang w:val="ka-GE"/>
        </w:rPr>
      </w:pPr>
    </w:p>
    <w:p w14:paraId="6CC92D5C" w14:textId="77777777" w:rsidR="002A6543" w:rsidRPr="00711A1F" w:rsidRDefault="002A6543" w:rsidP="004A25E9">
      <w:pPr>
        <w:spacing w:after="0"/>
        <w:rPr>
          <w:noProof/>
          <w:sz w:val="24"/>
          <w:szCs w:val="24"/>
          <w:lang w:val="ka-GE"/>
        </w:rPr>
      </w:pPr>
    </w:p>
    <w:p w14:paraId="7175BF59" w14:textId="77777777" w:rsidR="002A6543" w:rsidRPr="00711A1F" w:rsidRDefault="002A6543" w:rsidP="004A25E9">
      <w:pPr>
        <w:spacing w:after="0"/>
        <w:rPr>
          <w:noProof/>
          <w:sz w:val="24"/>
          <w:szCs w:val="24"/>
          <w:lang w:val="ka-GE"/>
        </w:rPr>
      </w:pPr>
    </w:p>
    <w:p w14:paraId="603496CB" w14:textId="77777777" w:rsidR="002A6543" w:rsidRPr="00711A1F" w:rsidRDefault="002A6543" w:rsidP="004A25E9">
      <w:pPr>
        <w:spacing w:after="0"/>
        <w:rPr>
          <w:noProof/>
          <w:sz w:val="24"/>
          <w:szCs w:val="24"/>
          <w:lang w:val="ka-GE"/>
        </w:rPr>
      </w:pPr>
    </w:p>
    <w:p w14:paraId="5D36F57E" w14:textId="77777777" w:rsidR="003D36D6" w:rsidRPr="00711A1F" w:rsidRDefault="003D36D6">
      <w:pPr>
        <w:rPr>
          <w:noProof/>
          <w:sz w:val="24"/>
          <w:szCs w:val="24"/>
          <w:lang w:val="ka-GE"/>
        </w:rPr>
      </w:pPr>
    </w:p>
    <w:sectPr w:rsidR="003D36D6" w:rsidRPr="00711A1F" w:rsidSect="004A25E9">
      <w:pgSz w:w="12240" w:h="15840"/>
      <w:pgMar w:top="360" w:right="990" w:bottom="270"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CA3D1F"/>
    <w:multiLevelType w:val="multilevel"/>
    <w:tmpl w:val="29DE8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214E52"/>
    <w:multiLevelType w:val="multilevel"/>
    <w:tmpl w:val="DCF2B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F67350"/>
    <w:multiLevelType w:val="multilevel"/>
    <w:tmpl w:val="17AC8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444816"/>
    <w:multiLevelType w:val="multilevel"/>
    <w:tmpl w:val="67F20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1771B7"/>
    <w:multiLevelType w:val="hybridMultilevel"/>
    <w:tmpl w:val="9EFA77B2"/>
    <w:lvl w:ilvl="0" w:tplc="C52473A4">
      <w:start w:val="1"/>
      <w:numFmt w:val="bullet"/>
      <w:lvlText w:val=""/>
      <w:lvlJc w:val="left"/>
      <w:pPr>
        <w:ind w:left="72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B5592B"/>
    <w:multiLevelType w:val="multilevel"/>
    <w:tmpl w:val="11404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CB56A0"/>
    <w:multiLevelType w:val="multilevel"/>
    <w:tmpl w:val="1CA8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5D4EA6"/>
    <w:multiLevelType w:val="hybridMultilevel"/>
    <w:tmpl w:val="D2AA6268"/>
    <w:lvl w:ilvl="0" w:tplc="C52473A4">
      <w:start w:val="1"/>
      <w:numFmt w:val="bullet"/>
      <w:lvlText w:val=""/>
      <w:lvlJc w:val="left"/>
      <w:pPr>
        <w:ind w:left="36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4773F8"/>
    <w:multiLevelType w:val="hybridMultilevel"/>
    <w:tmpl w:val="93024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932555"/>
    <w:multiLevelType w:val="hybridMultilevel"/>
    <w:tmpl w:val="E1843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E47EDC"/>
    <w:multiLevelType w:val="hybridMultilevel"/>
    <w:tmpl w:val="41DAA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9B5C2F"/>
    <w:multiLevelType w:val="multilevel"/>
    <w:tmpl w:val="95BCE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3229206">
    <w:abstractNumId w:val="5"/>
  </w:num>
  <w:num w:numId="2" w16cid:durableId="1403915726">
    <w:abstractNumId w:val="0"/>
  </w:num>
  <w:num w:numId="3" w16cid:durableId="2117479434">
    <w:abstractNumId w:val="2"/>
  </w:num>
  <w:num w:numId="4" w16cid:durableId="124856788">
    <w:abstractNumId w:val="6"/>
  </w:num>
  <w:num w:numId="5" w16cid:durableId="2033528559">
    <w:abstractNumId w:val="11"/>
  </w:num>
  <w:num w:numId="6" w16cid:durableId="1913730623">
    <w:abstractNumId w:val="3"/>
  </w:num>
  <w:num w:numId="7" w16cid:durableId="640504852">
    <w:abstractNumId w:val="10"/>
  </w:num>
  <w:num w:numId="8" w16cid:durableId="851257682">
    <w:abstractNumId w:val="7"/>
  </w:num>
  <w:num w:numId="9" w16cid:durableId="1058556577">
    <w:abstractNumId w:val="4"/>
  </w:num>
  <w:num w:numId="10" w16cid:durableId="2054620292">
    <w:abstractNumId w:val="9"/>
  </w:num>
  <w:num w:numId="11" w16cid:durableId="1172447877">
    <w:abstractNumId w:val="8"/>
  </w:num>
  <w:num w:numId="12" w16cid:durableId="11846381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6D6"/>
    <w:rsid w:val="002A6543"/>
    <w:rsid w:val="00311E57"/>
    <w:rsid w:val="003D36D6"/>
    <w:rsid w:val="004A25E9"/>
    <w:rsid w:val="006D488B"/>
    <w:rsid w:val="00711A1F"/>
    <w:rsid w:val="00C33064"/>
    <w:rsid w:val="00C63850"/>
    <w:rsid w:val="00E14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B0B76"/>
  <w15:chartTrackingRefBased/>
  <w15:docId w15:val="{576EA32E-88E4-40D2-8E5F-B8F7B8EE8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48BA"/>
    <w:rPr>
      <w:color w:val="0563C1" w:themeColor="hyperlink"/>
      <w:u w:val="single"/>
    </w:rPr>
  </w:style>
  <w:style w:type="paragraph" w:styleId="ListParagraph">
    <w:name w:val="List Paragraph"/>
    <w:basedOn w:val="Normal"/>
    <w:uiPriority w:val="34"/>
    <w:qFormat/>
    <w:rsid w:val="00E148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964292">
      <w:bodyDiv w:val="1"/>
      <w:marLeft w:val="0"/>
      <w:marRight w:val="0"/>
      <w:marTop w:val="0"/>
      <w:marBottom w:val="0"/>
      <w:divBdr>
        <w:top w:val="none" w:sz="0" w:space="0" w:color="auto"/>
        <w:left w:val="none" w:sz="0" w:space="0" w:color="auto"/>
        <w:bottom w:val="none" w:sz="0" w:space="0" w:color="auto"/>
        <w:right w:val="none" w:sz="0" w:space="0" w:color="auto"/>
      </w:divBdr>
      <w:divsChild>
        <w:div w:id="72430940">
          <w:marLeft w:val="0"/>
          <w:marRight w:val="0"/>
          <w:marTop w:val="0"/>
          <w:marBottom w:val="0"/>
          <w:divBdr>
            <w:top w:val="none" w:sz="0" w:space="0" w:color="auto"/>
            <w:left w:val="none" w:sz="0" w:space="0" w:color="auto"/>
            <w:bottom w:val="none" w:sz="0" w:space="0" w:color="auto"/>
            <w:right w:val="none" w:sz="0" w:space="0" w:color="auto"/>
          </w:divBdr>
          <w:divsChild>
            <w:div w:id="1750497222">
              <w:marLeft w:val="0"/>
              <w:marRight w:val="0"/>
              <w:marTop w:val="0"/>
              <w:marBottom w:val="0"/>
              <w:divBdr>
                <w:top w:val="none" w:sz="0" w:space="0" w:color="auto"/>
                <w:left w:val="none" w:sz="0" w:space="0" w:color="auto"/>
                <w:bottom w:val="none" w:sz="0" w:space="0" w:color="auto"/>
                <w:right w:val="none" w:sz="0" w:space="0" w:color="auto"/>
              </w:divBdr>
              <w:divsChild>
                <w:div w:id="382875224">
                  <w:marLeft w:val="0"/>
                  <w:marRight w:val="0"/>
                  <w:marTop w:val="0"/>
                  <w:marBottom w:val="0"/>
                  <w:divBdr>
                    <w:top w:val="none" w:sz="0" w:space="0" w:color="auto"/>
                    <w:left w:val="none" w:sz="0" w:space="0" w:color="auto"/>
                    <w:bottom w:val="none" w:sz="0" w:space="0" w:color="auto"/>
                    <w:right w:val="none" w:sz="0" w:space="0" w:color="auto"/>
                  </w:divBdr>
                  <w:divsChild>
                    <w:div w:id="1959952043">
                      <w:marLeft w:val="0"/>
                      <w:marRight w:val="0"/>
                      <w:marTop w:val="0"/>
                      <w:marBottom w:val="0"/>
                      <w:divBdr>
                        <w:top w:val="none" w:sz="0" w:space="0" w:color="auto"/>
                        <w:left w:val="none" w:sz="0" w:space="0" w:color="auto"/>
                        <w:bottom w:val="none" w:sz="0" w:space="0" w:color="auto"/>
                        <w:right w:val="none" w:sz="0" w:space="0" w:color="auto"/>
                      </w:divBdr>
                      <w:divsChild>
                        <w:div w:id="2106225255">
                          <w:marLeft w:val="0"/>
                          <w:marRight w:val="0"/>
                          <w:marTop w:val="0"/>
                          <w:marBottom w:val="0"/>
                          <w:divBdr>
                            <w:top w:val="none" w:sz="0" w:space="0" w:color="auto"/>
                            <w:left w:val="none" w:sz="0" w:space="0" w:color="auto"/>
                            <w:bottom w:val="none" w:sz="0" w:space="0" w:color="auto"/>
                            <w:right w:val="none" w:sz="0" w:space="0" w:color="auto"/>
                          </w:divBdr>
                          <w:divsChild>
                            <w:div w:id="1909001730">
                              <w:marLeft w:val="0"/>
                              <w:marRight w:val="0"/>
                              <w:marTop w:val="0"/>
                              <w:marBottom w:val="0"/>
                              <w:divBdr>
                                <w:top w:val="none" w:sz="0" w:space="0" w:color="auto"/>
                                <w:left w:val="none" w:sz="0" w:space="0" w:color="auto"/>
                                <w:bottom w:val="none" w:sz="0" w:space="0" w:color="auto"/>
                                <w:right w:val="none" w:sz="0" w:space="0" w:color="auto"/>
                              </w:divBdr>
                              <w:divsChild>
                                <w:div w:id="139704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1143832">
      <w:bodyDiv w:val="1"/>
      <w:marLeft w:val="0"/>
      <w:marRight w:val="0"/>
      <w:marTop w:val="0"/>
      <w:marBottom w:val="0"/>
      <w:divBdr>
        <w:top w:val="none" w:sz="0" w:space="0" w:color="auto"/>
        <w:left w:val="none" w:sz="0" w:space="0" w:color="auto"/>
        <w:bottom w:val="none" w:sz="0" w:space="0" w:color="auto"/>
        <w:right w:val="none" w:sz="0" w:space="0" w:color="auto"/>
      </w:divBdr>
    </w:div>
    <w:div w:id="501165642">
      <w:bodyDiv w:val="1"/>
      <w:marLeft w:val="0"/>
      <w:marRight w:val="0"/>
      <w:marTop w:val="0"/>
      <w:marBottom w:val="0"/>
      <w:divBdr>
        <w:top w:val="none" w:sz="0" w:space="0" w:color="auto"/>
        <w:left w:val="none" w:sz="0" w:space="0" w:color="auto"/>
        <w:bottom w:val="none" w:sz="0" w:space="0" w:color="auto"/>
        <w:right w:val="none" w:sz="0" w:space="0" w:color="auto"/>
      </w:divBdr>
      <w:divsChild>
        <w:div w:id="491608401">
          <w:marLeft w:val="0"/>
          <w:marRight w:val="0"/>
          <w:marTop w:val="0"/>
          <w:marBottom w:val="0"/>
          <w:divBdr>
            <w:top w:val="none" w:sz="0" w:space="0" w:color="auto"/>
            <w:left w:val="none" w:sz="0" w:space="0" w:color="auto"/>
            <w:bottom w:val="none" w:sz="0" w:space="0" w:color="auto"/>
            <w:right w:val="none" w:sz="0" w:space="0" w:color="auto"/>
          </w:divBdr>
          <w:divsChild>
            <w:div w:id="532498308">
              <w:marLeft w:val="0"/>
              <w:marRight w:val="0"/>
              <w:marTop w:val="0"/>
              <w:marBottom w:val="0"/>
              <w:divBdr>
                <w:top w:val="none" w:sz="0" w:space="0" w:color="auto"/>
                <w:left w:val="none" w:sz="0" w:space="0" w:color="auto"/>
                <w:bottom w:val="none" w:sz="0" w:space="0" w:color="auto"/>
                <w:right w:val="none" w:sz="0" w:space="0" w:color="auto"/>
              </w:divBdr>
              <w:divsChild>
                <w:div w:id="679548880">
                  <w:marLeft w:val="0"/>
                  <w:marRight w:val="0"/>
                  <w:marTop w:val="0"/>
                  <w:marBottom w:val="0"/>
                  <w:divBdr>
                    <w:top w:val="none" w:sz="0" w:space="0" w:color="auto"/>
                    <w:left w:val="none" w:sz="0" w:space="0" w:color="auto"/>
                    <w:bottom w:val="none" w:sz="0" w:space="0" w:color="auto"/>
                    <w:right w:val="none" w:sz="0" w:space="0" w:color="auto"/>
                  </w:divBdr>
                  <w:divsChild>
                    <w:div w:id="478420211">
                      <w:marLeft w:val="0"/>
                      <w:marRight w:val="0"/>
                      <w:marTop w:val="0"/>
                      <w:marBottom w:val="0"/>
                      <w:divBdr>
                        <w:top w:val="none" w:sz="0" w:space="0" w:color="auto"/>
                        <w:left w:val="none" w:sz="0" w:space="0" w:color="auto"/>
                        <w:bottom w:val="none" w:sz="0" w:space="0" w:color="auto"/>
                        <w:right w:val="none" w:sz="0" w:space="0" w:color="auto"/>
                      </w:divBdr>
                      <w:divsChild>
                        <w:div w:id="1607080449">
                          <w:marLeft w:val="0"/>
                          <w:marRight w:val="0"/>
                          <w:marTop w:val="0"/>
                          <w:marBottom w:val="0"/>
                          <w:divBdr>
                            <w:top w:val="none" w:sz="0" w:space="0" w:color="auto"/>
                            <w:left w:val="none" w:sz="0" w:space="0" w:color="auto"/>
                            <w:bottom w:val="none" w:sz="0" w:space="0" w:color="auto"/>
                            <w:right w:val="none" w:sz="0" w:space="0" w:color="auto"/>
                          </w:divBdr>
                          <w:divsChild>
                            <w:div w:id="174732321">
                              <w:marLeft w:val="0"/>
                              <w:marRight w:val="0"/>
                              <w:marTop w:val="0"/>
                              <w:marBottom w:val="0"/>
                              <w:divBdr>
                                <w:top w:val="none" w:sz="0" w:space="0" w:color="auto"/>
                                <w:left w:val="none" w:sz="0" w:space="0" w:color="auto"/>
                                <w:bottom w:val="none" w:sz="0" w:space="0" w:color="auto"/>
                                <w:right w:val="none" w:sz="0" w:space="0" w:color="auto"/>
                              </w:divBdr>
                              <w:divsChild>
                                <w:div w:id="27317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6220424">
      <w:bodyDiv w:val="1"/>
      <w:marLeft w:val="0"/>
      <w:marRight w:val="0"/>
      <w:marTop w:val="0"/>
      <w:marBottom w:val="0"/>
      <w:divBdr>
        <w:top w:val="none" w:sz="0" w:space="0" w:color="auto"/>
        <w:left w:val="none" w:sz="0" w:space="0" w:color="auto"/>
        <w:bottom w:val="none" w:sz="0" w:space="0" w:color="auto"/>
        <w:right w:val="none" w:sz="0" w:space="0" w:color="auto"/>
      </w:divBdr>
      <w:divsChild>
        <w:div w:id="1536457761">
          <w:marLeft w:val="0"/>
          <w:marRight w:val="0"/>
          <w:marTop w:val="0"/>
          <w:marBottom w:val="0"/>
          <w:divBdr>
            <w:top w:val="none" w:sz="0" w:space="0" w:color="auto"/>
            <w:left w:val="none" w:sz="0" w:space="0" w:color="auto"/>
            <w:bottom w:val="none" w:sz="0" w:space="0" w:color="auto"/>
            <w:right w:val="none" w:sz="0" w:space="0" w:color="auto"/>
          </w:divBdr>
          <w:divsChild>
            <w:div w:id="367418453">
              <w:marLeft w:val="0"/>
              <w:marRight w:val="0"/>
              <w:marTop w:val="0"/>
              <w:marBottom w:val="0"/>
              <w:divBdr>
                <w:top w:val="none" w:sz="0" w:space="0" w:color="auto"/>
                <w:left w:val="none" w:sz="0" w:space="0" w:color="auto"/>
                <w:bottom w:val="none" w:sz="0" w:space="0" w:color="auto"/>
                <w:right w:val="none" w:sz="0" w:space="0" w:color="auto"/>
              </w:divBdr>
              <w:divsChild>
                <w:div w:id="1888905788">
                  <w:marLeft w:val="0"/>
                  <w:marRight w:val="0"/>
                  <w:marTop w:val="0"/>
                  <w:marBottom w:val="0"/>
                  <w:divBdr>
                    <w:top w:val="none" w:sz="0" w:space="0" w:color="auto"/>
                    <w:left w:val="none" w:sz="0" w:space="0" w:color="auto"/>
                    <w:bottom w:val="none" w:sz="0" w:space="0" w:color="auto"/>
                    <w:right w:val="none" w:sz="0" w:space="0" w:color="auto"/>
                  </w:divBdr>
                  <w:divsChild>
                    <w:div w:id="1731268639">
                      <w:marLeft w:val="0"/>
                      <w:marRight w:val="0"/>
                      <w:marTop w:val="0"/>
                      <w:marBottom w:val="0"/>
                      <w:divBdr>
                        <w:top w:val="none" w:sz="0" w:space="0" w:color="auto"/>
                        <w:left w:val="none" w:sz="0" w:space="0" w:color="auto"/>
                        <w:bottom w:val="none" w:sz="0" w:space="0" w:color="auto"/>
                        <w:right w:val="none" w:sz="0" w:space="0" w:color="auto"/>
                      </w:divBdr>
                      <w:divsChild>
                        <w:div w:id="900864408">
                          <w:marLeft w:val="0"/>
                          <w:marRight w:val="0"/>
                          <w:marTop w:val="0"/>
                          <w:marBottom w:val="0"/>
                          <w:divBdr>
                            <w:top w:val="none" w:sz="0" w:space="0" w:color="auto"/>
                            <w:left w:val="none" w:sz="0" w:space="0" w:color="auto"/>
                            <w:bottom w:val="none" w:sz="0" w:space="0" w:color="auto"/>
                            <w:right w:val="none" w:sz="0" w:space="0" w:color="auto"/>
                          </w:divBdr>
                          <w:divsChild>
                            <w:div w:id="152196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8620488">
      <w:bodyDiv w:val="1"/>
      <w:marLeft w:val="0"/>
      <w:marRight w:val="0"/>
      <w:marTop w:val="0"/>
      <w:marBottom w:val="0"/>
      <w:divBdr>
        <w:top w:val="none" w:sz="0" w:space="0" w:color="auto"/>
        <w:left w:val="none" w:sz="0" w:space="0" w:color="auto"/>
        <w:bottom w:val="none" w:sz="0" w:space="0" w:color="auto"/>
        <w:right w:val="none" w:sz="0" w:space="0" w:color="auto"/>
      </w:divBdr>
      <w:divsChild>
        <w:div w:id="1254784410">
          <w:marLeft w:val="0"/>
          <w:marRight w:val="0"/>
          <w:marTop w:val="0"/>
          <w:marBottom w:val="0"/>
          <w:divBdr>
            <w:top w:val="none" w:sz="0" w:space="0" w:color="auto"/>
            <w:left w:val="none" w:sz="0" w:space="0" w:color="auto"/>
            <w:bottom w:val="none" w:sz="0" w:space="0" w:color="auto"/>
            <w:right w:val="none" w:sz="0" w:space="0" w:color="auto"/>
          </w:divBdr>
          <w:divsChild>
            <w:div w:id="982195280">
              <w:marLeft w:val="0"/>
              <w:marRight w:val="0"/>
              <w:marTop w:val="0"/>
              <w:marBottom w:val="0"/>
              <w:divBdr>
                <w:top w:val="none" w:sz="0" w:space="0" w:color="auto"/>
                <w:left w:val="none" w:sz="0" w:space="0" w:color="auto"/>
                <w:bottom w:val="none" w:sz="0" w:space="0" w:color="auto"/>
                <w:right w:val="none" w:sz="0" w:space="0" w:color="auto"/>
              </w:divBdr>
              <w:divsChild>
                <w:div w:id="1422992932">
                  <w:marLeft w:val="0"/>
                  <w:marRight w:val="0"/>
                  <w:marTop w:val="0"/>
                  <w:marBottom w:val="0"/>
                  <w:divBdr>
                    <w:top w:val="none" w:sz="0" w:space="0" w:color="auto"/>
                    <w:left w:val="none" w:sz="0" w:space="0" w:color="auto"/>
                    <w:bottom w:val="none" w:sz="0" w:space="0" w:color="auto"/>
                    <w:right w:val="none" w:sz="0" w:space="0" w:color="auto"/>
                  </w:divBdr>
                  <w:divsChild>
                    <w:div w:id="1136023036">
                      <w:marLeft w:val="0"/>
                      <w:marRight w:val="0"/>
                      <w:marTop w:val="0"/>
                      <w:marBottom w:val="0"/>
                      <w:divBdr>
                        <w:top w:val="none" w:sz="0" w:space="0" w:color="auto"/>
                        <w:left w:val="none" w:sz="0" w:space="0" w:color="auto"/>
                        <w:bottom w:val="none" w:sz="0" w:space="0" w:color="auto"/>
                        <w:right w:val="none" w:sz="0" w:space="0" w:color="auto"/>
                      </w:divBdr>
                      <w:divsChild>
                        <w:div w:id="1212620964">
                          <w:marLeft w:val="0"/>
                          <w:marRight w:val="0"/>
                          <w:marTop w:val="0"/>
                          <w:marBottom w:val="0"/>
                          <w:divBdr>
                            <w:top w:val="none" w:sz="0" w:space="0" w:color="auto"/>
                            <w:left w:val="none" w:sz="0" w:space="0" w:color="auto"/>
                            <w:bottom w:val="none" w:sz="0" w:space="0" w:color="auto"/>
                            <w:right w:val="none" w:sz="0" w:space="0" w:color="auto"/>
                          </w:divBdr>
                          <w:divsChild>
                            <w:div w:id="1068457605">
                              <w:marLeft w:val="0"/>
                              <w:marRight w:val="0"/>
                              <w:marTop w:val="0"/>
                              <w:marBottom w:val="0"/>
                              <w:divBdr>
                                <w:top w:val="none" w:sz="0" w:space="0" w:color="auto"/>
                                <w:left w:val="none" w:sz="0" w:space="0" w:color="auto"/>
                                <w:bottom w:val="none" w:sz="0" w:space="0" w:color="auto"/>
                                <w:right w:val="none" w:sz="0" w:space="0" w:color="auto"/>
                              </w:divBdr>
                              <w:divsChild>
                                <w:div w:id="40568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2209928">
      <w:bodyDiv w:val="1"/>
      <w:marLeft w:val="0"/>
      <w:marRight w:val="0"/>
      <w:marTop w:val="0"/>
      <w:marBottom w:val="0"/>
      <w:divBdr>
        <w:top w:val="none" w:sz="0" w:space="0" w:color="auto"/>
        <w:left w:val="none" w:sz="0" w:space="0" w:color="auto"/>
        <w:bottom w:val="none" w:sz="0" w:space="0" w:color="auto"/>
        <w:right w:val="none" w:sz="0" w:space="0" w:color="auto"/>
      </w:divBdr>
      <w:divsChild>
        <w:div w:id="818687677">
          <w:marLeft w:val="0"/>
          <w:marRight w:val="0"/>
          <w:marTop w:val="0"/>
          <w:marBottom w:val="0"/>
          <w:divBdr>
            <w:top w:val="none" w:sz="0" w:space="0" w:color="auto"/>
            <w:left w:val="none" w:sz="0" w:space="0" w:color="auto"/>
            <w:bottom w:val="none" w:sz="0" w:space="0" w:color="auto"/>
            <w:right w:val="none" w:sz="0" w:space="0" w:color="auto"/>
          </w:divBdr>
          <w:divsChild>
            <w:div w:id="784693304">
              <w:marLeft w:val="0"/>
              <w:marRight w:val="0"/>
              <w:marTop w:val="0"/>
              <w:marBottom w:val="0"/>
              <w:divBdr>
                <w:top w:val="none" w:sz="0" w:space="0" w:color="auto"/>
                <w:left w:val="none" w:sz="0" w:space="0" w:color="auto"/>
                <w:bottom w:val="none" w:sz="0" w:space="0" w:color="auto"/>
                <w:right w:val="none" w:sz="0" w:space="0" w:color="auto"/>
              </w:divBdr>
              <w:divsChild>
                <w:div w:id="295647807">
                  <w:marLeft w:val="0"/>
                  <w:marRight w:val="0"/>
                  <w:marTop w:val="0"/>
                  <w:marBottom w:val="0"/>
                  <w:divBdr>
                    <w:top w:val="none" w:sz="0" w:space="0" w:color="auto"/>
                    <w:left w:val="none" w:sz="0" w:space="0" w:color="auto"/>
                    <w:bottom w:val="none" w:sz="0" w:space="0" w:color="auto"/>
                    <w:right w:val="none" w:sz="0" w:space="0" w:color="auto"/>
                  </w:divBdr>
                  <w:divsChild>
                    <w:div w:id="339936814">
                      <w:marLeft w:val="0"/>
                      <w:marRight w:val="0"/>
                      <w:marTop w:val="0"/>
                      <w:marBottom w:val="0"/>
                      <w:divBdr>
                        <w:top w:val="none" w:sz="0" w:space="0" w:color="auto"/>
                        <w:left w:val="none" w:sz="0" w:space="0" w:color="auto"/>
                        <w:bottom w:val="none" w:sz="0" w:space="0" w:color="auto"/>
                        <w:right w:val="none" w:sz="0" w:space="0" w:color="auto"/>
                      </w:divBdr>
                      <w:divsChild>
                        <w:div w:id="1354528163">
                          <w:marLeft w:val="0"/>
                          <w:marRight w:val="0"/>
                          <w:marTop w:val="0"/>
                          <w:marBottom w:val="0"/>
                          <w:divBdr>
                            <w:top w:val="none" w:sz="0" w:space="0" w:color="auto"/>
                            <w:left w:val="none" w:sz="0" w:space="0" w:color="auto"/>
                            <w:bottom w:val="none" w:sz="0" w:space="0" w:color="auto"/>
                            <w:right w:val="none" w:sz="0" w:space="0" w:color="auto"/>
                          </w:divBdr>
                          <w:divsChild>
                            <w:div w:id="112777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253596">
      <w:bodyDiv w:val="1"/>
      <w:marLeft w:val="0"/>
      <w:marRight w:val="0"/>
      <w:marTop w:val="0"/>
      <w:marBottom w:val="0"/>
      <w:divBdr>
        <w:top w:val="none" w:sz="0" w:space="0" w:color="auto"/>
        <w:left w:val="none" w:sz="0" w:space="0" w:color="auto"/>
        <w:bottom w:val="none" w:sz="0" w:space="0" w:color="auto"/>
        <w:right w:val="none" w:sz="0" w:space="0" w:color="auto"/>
      </w:divBdr>
      <w:divsChild>
        <w:div w:id="2121100561">
          <w:marLeft w:val="0"/>
          <w:marRight w:val="0"/>
          <w:marTop w:val="0"/>
          <w:marBottom w:val="0"/>
          <w:divBdr>
            <w:top w:val="none" w:sz="0" w:space="0" w:color="auto"/>
            <w:left w:val="none" w:sz="0" w:space="0" w:color="auto"/>
            <w:bottom w:val="none" w:sz="0" w:space="0" w:color="auto"/>
            <w:right w:val="none" w:sz="0" w:space="0" w:color="auto"/>
          </w:divBdr>
          <w:divsChild>
            <w:div w:id="815296733">
              <w:marLeft w:val="0"/>
              <w:marRight w:val="0"/>
              <w:marTop w:val="0"/>
              <w:marBottom w:val="0"/>
              <w:divBdr>
                <w:top w:val="none" w:sz="0" w:space="0" w:color="auto"/>
                <w:left w:val="none" w:sz="0" w:space="0" w:color="auto"/>
                <w:bottom w:val="none" w:sz="0" w:space="0" w:color="auto"/>
                <w:right w:val="none" w:sz="0" w:space="0" w:color="auto"/>
              </w:divBdr>
              <w:divsChild>
                <w:div w:id="1101530984">
                  <w:marLeft w:val="0"/>
                  <w:marRight w:val="0"/>
                  <w:marTop w:val="0"/>
                  <w:marBottom w:val="0"/>
                  <w:divBdr>
                    <w:top w:val="none" w:sz="0" w:space="0" w:color="auto"/>
                    <w:left w:val="none" w:sz="0" w:space="0" w:color="auto"/>
                    <w:bottom w:val="none" w:sz="0" w:space="0" w:color="auto"/>
                    <w:right w:val="none" w:sz="0" w:space="0" w:color="auto"/>
                  </w:divBdr>
                  <w:divsChild>
                    <w:div w:id="873465791">
                      <w:marLeft w:val="0"/>
                      <w:marRight w:val="0"/>
                      <w:marTop w:val="0"/>
                      <w:marBottom w:val="0"/>
                      <w:divBdr>
                        <w:top w:val="none" w:sz="0" w:space="0" w:color="auto"/>
                        <w:left w:val="none" w:sz="0" w:space="0" w:color="auto"/>
                        <w:bottom w:val="none" w:sz="0" w:space="0" w:color="auto"/>
                        <w:right w:val="none" w:sz="0" w:space="0" w:color="auto"/>
                      </w:divBdr>
                      <w:divsChild>
                        <w:div w:id="1690527849">
                          <w:marLeft w:val="0"/>
                          <w:marRight w:val="0"/>
                          <w:marTop w:val="0"/>
                          <w:marBottom w:val="0"/>
                          <w:divBdr>
                            <w:top w:val="none" w:sz="0" w:space="0" w:color="auto"/>
                            <w:left w:val="none" w:sz="0" w:space="0" w:color="auto"/>
                            <w:bottom w:val="none" w:sz="0" w:space="0" w:color="auto"/>
                            <w:right w:val="none" w:sz="0" w:space="0" w:color="auto"/>
                          </w:divBdr>
                          <w:divsChild>
                            <w:div w:id="1860267128">
                              <w:marLeft w:val="0"/>
                              <w:marRight w:val="0"/>
                              <w:marTop w:val="0"/>
                              <w:marBottom w:val="0"/>
                              <w:divBdr>
                                <w:top w:val="none" w:sz="0" w:space="0" w:color="auto"/>
                                <w:left w:val="none" w:sz="0" w:space="0" w:color="auto"/>
                                <w:bottom w:val="none" w:sz="0" w:space="0" w:color="auto"/>
                                <w:right w:val="none" w:sz="0" w:space="0" w:color="auto"/>
                              </w:divBdr>
                              <w:divsChild>
                                <w:div w:id="185009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4326281">
      <w:bodyDiv w:val="1"/>
      <w:marLeft w:val="0"/>
      <w:marRight w:val="0"/>
      <w:marTop w:val="0"/>
      <w:marBottom w:val="0"/>
      <w:divBdr>
        <w:top w:val="none" w:sz="0" w:space="0" w:color="auto"/>
        <w:left w:val="none" w:sz="0" w:space="0" w:color="auto"/>
        <w:bottom w:val="none" w:sz="0" w:space="0" w:color="auto"/>
        <w:right w:val="none" w:sz="0" w:space="0" w:color="auto"/>
      </w:divBdr>
      <w:divsChild>
        <w:div w:id="174224854">
          <w:marLeft w:val="0"/>
          <w:marRight w:val="0"/>
          <w:marTop w:val="0"/>
          <w:marBottom w:val="0"/>
          <w:divBdr>
            <w:top w:val="none" w:sz="0" w:space="0" w:color="auto"/>
            <w:left w:val="none" w:sz="0" w:space="0" w:color="auto"/>
            <w:bottom w:val="none" w:sz="0" w:space="0" w:color="auto"/>
            <w:right w:val="none" w:sz="0" w:space="0" w:color="auto"/>
          </w:divBdr>
          <w:divsChild>
            <w:div w:id="1209101647">
              <w:marLeft w:val="0"/>
              <w:marRight w:val="0"/>
              <w:marTop w:val="0"/>
              <w:marBottom w:val="0"/>
              <w:divBdr>
                <w:top w:val="none" w:sz="0" w:space="0" w:color="auto"/>
                <w:left w:val="none" w:sz="0" w:space="0" w:color="auto"/>
                <w:bottom w:val="none" w:sz="0" w:space="0" w:color="auto"/>
                <w:right w:val="none" w:sz="0" w:space="0" w:color="auto"/>
              </w:divBdr>
              <w:divsChild>
                <w:div w:id="4866378">
                  <w:marLeft w:val="0"/>
                  <w:marRight w:val="0"/>
                  <w:marTop w:val="0"/>
                  <w:marBottom w:val="0"/>
                  <w:divBdr>
                    <w:top w:val="none" w:sz="0" w:space="0" w:color="auto"/>
                    <w:left w:val="none" w:sz="0" w:space="0" w:color="auto"/>
                    <w:bottom w:val="none" w:sz="0" w:space="0" w:color="auto"/>
                    <w:right w:val="none" w:sz="0" w:space="0" w:color="auto"/>
                  </w:divBdr>
                  <w:divsChild>
                    <w:div w:id="1385182205">
                      <w:marLeft w:val="0"/>
                      <w:marRight w:val="0"/>
                      <w:marTop w:val="0"/>
                      <w:marBottom w:val="0"/>
                      <w:divBdr>
                        <w:top w:val="none" w:sz="0" w:space="0" w:color="auto"/>
                        <w:left w:val="none" w:sz="0" w:space="0" w:color="auto"/>
                        <w:bottom w:val="none" w:sz="0" w:space="0" w:color="auto"/>
                        <w:right w:val="none" w:sz="0" w:space="0" w:color="auto"/>
                      </w:divBdr>
                      <w:divsChild>
                        <w:div w:id="894898042">
                          <w:marLeft w:val="0"/>
                          <w:marRight w:val="0"/>
                          <w:marTop w:val="0"/>
                          <w:marBottom w:val="0"/>
                          <w:divBdr>
                            <w:top w:val="none" w:sz="0" w:space="0" w:color="auto"/>
                            <w:left w:val="none" w:sz="0" w:space="0" w:color="auto"/>
                            <w:bottom w:val="none" w:sz="0" w:space="0" w:color="auto"/>
                            <w:right w:val="none" w:sz="0" w:space="0" w:color="auto"/>
                          </w:divBdr>
                          <w:divsChild>
                            <w:div w:id="53747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2741745">
      <w:bodyDiv w:val="1"/>
      <w:marLeft w:val="0"/>
      <w:marRight w:val="0"/>
      <w:marTop w:val="0"/>
      <w:marBottom w:val="0"/>
      <w:divBdr>
        <w:top w:val="none" w:sz="0" w:space="0" w:color="auto"/>
        <w:left w:val="none" w:sz="0" w:space="0" w:color="auto"/>
        <w:bottom w:val="none" w:sz="0" w:space="0" w:color="auto"/>
        <w:right w:val="none" w:sz="0" w:space="0" w:color="auto"/>
      </w:divBdr>
    </w:div>
    <w:div w:id="1510947688">
      <w:bodyDiv w:val="1"/>
      <w:marLeft w:val="0"/>
      <w:marRight w:val="0"/>
      <w:marTop w:val="0"/>
      <w:marBottom w:val="0"/>
      <w:divBdr>
        <w:top w:val="none" w:sz="0" w:space="0" w:color="auto"/>
        <w:left w:val="none" w:sz="0" w:space="0" w:color="auto"/>
        <w:bottom w:val="none" w:sz="0" w:space="0" w:color="auto"/>
        <w:right w:val="none" w:sz="0" w:space="0" w:color="auto"/>
      </w:divBdr>
      <w:divsChild>
        <w:div w:id="2057194427">
          <w:marLeft w:val="0"/>
          <w:marRight w:val="0"/>
          <w:marTop w:val="0"/>
          <w:marBottom w:val="0"/>
          <w:divBdr>
            <w:top w:val="none" w:sz="0" w:space="0" w:color="auto"/>
            <w:left w:val="none" w:sz="0" w:space="0" w:color="auto"/>
            <w:bottom w:val="none" w:sz="0" w:space="0" w:color="auto"/>
            <w:right w:val="none" w:sz="0" w:space="0" w:color="auto"/>
          </w:divBdr>
          <w:divsChild>
            <w:div w:id="1012076415">
              <w:marLeft w:val="0"/>
              <w:marRight w:val="0"/>
              <w:marTop w:val="0"/>
              <w:marBottom w:val="0"/>
              <w:divBdr>
                <w:top w:val="none" w:sz="0" w:space="0" w:color="auto"/>
                <w:left w:val="none" w:sz="0" w:space="0" w:color="auto"/>
                <w:bottom w:val="none" w:sz="0" w:space="0" w:color="auto"/>
                <w:right w:val="none" w:sz="0" w:space="0" w:color="auto"/>
              </w:divBdr>
              <w:divsChild>
                <w:div w:id="1391995164">
                  <w:marLeft w:val="0"/>
                  <w:marRight w:val="0"/>
                  <w:marTop w:val="0"/>
                  <w:marBottom w:val="0"/>
                  <w:divBdr>
                    <w:top w:val="none" w:sz="0" w:space="0" w:color="auto"/>
                    <w:left w:val="none" w:sz="0" w:space="0" w:color="auto"/>
                    <w:bottom w:val="none" w:sz="0" w:space="0" w:color="auto"/>
                    <w:right w:val="none" w:sz="0" w:space="0" w:color="auto"/>
                  </w:divBdr>
                  <w:divsChild>
                    <w:div w:id="807472788">
                      <w:marLeft w:val="0"/>
                      <w:marRight w:val="0"/>
                      <w:marTop w:val="0"/>
                      <w:marBottom w:val="0"/>
                      <w:divBdr>
                        <w:top w:val="none" w:sz="0" w:space="0" w:color="auto"/>
                        <w:left w:val="none" w:sz="0" w:space="0" w:color="auto"/>
                        <w:bottom w:val="none" w:sz="0" w:space="0" w:color="auto"/>
                        <w:right w:val="none" w:sz="0" w:space="0" w:color="auto"/>
                      </w:divBdr>
                      <w:divsChild>
                        <w:div w:id="1266304927">
                          <w:marLeft w:val="0"/>
                          <w:marRight w:val="0"/>
                          <w:marTop w:val="0"/>
                          <w:marBottom w:val="0"/>
                          <w:divBdr>
                            <w:top w:val="none" w:sz="0" w:space="0" w:color="auto"/>
                            <w:left w:val="none" w:sz="0" w:space="0" w:color="auto"/>
                            <w:bottom w:val="none" w:sz="0" w:space="0" w:color="auto"/>
                            <w:right w:val="none" w:sz="0" w:space="0" w:color="auto"/>
                          </w:divBdr>
                          <w:divsChild>
                            <w:div w:id="141238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8587111">
      <w:bodyDiv w:val="1"/>
      <w:marLeft w:val="0"/>
      <w:marRight w:val="0"/>
      <w:marTop w:val="0"/>
      <w:marBottom w:val="0"/>
      <w:divBdr>
        <w:top w:val="none" w:sz="0" w:space="0" w:color="auto"/>
        <w:left w:val="none" w:sz="0" w:space="0" w:color="auto"/>
        <w:bottom w:val="none" w:sz="0" w:space="0" w:color="auto"/>
        <w:right w:val="none" w:sz="0" w:space="0" w:color="auto"/>
      </w:divBdr>
      <w:divsChild>
        <w:div w:id="921181492">
          <w:marLeft w:val="0"/>
          <w:marRight w:val="0"/>
          <w:marTop w:val="0"/>
          <w:marBottom w:val="0"/>
          <w:divBdr>
            <w:top w:val="none" w:sz="0" w:space="0" w:color="auto"/>
            <w:left w:val="none" w:sz="0" w:space="0" w:color="auto"/>
            <w:bottom w:val="none" w:sz="0" w:space="0" w:color="auto"/>
            <w:right w:val="none" w:sz="0" w:space="0" w:color="auto"/>
          </w:divBdr>
          <w:divsChild>
            <w:div w:id="1241018487">
              <w:marLeft w:val="0"/>
              <w:marRight w:val="0"/>
              <w:marTop w:val="0"/>
              <w:marBottom w:val="0"/>
              <w:divBdr>
                <w:top w:val="none" w:sz="0" w:space="0" w:color="auto"/>
                <w:left w:val="none" w:sz="0" w:space="0" w:color="auto"/>
                <w:bottom w:val="none" w:sz="0" w:space="0" w:color="auto"/>
                <w:right w:val="none" w:sz="0" w:space="0" w:color="auto"/>
              </w:divBdr>
              <w:divsChild>
                <w:div w:id="1671367986">
                  <w:marLeft w:val="0"/>
                  <w:marRight w:val="0"/>
                  <w:marTop w:val="0"/>
                  <w:marBottom w:val="0"/>
                  <w:divBdr>
                    <w:top w:val="none" w:sz="0" w:space="0" w:color="auto"/>
                    <w:left w:val="none" w:sz="0" w:space="0" w:color="auto"/>
                    <w:bottom w:val="none" w:sz="0" w:space="0" w:color="auto"/>
                    <w:right w:val="none" w:sz="0" w:space="0" w:color="auto"/>
                  </w:divBdr>
                  <w:divsChild>
                    <w:div w:id="134688957">
                      <w:marLeft w:val="0"/>
                      <w:marRight w:val="0"/>
                      <w:marTop w:val="0"/>
                      <w:marBottom w:val="0"/>
                      <w:divBdr>
                        <w:top w:val="none" w:sz="0" w:space="0" w:color="auto"/>
                        <w:left w:val="none" w:sz="0" w:space="0" w:color="auto"/>
                        <w:bottom w:val="none" w:sz="0" w:space="0" w:color="auto"/>
                        <w:right w:val="none" w:sz="0" w:space="0" w:color="auto"/>
                      </w:divBdr>
                      <w:divsChild>
                        <w:div w:id="740564794">
                          <w:marLeft w:val="0"/>
                          <w:marRight w:val="0"/>
                          <w:marTop w:val="0"/>
                          <w:marBottom w:val="0"/>
                          <w:divBdr>
                            <w:top w:val="none" w:sz="0" w:space="0" w:color="auto"/>
                            <w:left w:val="none" w:sz="0" w:space="0" w:color="auto"/>
                            <w:bottom w:val="none" w:sz="0" w:space="0" w:color="auto"/>
                            <w:right w:val="none" w:sz="0" w:space="0" w:color="auto"/>
                          </w:divBdr>
                          <w:divsChild>
                            <w:div w:id="1184436096">
                              <w:marLeft w:val="0"/>
                              <w:marRight w:val="0"/>
                              <w:marTop w:val="0"/>
                              <w:marBottom w:val="0"/>
                              <w:divBdr>
                                <w:top w:val="none" w:sz="0" w:space="0" w:color="auto"/>
                                <w:left w:val="none" w:sz="0" w:space="0" w:color="auto"/>
                                <w:bottom w:val="none" w:sz="0" w:space="0" w:color="auto"/>
                                <w:right w:val="none" w:sz="0" w:space="0" w:color="auto"/>
                              </w:divBdr>
                              <w:divsChild>
                                <w:div w:id="150346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87894">
      <w:bodyDiv w:val="1"/>
      <w:marLeft w:val="0"/>
      <w:marRight w:val="0"/>
      <w:marTop w:val="0"/>
      <w:marBottom w:val="0"/>
      <w:divBdr>
        <w:top w:val="none" w:sz="0" w:space="0" w:color="auto"/>
        <w:left w:val="none" w:sz="0" w:space="0" w:color="auto"/>
        <w:bottom w:val="none" w:sz="0" w:space="0" w:color="auto"/>
        <w:right w:val="none" w:sz="0" w:space="0" w:color="auto"/>
      </w:divBdr>
      <w:divsChild>
        <w:div w:id="1715082305">
          <w:marLeft w:val="0"/>
          <w:marRight w:val="0"/>
          <w:marTop w:val="0"/>
          <w:marBottom w:val="0"/>
          <w:divBdr>
            <w:top w:val="none" w:sz="0" w:space="0" w:color="auto"/>
            <w:left w:val="none" w:sz="0" w:space="0" w:color="auto"/>
            <w:bottom w:val="none" w:sz="0" w:space="0" w:color="auto"/>
            <w:right w:val="none" w:sz="0" w:space="0" w:color="auto"/>
          </w:divBdr>
          <w:divsChild>
            <w:div w:id="746345607">
              <w:marLeft w:val="0"/>
              <w:marRight w:val="0"/>
              <w:marTop w:val="0"/>
              <w:marBottom w:val="0"/>
              <w:divBdr>
                <w:top w:val="none" w:sz="0" w:space="0" w:color="auto"/>
                <w:left w:val="none" w:sz="0" w:space="0" w:color="auto"/>
                <w:bottom w:val="none" w:sz="0" w:space="0" w:color="auto"/>
                <w:right w:val="none" w:sz="0" w:space="0" w:color="auto"/>
              </w:divBdr>
              <w:divsChild>
                <w:div w:id="560292802">
                  <w:marLeft w:val="0"/>
                  <w:marRight w:val="0"/>
                  <w:marTop w:val="0"/>
                  <w:marBottom w:val="0"/>
                  <w:divBdr>
                    <w:top w:val="none" w:sz="0" w:space="0" w:color="auto"/>
                    <w:left w:val="none" w:sz="0" w:space="0" w:color="auto"/>
                    <w:bottom w:val="none" w:sz="0" w:space="0" w:color="auto"/>
                    <w:right w:val="none" w:sz="0" w:space="0" w:color="auto"/>
                  </w:divBdr>
                  <w:divsChild>
                    <w:div w:id="781536095">
                      <w:marLeft w:val="0"/>
                      <w:marRight w:val="0"/>
                      <w:marTop w:val="0"/>
                      <w:marBottom w:val="0"/>
                      <w:divBdr>
                        <w:top w:val="none" w:sz="0" w:space="0" w:color="auto"/>
                        <w:left w:val="none" w:sz="0" w:space="0" w:color="auto"/>
                        <w:bottom w:val="none" w:sz="0" w:space="0" w:color="auto"/>
                        <w:right w:val="none" w:sz="0" w:space="0" w:color="auto"/>
                      </w:divBdr>
                      <w:divsChild>
                        <w:div w:id="1079982752">
                          <w:marLeft w:val="0"/>
                          <w:marRight w:val="0"/>
                          <w:marTop w:val="0"/>
                          <w:marBottom w:val="0"/>
                          <w:divBdr>
                            <w:top w:val="none" w:sz="0" w:space="0" w:color="auto"/>
                            <w:left w:val="none" w:sz="0" w:space="0" w:color="auto"/>
                            <w:bottom w:val="none" w:sz="0" w:space="0" w:color="auto"/>
                            <w:right w:val="none" w:sz="0" w:space="0" w:color="auto"/>
                          </w:divBdr>
                          <w:divsChild>
                            <w:div w:id="125724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itck.gov.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5</Pages>
  <Words>1672</Words>
  <Characters>9531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Marika</dc:creator>
  <cp:keywords/>
  <dc:description/>
  <cp:lastModifiedBy>Nanuli Janiashvili</cp:lastModifiedBy>
  <cp:revision>4</cp:revision>
  <cp:lastPrinted>2026-03-02T08:05:00Z</cp:lastPrinted>
  <dcterms:created xsi:type="dcterms:W3CDTF">2026-03-01T10:54:00Z</dcterms:created>
  <dcterms:modified xsi:type="dcterms:W3CDTF">2026-04-20T10:05:00Z</dcterms:modified>
</cp:coreProperties>
</file>