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9C5BB" w14:textId="2790134F" w:rsidR="00150DFE" w:rsidRDefault="00150DFE" w:rsidP="004A25E9">
      <w:pPr>
        <w:spacing w:after="0" w:line="240" w:lineRule="auto"/>
        <w:jc w:val="center"/>
        <w:rPr>
          <w:rFonts w:ascii="Sylfaen" w:hAnsi="Sylfaen"/>
          <w:b/>
          <w:noProof/>
          <w:sz w:val="24"/>
          <w:szCs w:val="24"/>
          <w:lang w:val="ka-GE"/>
        </w:rPr>
      </w:pPr>
      <w:r>
        <w:rPr>
          <w:rFonts w:ascii="Sylfaen" w:hAnsi="Sylfaen"/>
          <w:b/>
          <w:noProof/>
          <w:sz w:val="24"/>
          <w:szCs w:val="24"/>
          <w:lang w:val="ka-GE"/>
        </w:rPr>
        <w:t>სარეკომენდაციო ვერსია</w:t>
      </w:r>
    </w:p>
    <w:p w14:paraId="14B06332" w14:textId="11C7D02B" w:rsidR="003D36D6" w:rsidRPr="00711A1F" w:rsidRDefault="003D36D6" w:rsidP="004A25E9">
      <w:pPr>
        <w:spacing w:after="0" w:line="240" w:lineRule="auto"/>
        <w:jc w:val="center"/>
        <w:rPr>
          <w:rFonts w:ascii="Sylfaen" w:hAnsi="Sylfaen"/>
          <w:b/>
          <w:noProof/>
          <w:sz w:val="24"/>
          <w:szCs w:val="24"/>
          <w:lang w:val="ka-GE"/>
        </w:rPr>
      </w:pPr>
      <w:r w:rsidRPr="00711A1F">
        <w:rPr>
          <w:rFonts w:ascii="Sylfaen" w:hAnsi="Sylfaen"/>
          <w:b/>
          <w:noProof/>
          <w:sz w:val="24"/>
          <w:szCs w:val="24"/>
          <w:lang w:val="ka-GE"/>
        </w:rPr>
        <w:t>გამოყენების ინსტრუქცია</w:t>
      </w:r>
    </w:p>
    <w:p w14:paraId="4DDA263E" w14:textId="77777777" w:rsidR="00E148BA" w:rsidRPr="00711A1F" w:rsidRDefault="00E148BA" w:rsidP="004A25E9">
      <w:pPr>
        <w:spacing w:after="0" w:line="240" w:lineRule="auto"/>
        <w:jc w:val="center"/>
        <w:rPr>
          <w:rFonts w:ascii="Sylfaen" w:hAnsi="Sylfaen"/>
          <w:b/>
          <w:noProof/>
          <w:sz w:val="24"/>
          <w:szCs w:val="24"/>
          <w:lang w:val="ka-GE"/>
        </w:rPr>
      </w:pPr>
    </w:p>
    <w:p w14:paraId="44F9F163"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ტურკფლექსი 5</w:t>
      </w:r>
      <w:r w:rsidR="003D36D6" w:rsidRPr="00711A1F">
        <w:rPr>
          <w:rFonts w:ascii="Sylfaen" w:hAnsi="Sylfaen"/>
          <w:b/>
          <w:bCs/>
          <w:noProof/>
          <w:sz w:val="24"/>
          <w:szCs w:val="24"/>
          <w:lang w:val="ka-GE"/>
        </w:rPr>
        <w:t>%-იანი დექსტროზის ხსნარი წყალში</w:t>
      </w:r>
    </w:p>
    <w:p w14:paraId="43AE4D2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გამოიყენება ინტრავენურად.</w:t>
      </w:r>
    </w:p>
    <w:p w14:paraId="10D22051" w14:textId="77777777" w:rsidR="003D36D6" w:rsidRPr="00711A1F" w:rsidRDefault="003D36D6" w:rsidP="004A25E9">
      <w:pPr>
        <w:spacing w:after="0" w:line="240" w:lineRule="auto"/>
        <w:rPr>
          <w:rFonts w:ascii="Sylfaen" w:hAnsi="Sylfaen"/>
          <w:b/>
          <w:noProof/>
          <w:sz w:val="24"/>
          <w:szCs w:val="24"/>
          <w:lang w:val="ka-GE"/>
        </w:rPr>
      </w:pPr>
      <w:r w:rsidRPr="00711A1F">
        <w:rPr>
          <w:rFonts w:ascii="Sylfaen" w:hAnsi="Sylfaen"/>
          <w:b/>
          <w:noProof/>
          <w:sz w:val="24"/>
          <w:szCs w:val="24"/>
          <w:lang w:val="ka-GE"/>
        </w:rPr>
        <w:t>სტერილური</w:t>
      </w:r>
    </w:p>
    <w:p w14:paraId="682E8CC7" w14:textId="77777777" w:rsidR="00E148BA" w:rsidRPr="00711A1F" w:rsidRDefault="00E148BA" w:rsidP="004A25E9">
      <w:pPr>
        <w:spacing w:after="0" w:line="240" w:lineRule="auto"/>
        <w:rPr>
          <w:rFonts w:ascii="Sylfaen" w:hAnsi="Sylfaen"/>
          <w:noProof/>
          <w:sz w:val="24"/>
          <w:szCs w:val="24"/>
          <w:lang w:val="ka-GE"/>
        </w:rPr>
      </w:pPr>
    </w:p>
    <w:p w14:paraId="5CDBA7D3" w14:textId="77777777" w:rsidR="003D36D6" w:rsidRPr="00711A1F" w:rsidRDefault="003D36D6" w:rsidP="004A25E9">
      <w:pPr>
        <w:pStyle w:val="ListParagraph"/>
        <w:numPr>
          <w:ilvl w:val="0"/>
          <w:numId w:val="7"/>
        </w:numPr>
        <w:spacing w:after="0" w:line="240" w:lineRule="auto"/>
        <w:ind w:left="0" w:firstLine="0"/>
        <w:rPr>
          <w:rFonts w:ascii="Sylfaen" w:hAnsi="Sylfaen"/>
          <w:noProof/>
          <w:sz w:val="24"/>
          <w:szCs w:val="24"/>
          <w:lang w:val="ka-GE"/>
        </w:rPr>
      </w:pPr>
      <w:r w:rsidRPr="00711A1F">
        <w:rPr>
          <w:rFonts w:ascii="Sylfaen" w:hAnsi="Sylfaen"/>
          <w:b/>
          <w:bCs/>
          <w:i/>
          <w:noProof/>
          <w:sz w:val="24"/>
          <w:szCs w:val="24"/>
          <w:lang w:val="ka-GE"/>
        </w:rPr>
        <w:t>აქტიური ნივთიერება:</w:t>
      </w:r>
      <w:r w:rsidRPr="00711A1F">
        <w:rPr>
          <w:rFonts w:ascii="Sylfaen" w:hAnsi="Sylfaen"/>
          <w:noProof/>
          <w:sz w:val="24"/>
          <w:szCs w:val="24"/>
          <w:lang w:val="ka-GE"/>
        </w:rPr>
        <w:t xml:space="preserve"> 100 მლ ხსნარი შეიცავს 5 გრამ გლუკოზას (შაქარს).</w:t>
      </w:r>
    </w:p>
    <w:p w14:paraId="71C23B51" w14:textId="77777777" w:rsidR="003D36D6" w:rsidRPr="00711A1F" w:rsidRDefault="003D36D6" w:rsidP="004A25E9">
      <w:pPr>
        <w:pStyle w:val="ListParagraph"/>
        <w:numPr>
          <w:ilvl w:val="0"/>
          <w:numId w:val="7"/>
        </w:numPr>
        <w:spacing w:after="0" w:line="240" w:lineRule="auto"/>
        <w:ind w:left="0" w:firstLine="0"/>
        <w:rPr>
          <w:rFonts w:ascii="Sylfaen" w:hAnsi="Sylfaen"/>
          <w:noProof/>
          <w:sz w:val="24"/>
          <w:szCs w:val="24"/>
          <w:lang w:val="ka-GE"/>
        </w:rPr>
      </w:pPr>
      <w:r w:rsidRPr="00711A1F">
        <w:rPr>
          <w:rFonts w:ascii="Sylfaen" w:hAnsi="Sylfaen"/>
          <w:b/>
          <w:i/>
          <w:noProof/>
          <w:sz w:val="24"/>
          <w:szCs w:val="24"/>
          <w:lang w:val="ka-GE"/>
        </w:rPr>
        <w:t>დამხმარე ნივთიერება:</w:t>
      </w:r>
      <w:r w:rsidRPr="00711A1F">
        <w:rPr>
          <w:rFonts w:ascii="Sylfaen" w:hAnsi="Sylfaen"/>
          <w:noProof/>
          <w:sz w:val="24"/>
          <w:szCs w:val="24"/>
          <w:lang w:val="ka-GE"/>
        </w:rPr>
        <w:t xml:space="preserve"> საინექციო წყალი.</w:t>
      </w:r>
    </w:p>
    <w:p w14:paraId="436A8152" w14:textId="77777777" w:rsidR="003D36D6" w:rsidRPr="00711A1F" w:rsidRDefault="003D36D6" w:rsidP="004A25E9">
      <w:pPr>
        <w:spacing w:after="0" w:line="240" w:lineRule="auto"/>
        <w:rPr>
          <w:rFonts w:ascii="Sylfaen" w:hAnsi="Sylfaen"/>
          <w:b/>
          <w:noProof/>
          <w:sz w:val="24"/>
          <w:szCs w:val="24"/>
          <w:lang w:val="ka-GE"/>
        </w:rPr>
      </w:pPr>
      <w:r w:rsidRPr="00711A1F">
        <w:rPr>
          <w:rFonts w:ascii="Sylfaen" w:hAnsi="Sylfaen"/>
          <w:b/>
          <w:noProof/>
          <w:sz w:val="24"/>
          <w:szCs w:val="24"/>
          <w:lang w:val="ka-GE"/>
        </w:rPr>
        <w:t>ამ პრეპარატის გამოყენების დაწყებამდე გთხოვთ, ყურადღებით გაეცნოთ გამოყენების ინსტრუქციას.</w:t>
      </w:r>
    </w:p>
    <w:p w14:paraId="67EFFA08"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წაიკითხეთ იგი, რადგან შეიცავს თქვენთვის მნიშვნელოვან ინფორმაციას.</w:t>
      </w:r>
    </w:p>
    <w:p w14:paraId="7C57FD8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შეინახეთ ინსტრუქცია. შესაძლოა მოგვიანებით კვლავ დაგჭირდეთ მისი წაკითხვა.</w:t>
      </w:r>
    </w:p>
    <w:p w14:paraId="56A681E8"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დამატებითი კითხვების შემთხვევაში მიმართეთ ექიმს ან ფარმაცევტს.</w:t>
      </w:r>
    </w:p>
    <w:p w14:paraId="4CD274F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ეს პრეპარატი დანიშნულია პირადად თქვენთვის. არ გადასცეთ იგი სხვებს.</w:t>
      </w:r>
    </w:p>
    <w:p w14:paraId="40DE708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ამ მედიკამენტის გამოყენებისას, საავადმყოფოში მიმართვის შემთხვევაში, აცნობეთ ექიმს, რომ იყენებთ აღნიშნულ პრეპარატს.</w:t>
      </w:r>
    </w:p>
    <w:p w14:paraId="3090302E"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ზუსტად დაიცავით ინსტრუქციაში მოცემული რეკომენდაციები. არ გადააჭარბოთ რეკომენდებულ დოზას.</w:t>
      </w:r>
    </w:p>
    <w:p w14:paraId="26952A95"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არ გამოიყენოთ რეკომენდებულზე მაღალი ან დაბალი დოზა.</w:t>
      </w:r>
    </w:p>
    <w:p w14:paraId="438F4FC0" w14:textId="77777777" w:rsidR="00E148BA" w:rsidRPr="00711A1F" w:rsidRDefault="00E148BA" w:rsidP="004A25E9">
      <w:pPr>
        <w:spacing w:after="0" w:line="240" w:lineRule="auto"/>
        <w:rPr>
          <w:rFonts w:ascii="Sylfaen" w:hAnsi="Sylfaen"/>
          <w:noProof/>
          <w:sz w:val="24"/>
          <w:szCs w:val="24"/>
          <w:lang w:val="ka-GE"/>
        </w:rPr>
      </w:pPr>
    </w:p>
    <w:p w14:paraId="6BF34660" w14:textId="77777777" w:rsidR="00E148BA" w:rsidRPr="00711A1F" w:rsidRDefault="00E148BA" w:rsidP="004A25E9">
      <w:pPr>
        <w:spacing w:after="0" w:line="240" w:lineRule="auto"/>
        <w:rPr>
          <w:rFonts w:ascii="Sylfaen" w:hAnsi="Sylfaen"/>
          <w:b/>
          <w:bCs/>
          <w:noProof/>
          <w:sz w:val="24"/>
          <w:szCs w:val="24"/>
          <w:u w:val="single"/>
          <w:lang w:val="ka-GE"/>
        </w:rPr>
      </w:pPr>
      <w:r w:rsidRPr="00711A1F">
        <w:rPr>
          <w:rFonts w:ascii="Sylfaen" w:hAnsi="Sylfaen"/>
          <w:b/>
          <w:bCs/>
          <w:noProof/>
          <w:sz w:val="24"/>
          <w:szCs w:val="24"/>
          <w:u w:val="single"/>
          <w:lang w:val="ka-GE"/>
        </w:rPr>
        <w:t>გამოყენების ინსტრუქცია შეიცავს შემდეგ პუნქტებს:</w:t>
      </w:r>
    </w:p>
    <w:p w14:paraId="16AD7455" w14:textId="3EC3621A"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1. რა არის </w:t>
      </w:r>
      <w:r w:rsidR="004A25E9" w:rsidRPr="00711A1F">
        <w:rPr>
          <w:rFonts w:ascii="Sylfaen" w:hAnsi="Sylfaen"/>
          <w:b/>
          <w:bCs/>
          <w:noProof/>
          <w:sz w:val="24"/>
          <w:szCs w:val="24"/>
          <w:lang w:val="ka-GE"/>
        </w:rPr>
        <w:t xml:space="preserve">ტურკფლექსი  5%-იანი </w:t>
      </w:r>
      <w:r w:rsidRPr="00711A1F">
        <w:rPr>
          <w:rFonts w:ascii="Sylfaen" w:hAnsi="Sylfaen"/>
          <w:b/>
          <w:bCs/>
          <w:noProof/>
          <w:sz w:val="24"/>
          <w:szCs w:val="24"/>
          <w:lang w:val="ka-GE"/>
        </w:rPr>
        <w:t>დექსტროზა</w:t>
      </w:r>
      <w:r w:rsidRPr="00711A1F">
        <w:rPr>
          <w:rFonts w:ascii="Sylfaen" w:hAnsi="Sylfaen"/>
          <w:noProof/>
          <w:sz w:val="24"/>
          <w:szCs w:val="24"/>
          <w:lang w:val="ka-GE"/>
        </w:rPr>
        <w:t xml:space="preserve"> და რისთვის გამოიყენება?</w:t>
      </w:r>
    </w:p>
    <w:p w14:paraId="17549F72" w14:textId="6BAD24DC"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2. რა უნდა გაითვალისწინოთ </w:t>
      </w:r>
      <w:r w:rsidR="004A25E9" w:rsidRPr="00711A1F">
        <w:rPr>
          <w:rFonts w:ascii="Sylfaen" w:hAnsi="Sylfaen"/>
          <w:b/>
          <w:bCs/>
          <w:noProof/>
          <w:sz w:val="24"/>
          <w:szCs w:val="24"/>
          <w:lang w:val="ka-GE"/>
        </w:rPr>
        <w:t>ტურკფლექსი  5%-იანი დექსტროზას</w:t>
      </w:r>
      <w:r w:rsidR="004A25E9" w:rsidRPr="00711A1F">
        <w:rPr>
          <w:rFonts w:ascii="Sylfaen" w:hAnsi="Sylfaen"/>
          <w:noProof/>
          <w:sz w:val="24"/>
          <w:szCs w:val="24"/>
          <w:lang w:val="ka-GE"/>
        </w:rPr>
        <w:t xml:space="preserve"> </w:t>
      </w:r>
      <w:r w:rsidRPr="00711A1F">
        <w:rPr>
          <w:rFonts w:ascii="Sylfaen" w:hAnsi="Sylfaen"/>
          <w:noProof/>
          <w:sz w:val="24"/>
          <w:szCs w:val="24"/>
          <w:lang w:val="ka-GE"/>
        </w:rPr>
        <w:t>გამოყენებამდე</w:t>
      </w:r>
    </w:p>
    <w:p w14:paraId="2475A598" w14:textId="07E91BA6"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3. როგორ გამოვიყენოთ </w:t>
      </w:r>
      <w:r w:rsidR="004A25E9" w:rsidRPr="00711A1F">
        <w:rPr>
          <w:rFonts w:ascii="Sylfaen" w:hAnsi="Sylfaen"/>
          <w:b/>
          <w:bCs/>
          <w:noProof/>
          <w:sz w:val="24"/>
          <w:szCs w:val="24"/>
          <w:lang w:val="ka-GE"/>
        </w:rPr>
        <w:t>ტურკფლექსი  5%-იანი დექსტროზა</w:t>
      </w:r>
      <w:r w:rsidRPr="00711A1F">
        <w:rPr>
          <w:rFonts w:ascii="Sylfaen" w:hAnsi="Sylfaen"/>
          <w:noProof/>
          <w:sz w:val="24"/>
          <w:szCs w:val="24"/>
          <w:lang w:val="ka-GE"/>
        </w:rPr>
        <w:t>?</w:t>
      </w:r>
    </w:p>
    <w:p w14:paraId="505E6F2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4. რა არის შესაძლო გვერდითი მოვლენები?</w:t>
      </w:r>
    </w:p>
    <w:p w14:paraId="51DA9763" w14:textId="20AE04AF"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5. </w:t>
      </w:r>
      <w:r w:rsidR="004A25E9" w:rsidRPr="00711A1F">
        <w:rPr>
          <w:rFonts w:ascii="Sylfaen" w:hAnsi="Sylfaen"/>
          <w:b/>
          <w:bCs/>
          <w:noProof/>
          <w:sz w:val="24"/>
          <w:szCs w:val="24"/>
          <w:lang w:val="ka-GE"/>
        </w:rPr>
        <w:t>ტურკფლექსი  5%-იანი დექსტროზა</w:t>
      </w:r>
      <w:r w:rsidR="004A25E9" w:rsidRPr="00711A1F">
        <w:rPr>
          <w:rFonts w:ascii="Sylfaen" w:hAnsi="Sylfaen"/>
          <w:noProof/>
          <w:sz w:val="24"/>
          <w:szCs w:val="24"/>
          <w:lang w:val="ka-GE"/>
        </w:rPr>
        <w:t xml:space="preserve"> </w:t>
      </w:r>
      <w:r w:rsidRPr="00711A1F">
        <w:rPr>
          <w:rFonts w:ascii="Sylfaen" w:hAnsi="Sylfaen"/>
          <w:noProof/>
          <w:sz w:val="24"/>
          <w:szCs w:val="24"/>
          <w:lang w:val="ka-GE"/>
        </w:rPr>
        <w:t>შენახვ</w:t>
      </w:r>
      <w:r w:rsidR="004A25E9" w:rsidRPr="00711A1F">
        <w:rPr>
          <w:rFonts w:ascii="Sylfaen" w:hAnsi="Sylfaen"/>
          <w:noProof/>
          <w:sz w:val="24"/>
          <w:szCs w:val="24"/>
          <w:lang w:val="ka-GE"/>
        </w:rPr>
        <w:t>ის წესი</w:t>
      </w:r>
    </w:p>
    <w:p w14:paraId="49EE8C9A" w14:textId="77777777" w:rsidR="00E148BA" w:rsidRPr="00711A1F" w:rsidRDefault="00E148BA" w:rsidP="004A25E9">
      <w:pPr>
        <w:spacing w:after="0" w:line="240" w:lineRule="auto"/>
        <w:rPr>
          <w:rFonts w:ascii="Sylfaen" w:hAnsi="Sylfaen"/>
          <w:b/>
          <w:bCs/>
          <w:noProof/>
          <w:sz w:val="24"/>
          <w:szCs w:val="24"/>
          <w:lang w:val="ka-GE"/>
        </w:rPr>
      </w:pPr>
    </w:p>
    <w:p w14:paraId="5F94CF67" w14:textId="1EF0E708" w:rsidR="00E148BA" w:rsidRPr="00711A1F" w:rsidRDefault="004A25E9" w:rsidP="004A25E9">
      <w:pPr>
        <w:spacing w:after="0" w:line="240" w:lineRule="auto"/>
        <w:rPr>
          <w:rFonts w:ascii="Sylfaen" w:hAnsi="Sylfaen"/>
          <w:b/>
          <w:bCs/>
          <w:noProof/>
          <w:sz w:val="24"/>
          <w:szCs w:val="24"/>
          <w:u w:val="single"/>
          <w:lang w:val="ka-GE"/>
        </w:rPr>
      </w:pPr>
      <w:r w:rsidRPr="00711A1F">
        <w:rPr>
          <w:rFonts w:ascii="Sylfaen" w:hAnsi="Sylfaen"/>
          <w:b/>
          <w:bCs/>
          <w:noProof/>
          <w:sz w:val="24"/>
          <w:szCs w:val="24"/>
          <w:u w:val="single"/>
          <w:lang w:val="ka-GE"/>
        </w:rPr>
        <w:t>ამ ინსტრუქციაში წაიკითხავთ:</w:t>
      </w:r>
    </w:p>
    <w:p w14:paraId="0338667E"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1. რა არის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 და რისთვის გამოიყენება?</w:t>
      </w:r>
    </w:p>
    <w:p w14:paraId="25C0B3BC"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არის სტერილური (მიკროორგანიზმებისგან თავისუფალი) ხსნარი, რომელიც განკუთვნილია ინტრავენური გამოყენებისთვის და შეიცავს დექსტროზას (გლუკოზას) — შაქარს, რომელიც აუცილებელია ორგანიზმის ენერგეტიკული მოთხოვნილებების დასაკმაყოფილებლად.</w:t>
      </w:r>
    </w:p>
    <w:p w14:paraId="6CBC0378" w14:textId="77777777" w:rsidR="00311E57" w:rsidRPr="00711A1F" w:rsidRDefault="003D36D6"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ხსნარი მოთავსებულია პლასტმასის პარკში, რომელსაც აქვს გარე დამცავი პლასტმასის გარსი. პრეპარატი ხელმისაწვდომია 100 მლ, 150 მლ, 250 მლ, 500 მლ ან 1000 მლ მოცულობით, ინფუზიის სისტემით ან მის გარეშე. იგი ინტრავენურად შეჰყავთ პლასტმასის მილის (ინფუზიის სისტემის) მეშვეობით.</w:t>
      </w:r>
    </w:p>
    <w:p w14:paraId="03DE1114"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გამოიყენება:</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დეჰიდრატაციის სამკურნალოდ, ორგანიზმიდან დაკარგული სითხის შევსების მიზნით;</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ორგანიზმიდან დაკარგული ან პერორალურად არასაკმარისად მიღებული შაქრის ჩასანაცვლებლად, რითაც ნაწილობრივ დაკმაყოფილდება ორგანიზმის ენერგეტიკული მოთხოვნილებები.</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აღნიშნული ხსნარი ასევე ხელს უწყობს ორგანიზმიდან ზედმეტი სითხის გამოდევნას გარკვეულ კლინიკურ მდგომარეობებში.</w:t>
      </w:r>
    </w:p>
    <w:p w14:paraId="7941D0C1" w14:textId="77777777" w:rsidR="003D36D6" w:rsidRPr="00711A1F" w:rsidRDefault="003D36D6" w:rsidP="004A25E9">
      <w:pPr>
        <w:spacing w:after="0" w:line="240" w:lineRule="auto"/>
        <w:rPr>
          <w:rFonts w:ascii="Sylfaen" w:hAnsi="Sylfaen"/>
          <w:noProof/>
          <w:sz w:val="24"/>
          <w:szCs w:val="24"/>
          <w:lang w:val="ka-GE"/>
        </w:rPr>
      </w:pPr>
    </w:p>
    <w:p w14:paraId="6CF2678F"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ასევე გამოიყენება გარკვეული კონცენტრირებული ინტრავენური მედიკამენტების განზავებისთვის მათ ინტრავენურ შეყვანამდე.</w:t>
      </w:r>
    </w:p>
    <w:p w14:paraId="2A7BC513" w14:textId="77777777" w:rsidR="003D36D6" w:rsidRPr="00711A1F" w:rsidRDefault="003D36D6" w:rsidP="004A25E9">
      <w:pPr>
        <w:spacing w:after="0" w:line="240" w:lineRule="auto"/>
        <w:rPr>
          <w:rFonts w:ascii="Sylfaen" w:hAnsi="Sylfaen"/>
          <w:noProof/>
          <w:sz w:val="24"/>
          <w:szCs w:val="24"/>
          <w:lang w:val="ka-GE"/>
        </w:rPr>
      </w:pPr>
    </w:p>
    <w:p w14:paraId="6944219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2. რა უნდა გაითვალისწინოთ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ხსნარის გამოყენებამდე</w:t>
      </w:r>
    </w:p>
    <w:p w14:paraId="35C664E9"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უსაფრთხოა მრავალი პაციენტისთვის. თუმცა, თუ გაწუხებთ გულის, თირკმლის, ღვიძლის ან ფილტვის დაავადება, ან გაქვთ დიაბეტი, ექიმმა შესაძლოა გადაწყვიტოს, რომ ეს პრეპარატი თქვენთვის არ არის რეკომენდებული.</w:t>
      </w:r>
    </w:p>
    <w:p w14:paraId="171A21ED"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გარდა ამისა, აღნიშნული ხსნარი არ უნდა შეიყვანოთ იმავე საინფუზიო სისტემით, რომლითაც ტარდება სისხლის გადასხმა — არც გადასხმამდე და არც მის შემდეგ.</w:t>
      </w:r>
    </w:p>
    <w:p w14:paraId="60944E6C" w14:textId="77777777" w:rsidR="00311E57" w:rsidRPr="00711A1F" w:rsidRDefault="00311E57" w:rsidP="004A25E9">
      <w:pPr>
        <w:spacing w:after="0" w:line="240" w:lineRule="auto"/>
        <w:rPr>
          <w:rFonts w:ascii="Sylfaen" w:hAnsi="Sylfaen"/>
          <w:b/>
          <w:bCs/>
          <w:noProof/>
          <w:sz w:val="24"/>
          <w:szCs w:val="24"/>
          <w:lang w:val="ka-GE"/>
        </w:rPr>
      </w:pPr>
    </w:p>
    <w:p w14:paraId="34917075"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არ გამოიყენოთ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 შემდეგ შემთხვევებში:</w:t>
      </w:r>
    </w:p>
    <w:p w14:paraId="4A940F9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w:t>
      </w:r>
    </w:p>
    <w:p w14:paraId="2D26306D"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შაქრის დონე ნორმაზე მაღალია (ჰიპერგლიკემია);</w:t>
      </w:r>
    </w:p>
    <w:p w14:paraId="2D1C9E04"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უკონტროლო დიაბეტი;</w:t>
      </w:r>
    </w:p>
    <w:p w14:paraId="3DE6BFD1"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აღგენიშნებათ შაქრის აუტანლობა, რომელიც შეიძლება განვითარდეს ორგანიზმში მეტაბოლური პროცესების დარღვევისას;</w:t>
      </w:r>
    </w:p>
    <w:p w14:paraId="58598FE3"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ორგანიზმი მძიმედ არის გაუწყლოებული და მდგომარეობის კორექციის მიზნით დიდი რაოდენობით შაქრიანი სითხეების მიღების შედეგად განვითარდა ჰიპეროსმოლარული კომა;</w:t>
      </w:r>
    </w:p>
    <w:p w14:paraId="7EF1E4EE"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სისხლში რძემჟავას მომატებული დონე (ჰიპერლაქტატემია), რაც ნახშირწყლების ცვლის დარღვევასთანაა დაკავშირებული;</w:t>
      </w:r>
    </w:p>
    <w:p w14:paraId="20E88D20"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მომატებული მგრძნობელობა (ალერგია) სიმინდის ან სიმინდის პროდუქტების მიმართ.</w:t>
      </w:r>
    </w:p>
    <w:p w14:paraId="147AD879" w14:textId="77777777" w:rsidR="003D36D6" w:rsidRPr="00711A1F" w:rsidRDefault="003D36D6" w:rsidP="004A25E9">
      <w:pPr>
        <w:spacing w:after="0" w:line="240" w:lineRule="auto"/>
        <w:rPr>
          <w:rFonts w:ascii="Sylfaen" w:hAnsi="Sylfaen"/>
          <w:noProof/>
          <w:sz w:val="24"/>
          <w:szCs w:val="24"/>
          <w:lang w:val="ka-GE"/>
        </w:rPr>
      </w:pPr>
    </w:p>
    <w:p w14:paraId="47CF5740"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 სიფრთხილით გამოიყენეთ შემდეგ შემთხვევებში:</w:t>
      </w:r>
    </w:p>
    <w:p w14:paraId="7852FC0D"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w:t>
      </w:r>
    </w:p>
    <w:p w14:paraId="229C7BB5"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წყლის ინტოქსიკაცია;</w:t>
      </w:r>
    </w:p>
    <w:p w14:paraId="68428154"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გაწუხებთ თირკმლის მძიმე უკმარისობა, რომელიც ხასიათდება შარდის გამოყოფის მკვეთრი შემცირებით ან სრული არარსებობით (ოლიგურია/ანურია);</w:t>
      </w:r>
    </w:p>
    <w:p w14:paraId="5A6864A8"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გულის უკმარისობა;</w:t>
      </w:r>
    </w:p>
    <w:p w14:paraId="71EA6582"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ფილტვის უკმარისობა;</w:t>
      </w:r>
    </w:p>
    <w:p w14:paraId="48451C52"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გადატანილი გაქვთ ინსულტი (მათ შორის მწვავე იშემიური ინსულტი), რომელიც გამოწვეულია თავის ტვინის სისხლძარღვების უეცარი ბლოკირებით ან სისხლდენით;</w:t>
      </w:r>
    </w:p>
    <w:p w14:paraId="1E5C4571"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ბოლო 24 საათის განმავლობაში გადაიტანეთ თავის ტრავმა;</w:t>
      </w:r>
    </w:p>
    <w:p w14:paraId="54E0B6BF"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მომატებული ქალასშიდა წნევა.</w:t>
      </w:r>
    </w:p>
    <w:p w14:paraId="4BCFAE27" w14:textId="77777777" w:rsidR="00311E57" w:rsidRPr="00711A1F" w:rsidRDefault="00311E57" w:rsidP="004A25E9">
      <w:pPr>
        <w:spacing w:after="0" w:line="240" w:lineRule="auto"/>
        <w:rPr>
          <w:rFonts w:ascii="Sylfaen" w:hAnsi="Sylfaen"/>
          <w:noProof/>
          <w:sz w:val="24"/>
          <w:szCs w:val="24"/>
          <w:lang w:val="ka-GE"/>
        </w:rPr>
      </w:pPr>
    </w:p>
    <w:p w14:paraId="7958F62A"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ამ მდგომარეობების არსებობის შემთხვევაში პრეპარატის გამოყენება შესაძლებელია მხოლოდ ექიმის მკაცრი კონტროლის ქვეშ.</w:t>
      </w:r>
    </w:p>
    <w:p w14:paraId="64E8ADF4" w14:textId="77777777" w:rsidR="00311E57" w:rsidRPr="00711A1F" w:rsidRDefault="00311E57" w:rsidP="004A25E9">
      <w:pPr>
        <w:spacing w:after="0" w:line="240" w:lineRule="auto"/>
        <w:rPr>
          <w:rFonts w:ascii="Sylfaen" w:hAnsi="Sylfaen"/>
          <w:noProof/>
          <w:sz w:val="24"/>
          <w:szCs w:val="24"/>
          <w:lang w:val="ka-GE"/>
        </w:rPr>
      </w:pPr>
    </w:p>
    <w:p w14:paraId="4D665DDB"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ხსნარის გამოყენება საკვებთან და სასმელებთან</w:t>
      </w:r>
    </w:p>
    <w:p w14:paraId="6B2B69D5"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ხსნარი ინტრავენურად შესაყვანი პრეპარატია; მისი ურთიერთქმედება საკვებთან ან სასმელებთან ცნობილი არ არის.</w:t>
      </w:r>
    </w:p>
    <w:p w14:paraId="7B87F0F5" w14:textId="77777777" w:rsidR="003D36D6" w:rsidRPr="00711A1F" w:rsidRDefault="003D36D6" w:rsidP="004A25E9">
      <w:pPr>
        <w:spacing w:after="0" w:line="240" w:lineRule="auto"/>
        <w:rPr>
          <w:rFonts w:ascii="Sylfaen" w:hAnsi="Sylfaen"/>
          <w:noProof/>
          <w:sz w:val="24"/>
          <w:szCs w:val="24"/>
          <w:lang w:val="ka-GE"/>
        </w:rPr>
      </w:pPr>
    </w:p>
    <w:p w14:paraId="2933EC7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ორსულობა</w:t>
      </w:r>
    </w:p>
    <w:p w14:paraId="4802E4F3"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პრეპარატის გამოყენებამდე მიმართეთ ექიმს ან ფარმაცევტს.</w:t>
      </w:r>
    </w:p>
    <w:p w14:paraId="32160AB5"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lastRenderedPageBreak/>
        <w:t xml:space="preserve">ორსულობის პერიოდში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დექსტროზის ხსნარი არ უნდა გამოიყენებოდეს, გარდა იმ შემთხვევებისა, როდესაც მისი გამოყენება აბსოლუტურად აუცილებელია.</w:t>
      </w:r>
    </w:p>
    <w:p w14:paraId="12A57FB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ორსულად ხართ ან ფიქრობთ, რომ შესაძლოა ორსულად იყოთ, დაუყოვნებლივ აცნობეთ ამის შესახებ ექიმს.</w:t>
      </w:r>
    </w:p>
    <w:p w14:paraId="722197F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მკურნალობის პერიოდში გაიგებთ, რომ ორსულად ხართ, დაუყოვნებლივ მიმართეთ ექიმს ან ფარმაცევტს.</w:t>
      </w:r>
    </w:p>
    <w:p w14:paraId="285B7A37"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ძუძუთი კვება</w:t>
      </w:r>
    </w:p>
    <w:p w14:paraId="586C6865"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პრეპარატის გამოყენებამდე მიმართეთ ექიმს ან ფარმაცევტს.</w:t>
      </w:r>
    </w:p>
    <w:p w14:paraId="2B87D0D6"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ავტომობილისა და მექანიზმების მართვა</w:t>
      </w:r>
    </w:p>
    <w:p w14:paraId="146368DA"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ხსნარით მკურნალობის პერიოდში ავტომობილის მართვა ან მექანიზმებთან მუშაობა რეკომენდებული არ არის.</w:t>
      </w:r>
    </w:p>
    <w:p w14:paraId="44BA352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მკურნალობის დასრულების შემდეგ შეგიძლიათ განაგრძოთ ყოველდღიური საქმიანობა, მათ შორის ავტომობილის მართვა და მექანიზმებთან მუშაობა.</w:t>
      </w:r>
    </w:p>
    <w:p w14:paraId="13F3BAD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მნიშვნელოვანი ინფორმაცია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ხსნარში შემავალი ზოგიერთი დამხმარე ნივთიერების შესახებ</w:t>
      </w:r>
    </w:p>
    <w:p w14:paraId="0852D41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პრეპარატი არ შეიცავს ისეთ დამხმარე ნივთიერებებს, რომლებიც განსაკუთრებულ გაფრთხილებას საჭიროებს.</w:t>
      </w:r>
    </w:p>
    <w:p w14:paraId="3C18832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სხვა პრეპარატებთან ერთად გამოყენება</w:t>
      </w:r>
    </w:p>
    <w:p w14:paraId="136D6CEE"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ხსნართან ერთად ნებისმიერი მედიკამენტის გამოყენებამდე გაიარეთ კონსულტაცია ექიმთან.</w:t>
      </w:r>
    </w:p>
    <w:p w14:paraId="67F8AB8B"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გაქვთ დიაბეტი, აღნიშნული პრეპარატის გამოყენება შეიძლება არ იყოს რეკომენდებული, ან საჭირო გახდეს მისი გამოყენება სხვა მედიკამენტთან ერთად სისხლში შაქრის დონის კონტროლის მიზნით.</w:t>
      </w:r>
    </w:p>
    <w:p w14:paraId="49D9DF78"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მკურნალობის დაწყებამდე მნიშვნელოვანია აცნობოთ ექიმს ან ექთანს ყველა იმ მედიკამენტის შესახებ, რომელსაც ამჟამად იღებთ — როგორც რეცეპტით, ასევე ურეცეპტოდ გაცემულს.</w:t>
      </w:r>
    </w:p>
    <w:p w14:paraId="465ECE9E"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თუ ამჟამად იღებთ ან ახლო წარსულში იღებდით ნებისმიერ რეცეპტით ან ურეცეპტოდ გაცემულ მედიკამენტს, აუცილებლად აცნობეთ ამის შესახებ ექიმს ან ფარმაცევტს.</w:t>
      </w:r>
    </w:p>
    <w:p w14:paraId="3E295CF0" w14:textId="77777777" w:rsidR="00311E57" w:rsidRPr="00711A1F" w:rsidRDefault="00311E57" w:rsidP="004A25E9">
      <w:pPr>
        <w:spacing w:after="0" w:line="240" w:lineRule="auto"/>
        <w:rPr>
          <w:rFonts w:ascii="Sylfaen" w:hAnsi="Sylfaen"/>
          <w:noProof/>
          <w:sz w:val="24"/>
          <w:szCs w:val="24"/>
          <w:lang w:val="ka-GE"/>
        </w:rPr>
      </w:pPr>
    </w:p>
    <w:p w14:paraId="53DF3F5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3. როგორ გამოვიყენოთ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w:t>
      </w:r>
    </w:p>
    <w:p w14:paraId="368E2335" w14:textId="77777777" w:rsidR="003D36D6" w:rsidRPr="00711A1F" w:rsidRDefault="003D36D6" w:rsidP="004A25E9">
      <w:pPr>
        <w:spacing w:after="0" w:line="240" w:lineRule="auto"/>
        <w:rPr>
          <w:rFonts w:ascii="Sylfaen" w:hAnsi="Sylfaen"/>
          <w:b/>
          <w:bCs/>
          <w:noProof/>
          <w:sz w:val="24"/>
          <w:szCs w:val="24"/>
          <w:lang w:val="ka-GE"/>
        </w:rPr>
      </w:pPr>
      <w:r w:rsidRPr="00711A1F">
        <w:rPr>
          <w:rFonts w:ascii="Sylfaen" w:hAnsi="Sylfaen"/>
          <w:b/>
          <w:bCs/>
          <w:noProof/>
          <w:sz w:val="24"/>
          <w:szCs w:val="24"/>
          <w:lang w:val="ka-GE"/>
        </w:rPr>
        <w:t>სწორი გამოყენებისა და დოზირების/მიღების სიხშირის შესახებ ინსტრუქცია:</w:t>
      </w:r>
    </w:p>
    <w:p w14:paraId="68399B05" w14:textId="77777777" w:rsidR="003D36D6"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ექიმი განსაზღვრავს, რა რაოდენობით გჭირდებათ აღნიშნული პრეპარატი და როდის უნდა მოხდეს მისი შეყვანა. დოზა დამოკიდებულია თქვენს ასაკზე, სხეულის მასაზე და პრეპარატის გამოყენების მიზანზე.</w:t>
      </w:r>
    </w:p>
    <w:p w14:paraId="04FD06DB" w14:textId="77777777" w:rsidR="00311E57"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დაიცავით ექიმის მითითებები. არ შეცვალოთ დოზა და არ შეწყვიტოთ მკურნალობა ექიმთან კონსულტაციის გარეშე.</w:t>
      </w:r>
    </w:p>
    <w:p w14:paraId="79FCB295" w14:textId="77777777" w:rsidR="00311E57"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ეცადეთ, არ გამოტოვოთ დანიშნული პროცედურა.</w:t>
      </w:r>
    </w:p>
    <w:p w14:paraId="6E5BF2B7" w14:textId="77777777" w:rsidR="003D36D6"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ექიმი განსაზღვრავს მკურნალობის ხანგრძლივობას. არ შეწყვიტოთ მკურნალობა ნაადრევად, რადგან ამან შესაძლოა შეამციროს თერაპიული ეფექტი.</w:t>
      </w:r>
    </w:p>
    <w:p w14:paraId="587B4898" w14:textId="77777777" w:rsidR="003D36D6" w:rsidRPr="00711A1F" w:rsidRDefault="003D36D6" w:rsidP="004A25E9">
      <w:pPr>
        <w:spacing w:after="0" w:line="240" w:lineRule="auto"/>
        <w:rPr>
          <w:rFonts w:ascii="Sylfaen" w:hAnsi="Sylfaen"/>
          <w:noProof/>
          <w:sz w:val="24"/>
          <w:szCs w:val="24"/>
          <w:lang w:val="ka-GE"/>
        </w:rPr>
      </w:pPr>
    </w:p>
    <w:p w14:paraId="0C9CE1A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გამოყენების მეთოდი და წესი:</w:t>
      </w:r>
    </w:p>
    <w:p w14:paraId="7988EBB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პრეპარატი შეჰყავთ ვენაში (ინტრავენურად) შესაბამისი ინფუზიის სისტემის (პლასტმასის ნაკრების) მეშვეობით.</w:t>
      </w:r>
    </w:p>
    <w:p w14:paraId="3774A37A"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სხვადასხვა ასაკობრივი ჯგუფები</w:t>
      </w:r>
    </w:p>
    <w:p w14:paraId="10B04DD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ბავშვებში:</w:t>
      </w:r>
      <w:r w:rsidRPr="00711A1F">
        <w:rPr>
          <w:rFonts w:ascii="Sylfaen" w:hAnsi="Sylfaen"/>
          <w:noProof/>
          <w:sz w:val="24"/>
          <w:szCs w:val="24"/>
          <w:lang w:val="ka-GE"/>
        </w:rPr>
        <w:br/>
        <w:t>ბავშვებში დოზა და ინფუზიის სიჩქარე განისაზღვრება მკურნალი ექიმის მიერ, ბავშვის ასაკის, სხეულის მასისა და კლინიკური მდგომარეობის გათვალისწინებით.</w:t>
      </w:r>
    </w:p>
    <w:p w14:paraId="56A73F18" w14:textId="77777777" w:rsidR="00311E57" w:rsidRPr="00711A1F" w:rsidRDefault="00311E57" w:rsidP="004A25E9">
      <w:pPr>
        <w:spacing w:after="0" w:line="240" w:lineRule="auto"/>
        <w:rPr>
          <w:rFonts w:ascii="Sylfaen" w:hAnsi="Sylfaen"/>
          <w:noProof/>
          <w:sz w:val="24"/>
          <w:szCs w:val="24"/>
          <w:lang w:val="ka-GE"/>
        </w:rPr>
      </w:pPr>
    </w:p>
    <w:p w14:paraId="692C5D9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ხანდაზმულებში:</w:t>
      </w:r>
      <w:r w:rsidRPr="00711A1F">
        <w:rPr>
          <w:rFonts w:ascii="Sylfaen" w:hAnsi="Sylfaen"/>
          <w:noProof/>
          <w:sz w:val="24"/>
          <w:szCs w:val="24"/>
          <w:lang w:val="ka-GE"/>
        </w:rPr>
        <w:br/>
        <w:t>ხანდაზმულ პაციენტებში პრეპარატი გამოიყენება ისევე, როგორც მოზრდილებში, თუმცა დოზა და ინფუზიის სიჩქარე ინდივიდუალურად უნდა განისაზღვროს ექიმის მიერ.</w:t>
      </w:r>
    </w:p>
    <w:p w14:paraId="5CED8F7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ხანდაზმულებში</w:t>
      </w:r>
    </w:p>
    <w:p w14:paraId="20A52517" w14:textId="77777777" w:rsidR="00311E57"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ხანდაზმულ პაციენტებში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დექსტროზის ხსნარი გამოიყენება ისე, როგორც მოზრდილებში</w:t>
      </w:r>
      <w:r w:rsidR="00311E57" w:rsidRPr="00711A1F">
        <w:rPr>
          <w:rFonts w:ascii="Sylfaen" w:hAnsi="Sylfaen"/>
          <w:noProof/>
          <w:sz w:val="24"/>
          <w:szCs w:val="24"/>
          <w:lang w:val="ka-GE"/>
        </w:rPr>
        <w:t>.</w:t>
      </w:r>
    </w:p>
    <w:p w14:paraId="032C256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სპეციალური გამოყენების შემთხვევები</w:t>
      </w:r>
    </w:p>
    <w:p w14:paraId="4FA2E3D0"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თირკმლისა და ღვიძლის უკმარისობის დროს:</w:t>
      </w:r>
      <w:r w:rsidRPr="00711A1F">
        <w:rPr>
          <w:rFonts w:ascii="Sylfaen" w:hAnsi="Sylfaen"/>
          <w:noProof/>
          <w:sz w:val="24"/>
          <w:szCs w:val="24"/>
          <w:lang w:val="ka-GE"/>
        </w:rPr>
        <w:br/>
        <w:t>თუ გაქვთ თირკმლის ან ღვიძლის უკმარისობა, თქვენი მდგომარეობის სიმძიმის მიხედვით, ექიმმა შესაძლოა არ დაგინიშნოთ ეს პრეპარატი. თუ დანიშნავენ, თქვენი მიღება მკაცრად კონტროლდება.</w:t>
      </w:r>
    </w:p>
    <w:p w14:paraId="370A79C8" w14:textId="77777777" w:rsidR="00311E57"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ფიქრობთ, რომ პრეპარატის ეფექტი ძალიან ძლიერი ან ძალიან სუსტია, მიმართეთ ექიმს ან ფარმაცევტს</w:t>
      </w:r>
      <w:r w:rsidR="00311E57" w:rsidRPr="00711A1F">
        <w:rPr>
          <w:rFonts w:ascii="Sylfaen" w:hAnsi="Sylfaen"/>
          <w:noProof/>
          <w:sz w:val="24"/>
          <w:szCs w:val="24"/>
          <w:lang w:val="ka-GE"/>
        </w:rPr>
        <w:t>.</w:t>
      </w:r>
    </w:p>
    <w:p w14:paraId="0E9342D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გაუფრთხილებლობა დოზირებისას</w:t>
      </w:r>
    </w:p>
    <w:p w14:paraId="427926F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თუ მიიღეთ საჭიროაზე მეტი პრეპარატი:</w:t>
      </w:r>
      <w:r w:rsidRPr="00711A1F">
        <w:rPr>
          <w:rFonts w:ascii="Sylfaen" w:hAnsi="Sylfaen"/>
          <w:noProof/>
          <w:sz w:val="24"/>
          <w:szCs w:val="24"/>
          <w:lang w:val="ka-GE"/>
        </w:rPr>
        <w:br/>
        <w:t>მიმართეთ დაუყოვნებლივ ექიმს ან ფარმაცევტს.</w:t>
      </w:r>
    </w:p>
    <w:p w14:paraId="3CD80C1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თუ დაგავიწყდათ დოზის მიღება:</w:t>
      </w:r>
      <w:r w:rsidRPr="00711A1F">
        <w:rPr>
          <w:rFonts w:ascii="Sylfaen" w:hAnsi="Sylfaen"/>
          <w:noProof/>
          <w:sz w:val="24"/>
          <w:szCs w:val="24"/>
          <w:lang w:val="ka-GE"/>
        </w:rPr>
        <w:br/>
      </w:r>
      <w:r w:rsidRPr="00711A1F">
        <w:rPr>
          <w:rFonts w:ascii="Sylfaen" w:hAnsi="Sylfaen"/>
          <w:i/>
          <w:noProof/>
          <w:sz w:val="24"/>
          <w:szCs w:val="24"/>
          <w:lang w:val="ka-GE"/>
        </w:rPr>
        <w:t>არ მიიღოთ ორმაგი დოზა გამოტოვებული დოზის კომპენსირებისთვის.</w:t>
      </w:r>
    </w:p>
    <w:p w14:paraId="453BD52D" w14:textId="77777777" w:rsidR="003D36D6" w:rsidRPr="00711A1F" w:rsidRDefault="00311E57"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შეწყვეტის</w:t>
      </w:r>
      <w:r w:rsidR="003D36D6" w:rsidRPr="00711A1F">
        <w:rPr>
          <w:rFonts w:ascii="Sylfaen" w:hAnsi="Sylfaen"/>
          <w:b/>
          <w:bCs/>
          <w:noProof/>
          <w:sz w:val="24"/>
          <w:szCs w:val="24"/>
          <w:lang w:val="ka-GE"/>
        </w:rPr>
        <w:t xml:space="preserve"> შემდეგ შესაძლო ეფექტები:</w:t>
      </w:r>
      <w:r w:rsidR="003D36D6" w:rsidRPr="00711A1F">
        <w:rPr>
          <w:rFonts w:ascii="Sylfaen" w:hAnsi="Sylfaen"/>
          <w:noProof/>
          <w:sz w:val="24"/>
          <w:szCs w:val="24"/>
          <w:lang w:val="ka-GE"/>
        </w:rPr>
        <w:br/>
      </w:r>
      <w:r w:rsidR="003D36D6" w:rsidRPr="00711A1F">
        <w:rPr>
          <w:rFonts w:ascii="Sylfaen" w:hAnsi="Sylfaen"/>
          <w:i/>
          <w:noProof/>
          <w:sz w:val="24"/>
          <w:szCs w:val="24"/>
          <w:lang w:val="ka-GE"/>
        </w:rPr>
        <w:t>ამ პრეპარატის შეწყვეტის შემდეგ სპეციალური ეფექტები არ არის დაფიქსირებული.</w:t>
      </w:r>
    </w:p>
    <w:p w14:paraId="236DF5F8" w14:textId="77777777" w:rsidR="00311E57" w:rsidRPr="00711A1F" w:rsidRDefault="00311E57" w:rsidP="004A25E9">
      <w:pPr>
        <w:spacing w:after="0" w:line="240" w:lineRule="auto"/>
        <w:rPr>
          <w:rFonts w:ascii="Sylfaen" w:hAnsi="Sylfaen"/>
          <w:noProof/>
          <w:sz w:val="24"/>
          <w:szCs w:val="24"/>
          <w:lang w:val="ka-GE"/>
        </w:rPr>
      </w:pPr>
    </w:p>
    <w:p w14:paraId="4C81DDAB"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4. რა არის შესაძლო გვერდითი მოვლენები?</w:t>
      </w:r>
    </w:p>
    <w:p w14:paraId="2D21DA4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ყველა მედიკამენტის მსგავსად,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დექსტროზა შეიძლება გამოიწვიოს გვერდითი მოვლენები ადამიანებში, რომლებიც მგრძნობიარენი არიან მასში შემავალი ნივთიერებების მიმართ.</w:t>
      </w:r>
    </w:p>
    <w:p w14:paraId="06BF20D3" w14:textId="77777777" w:rsidR="00311E57" w:rsidRPr="00711A1F" w:rsidRDefault="00311E57" w:rsidP="004A25E9">
      <w:pPr>
        <w:spacing w:after="0" w:line="240" w:lineRule="auto"/>
        <w:rPr>
          <w:rFonts w:ascii="Sylfaen" w:hAnsi="Sylfaen"/>
          <w:noProof/>
          <w:sz w:val="24"/>
          <w:szCs w:val="24"/>
          <w:lang w:val="ka-GE"/>
        </w:rPr>
      </w:pPr>
    </w:p>
    <w:p w14:paraId="6D5AE20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შეწყვიტეთ პრეპარატის გამოყენება და დაუყოვნებლივ მიმართეთ ექიმს ან უახლოეს საავადმყოფოს გადაუდებელი დახმარების განყოფილებას</w:t>
      </w:r>
      <w:r w:rsidRPr="00711A1F">
        <w:rPr>
          <w:rFonts w:ascii="Sylfaen" w:hAnsi="Sylfaen"/>
          <w:noProof/>
          <w:sz w:val="24"/>
          <w:szCs w:val="24"/>
          <w:lang w:val="ka-GE"/>
        </w:rPr>
        <w:t>, თუ შეამჩნევთ შემდეგ სიმპტომთაგან რომელიმეს:</w:t>
      </w:r>
    </w:p>
    <w:p w14:paraId="529DA977" w14:textId="77777777" w:rsidR="003D36D6" w:rsidRPr="00711A1F" w:rsidRDefault="003D36D6" w:rsidP="004A25E9">
      <w:pPr>
        <w:numPr>
          <w:ilvl w:val="0"/>
          <w:numId w:val="4"/>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გენერალიზებული ან ლოკალიზებული ჭინჭრის ციება (ურტიკარია)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ხიხინი</w:t>
      </w:r>
      <w:r w:rsidR="00311E57" w:rsidRPr="00711A1F">
        <w:rPr>
          <w:rFonts w:ascii="Sylfaen" w:hAnsi="Sylfaen"/>
          <w:noProof/>
          <w:sz w:val="24"/>
          <w:szCs w:val="24"/>
          <w:lang w:val="ka-GE"/>
        </w:rPr>
        <w:t xml:space="preserve">, </w:t>
      </w:r>
      <w:r w:rsidRPr="00711A1F">
        <w:rPr>
          <w:rFonts w:ascii="Sylfaen" w:hAnsi="Sylfaen"/>
          <w:noProof/>
          <w:sz w:val="24"/>
          <w:szCs w:val="24"/>
          <w:lang w:val="ka-GE"/>
        </w:rPr>
        <w:t>გულმკერდის არეში შებოჭილობა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დაბალი არტერიული წნევა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მაღალი სიცხე</w:t>
      </w:r>
      <w:r w:rsidR="00311E57" w:rsidRPr="00711A1F">
        <w:rPr>
          <w:rFonts w:ascii="Sylfaen" w:hAnsi="Sylfaen"/>
          <w:noProof/>
          <w:sz w:val="24"/>
          <w:szCs w:val="24"/>
          <w:lang w:val="ka-GE"/>
        </w:rPr>
        <w:t>, შეუძლოდ</w:t>
      </w:r>
      <w:r w:rsidRPr="00711A1F">
        <w:rPr>
          <w:rFonts w:ascii="Sylfaen" w:hAnsi="Sylfaen"/>
          <w:noProof/>
          <w:sz w:val="24"/>
          <w:szCs w:val="24"/>
          <w:lang w:val="ka-GE"/>
        </w:rPr>
        <w:t xml:space="preserve"> ყოფნა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მუცლის ტკივილი ან შემცივნება / გრიპის მსგავსი სიმპტომები</w:t>
      </w:r>
    </w:p>
    <w:p w14:paraId="057B175F" w14:textId="77777777" w:rsidR="00311E57" w:rsidRPr="00711A1F" w:rsidRDefault="003D36D6" w:rsidP="004A25E9">
      <w:pPr>
        <w:spacing w:after="0" w:line="240" w:lineRule="auto"/>
        <w:rPr>
          <w:rFonts w:ascii="Sylfaen" w:hAnsi="Sylfaen"/>
          <w:b/>
          <w:bCs/>
          <w:noProof/>
          <w:sz w:val="24"/>
          <w:szCs w:val="24"/>
          <w:lang w:val="ka-GE"/>
        </w:rPr>
      </w:pPr>
      <w:r w:rsidRPr="00711A1F">
        <w:rPr>
          <w:rFonts w:ascii="Sylfaen" w:hAnsi="Sylfaen"/>
          <w:noProof/>
          <w:sz w:val="24"/>
          <w:szCs w:val="24"/>
          <w:lang w:val="ka-GE"/>
        </w:rPr>
        <w:t xml:space="preserve">ეს სიმპტომები წარმოადგენს სერიოზულ ალერგიულ რეაქციას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 დექსტროზაზე და შესაძლოა საჭირო გახდეს </w:t>
      </w:r>
      <w:r w:rsidRPr="00711A1F">
        <w:rPr>
          <w:rFonts w:ascii="Sylfaen" w:hAnsi="Sylfaen"/>
          <w:b/>
          <w:bCs/>
          <w:noProof/>
          <w:sz w:val="24"/>
          <w:szCs w:val="24"/>
          <w:lang w:val="ka-GE"/>
        </w:rPr>
        <w:t xml:space="preserve">სასწრაფო სამედიცინო დახმარება ან </w:t>
      </w:r>
    </w:p>
    <w:p w14:paraId="5E3C4285" w14:textId="77777777" w:rsidR="00E148BA"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ჰოსპიტალიზაცია</w:t>
      </w:r>
      <w:r w:rsidRPr="00711A1F">
        <w:rPr>
          <w:rFonts w:ascii="Sylfaen" w:hAnsi="Sylfaen"/>
          <w:noProof/>
          <w:sz w:val="24"/>
          <w:szCs w:val="24"/>
          <w:lang w:val="ka-GE"/>
        </w:rPr>
        <w:t>.</w:t>
      </w:r>
    </w:p>
    <w:p w14:paraId="0D3678E0"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აღსანიშნავია, რომ მსგავსი სერიოზული გვერდითი მოვლენები ძალიან იშვიათია.</w:t>
      </w:r>
    </w:p>
    <w:p w14:paraId="7DC7F3A0"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აცნობეთ ექიმს, თუ შეამჩნევთ შემდეგიდან რომელიმეს:</w:t>
      </w:r>
    </w:p>
    <w:p w14:paraId="7ADA418D"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ორგანიზმში სითხის რაოდენობის შემცირება (დეჰიდრატაცია);</w:t>
      </w:r>
    </w:p>
    <w:p w14:paraId="2211A4F4"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იონების (მაგალითად, კალიუმის, მაგნიუმის, ფოსფატის და სხვა ელექტროლიტების) დონის შემცირება;</w:t>
      </w:r>
    </w:p>
    <w:p w14:paraId="19F1D951"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შაქრის დონის მომატება (ჰიპერგლიკემია);</w:t>
      </w:r>
    </w:p>
    <w:p w14:paraId="6E2AC680"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მოცირკულირე სისხლის მოცულობის გაზრდა (ჰიპერვოლემია);</w:t>
      </w:r>
    </w:p>
    <w:p w14:paraId="7A0E00AD"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შარდის რაოდენობის მომატება;</w:t>
      </w:r>
    </w:p>
    <w:p w14:paraId="063CE782"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ინფუზიის ადგილის რეაქციები:</w:t>
      </w:r>
    </w:p>
    <w:p w14:paraId="698A270A"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ხსნარის გაჟონვა ვენის გარეთ იმ ადგილას, სადაც ჩატარდა პროცედურა;</w:t>
      </w:r>
    </w:p>
    <w:p w14:paraId="7408890A"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ტკივილი, სიწითლე ან შეშუპება ინფუზიის ადგილის გარშემო;</w:t>
      </w:r>
    </w:p>
    <w:p w14:paraId="067E3FBE"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ანთება ინფუზიის ადგილზე;</w:t>
      </w:r>
    </w:p>
    <w:p w14:paraId="34602049"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lastRenderedPageBreak/>
        <w:t>ვენების გაღიზიანება;</w:t>
      </w:r>
    </w:p>
    <w:p w14:paraId="66C35633"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ანთება, რომელიც ვრცელდება ვენის გასწვრივ ინფუზიის ადგილის დაწყებიდან (ფლებიტი);</w:t>
      </w:r>
    </w:p>
    <w:p w14:paraId="6ECEDFE1"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თრომბის წარმოქმნა ინფუზიის ადგილზე, რომელმაც შესაძლოა ვენა დაახშოს (თრომბოფლებიტი).</w:t>
      </w:r>
    </w:p>
    <w:p w14:paraId="116FB686"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ზემოთ ჩამოთვლილი მოვლენები შეიძლება იყოს სერიოზული და საჭიროებდეს სამედიცინო შეფასებას.</w:t>
      </w:r>
    </w:p>
    <w:p w14:paraId="05B9E8DB"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შენიშნავთ ნებისმიერ გვერდით მოვლენას, რომელიც არ არის მითითებული ამ ფურცელ-ჩანართში, აცნობეთ ამის შესახებ ექიმს ან ფარმაცევტს.</w:t>
      </w:r>
    </w:p>
    <w:p w14:paraId="4826D98C" w14:textId="77777777" w:rsidR="00311E57" w:rsidRPr="00711A1F" w:rsidRDefault="00311E57" w:rsidP="004A25E9">
      <w:pPr>
        <w:spacing w:after="0" w:line="240" w:lineRule="auto"/>
        <w:rPr>
          <w:rFonts w:ascii="Sylfaen" w:hAnsi="Sylfaen"/>
          <w:b/>
          <w:bCs/>
          <w:noProof/>
          <w:sz w:val="24"/>
          <w:szCs w:val="24"/>
          <w:lang w:val="ka-GE"/>
        </w:rPr>
      </w:pPr>
    </w:p>
    <w:p w14:paraId="1574AE59"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გვერდითი მოვლენების შესახებ შეტყობინება</w:t>
      </w:r>
    </w:p>
    <w:p w14:paraId="385141A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შენიშნავთ რაიმე გვერდით მოვლენას — მიუხედავად იმისა, მითითებულია თუ არა ის გამოყენების ინსტრუქციაში — მიმართეთ ექიმს, ფარმაცევტს ან ექთანს.</w:t>
      </w:r>
    </w:p>
    <w:p w14:paraId="205196A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ასევე, შეგიძლიათ გვერდითი მოვლენების შესახებ აცნობოთ თურქეთის ფარმაკოზედამხედველობის ცენტრს (TÜFAM) ვებგვერდზე </w:t>
      </w:r>
      <w:hyperlink r:id="rId5" w:tgtFrame="_new" w:history="1">
        <w:r w:rsidRPr="00711A1F">
          <w:rPr>
            <w:rStyle w:val="Hyperlink"/>
            <w:rFonts w:ascii="Sylfaen" w:hAnsi="Sylfaen"/>
            <w:noProof/>
            <w:sz w:val="24"/>
            <w:szCs w:val="24"/>
            <w:lang w:val="ka-GE"/>
          </w:rPr>
          <w:t>www.titck.gov.tr</w:t>
        </w:r>
      </w:hyperlink>
      <w:r w:rsidRPr="00711A1F">
        <w:rPr>
          <w:rFonts w:ascii="Sylfaen" w:hAnsi="Sylfaen"/>
          <w:noProof/>
          <w:sz w:val="24"/>
          <w:szCs w:val="24"/>
          <w:lang w:val="ka-GE"/>
        </w:rPr>
        <w:t xml:space="preserve">, „წამლის გვერდითი მოვლენების შესახებ შეტყობინების“ ბმულზე გადასვლით, ან დარეკოთ გვერდითი მოვლენების შესახებ შეტყობინების ცხელ ხაზზე: </w:t>
      </w:r>
      <w:r w:rsidRPr="00711A1F">
        <w:rPr>
          <w:rFonts w:ascii="Sylfaen" w:hAnsi="Sylfaen"/>
          <w:b/>
          <w:bCs/>
          <w:noProof/>
          <w:sz w:val="24"/>
          <w:szCs w:val="24"/>
          <w:lang w:val="ka-GE"/>
        </w:rPr>
        <w:t>0 800 314 00 08</w:t>
      </w:r>
      <w:r w:rsidRPr="00711A1F">
        <w:rPr>
          <w:rFonts w:ascii="Sylfaen" w:hAnsi="Sylfaen"/>
          <w:noProof/>
          <w:sz w:val="24"/>
          <w:szCs w:val="24"/>
          <w:lang w:val="ka-GE"/>
        </w:rPr>
        <w:t>.</w:t>
      </w:r>
    </w:p>
    <w:p w14:paraId="750CD0AA"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გვერდითი მოვლენების შესახებ შეტყობინებით თქვენ ხელს უწყობთ პრეპარატის უსაფრთხოების შესახებ დამატებითი ინფორმაციის შეგროვებას და პაციენტთა დაცვის გაუმჯობესებას.</w:t>
      </w:r>
    </w:p>
    <w:p w14:paraId="5E0CD4D9" w14:textId="77777777" w:rsidR="004A25E9" w:rsidRDefault="004A25E9" w:rsidP="004A25E9">
      <w:pPr>
        <w:spacing w:after="0" w:line="240" w:lineRule="auto"/>
        <w:rPr>
          <w:rFonts w:ascii="Sylfaen" w:hAnsi="Sylfaen"/>
          <w:noProof/>
          <w:sz w:val="24"/>
          <w:szCs w:val="24"/>
          <w:lang w:val="ka-GE"/>
        </w:rPr>
      </w:pPr>
    </w:p>
    <w:p w14:paraId="0538E3B3" w14:textId="77777777" w:rsidR="004C7875" w:rsidRDefault="004C7875" w:rsidP="004A25E9">
      <w:pPr>
        <w:spacing w:after="0" w:line="240" w:lineRule="auto"/>
        <w:rPr>
          <w:rFonts w:ascii="Sylfaen" w:hAnsi="Sylfaen"/>
          <w:noProof/>
          <w:sz w:val="24"/>
          <w:szCs w:val="24"/>
          <w:lang w:val="ka-GE"/>
        </w:rPr>
      </w:pPr>
    </w:p>
    <w:p w14:paraId="56015354" w14:textId="77777777" w:rsidR="004C7875" w:rsidRPr="004C7875" w:rsidRDefault="004C7875" w:rsidP="004C7875">
      <w:pPr>
        <w:spacing w:before="120" w:after="120" w:line="240" w:lineRule="auto"/>
        <w:jc w:val="both"/>
        <w:rPr>
          <w:rFonts w:ascii="Sylfaen" w:eastAsia="SimSun" w:hAnsi="Sylfaen"/>
          <w:b/>
          <w:lang w:val="ka-GE"/>
        </w:rPr>
      </w:pPr>
      <w:r w:rsidRPr="004C7875">
        <w:rPr>
          <w:rFonts w:ascii="Sylfaen" w:eastAsia="SimSun" w:hAnsi="Sylfaen"/>
          <w:b/>
          <w:lang w:val="ka-GE"/>
        </w:rPr>
        <w:t>გაცემის წესი:</w:t>
      </w:r>
    </w:p>
    <w:p w14:paraId="0BE6A179" w14:textId="77777777" w:rsidR="004C7875" w:rsidRPr="001829AC" w:rsidRDefault="004C7875" w:rsidP="004C7875">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4AAFD168" w14:textId="77777777" w:rsidR="004C7875" w:rsidRPr="00711A1F" w:rsidRDefault="004C7875" w:rsidP="004A25E9">
      <w:pPr>
        <w:spacing w:after="0" w:line="240" w:lineRule="auto"/>
        <w:rPr>
          <w:rFonts w:ascii="Sylfaen" w:hAnsi="Sylfaen"/>
          <w:noProof/>
          <w:sz w:val="24"/>
          <w:szCs w:val="24"/>
          <w:lang w:val="ka-GE"/>
        </w:rPr>
      </w:pPr>
    </w:p>
    <w:p w14:paraId="07AE07B7"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5. ტურკფლექსი  5%-იანი დექსტროზის ხსნარის შენახვა</w:t>
      </w:r>
    </w:p>
    <w:p w14:paraId="3A6AB7F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ტურკფლექსი  5%-იანი დექსტროზის ხსნარი შეინახეთ ბავშვებისთვის მიუწვდომელ ადგილას, ორიგინალ შეფუთვაში.</w:t>
      </w:r>
    </w:p>
    <w:p w14:paraId="2B21742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თითოეულ შეფუთვაზე მითითებულია ვარგისიანობის ვადა. ვადის გასვლის შემდეგ პრეპარატი არ გამოიყენოთ.</w:t>
      </w:r>
    </w:p>
    <w:p w14:paraId="3D72A137"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ხსნარი, თუ ის არ არის გამჭვირვალე.</w:t>
      </w:r>
    </w:p>
    <w:p w14:paraId="719F7DAA"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თუ შეინიშნება ნალექი ან უცხო ნაწილაკები.</w:t>
      </w:r>
    </w:p>
    <w:p w14:paraId="0EA4D5E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შეინახეთ 25°C-ზე დაბალ ოთახის ტემპერატურაზე, მზის პირდაპირი სხივებისგან დაცულ ადგილას.</w:t>
      </w:r>
    </w:p>
    <w:p w14:paraId="64AF9F9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დარჩენილი ხსნარი გადააგდეთ. გამოუყენებელი ნაწილი ხელმეორედ არ გამოიყენოთ.</w:t>
      </w:r>
    </w:p>
    <w:p w14:paraId="408B44EB"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ტურკფლექსი  5%-იანი დექსტროზის ხსნარი შეფუთვაზე მითითებული ვარგისიანობის ვადის გასვლის შემდეგ. გამოიყენეთ ვარგისიანობის ვადამდე.</w:t>
      </w:r>
    </w:p>
    <w:p w14:paraId="39DFC10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ვადაგასული ან გამოუყენებელი მედიკამენტები არ გადააგდოთ საყოფაცხოვრებო ნაგავში. გთხოვთ, გადააბაროთ ისინი გარემოს დაცვისა და ურბანიზაციის სამინისტროს მიერ განსაზღვრულ შეგროვების სისტემას.</w:t>
      </w:r>
    </w:p>
    <w:p w14:paraId="57FC8188" w14:textId="77777777" w:rsidR="00E148BA" w:rsidRPr="00711A1F" w:rsidRDefault="00E148BA" w:rsidP="004A25E9">
      <w:pPr>
        <w:spacing w:after="0" w:line="240" w:lineRule="auto"/>
        <w:rPr>
          <w:rFonts w:ascii="Sylfaen" w:hAnsi="Sylfaen"/>
          <w:noProof/>
          <w:sz w:val="24"/>
          <w:szCs w:val="24"/>
          <w:lang w:val="ka-GE"/>
        </w:rPr>
      </w:pPr>
    </w:p>
    <w:p w14:paraId="0D021866"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ლიცენზიის მფლობელი და მწარმოებელი:</w:t>
      </w:r>
    </w:p>
    <w:p w14:paraId="246EBA4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Turk İlaç ve Serum Sanayi A.Ş.</w:t>
      </w:r>
      <w:r w:rsidRPr="00711A1F">
        <w:rPr>
          <w:rFonts w:ascii="Sylfaen" w:hAnsi="Sylfaen"/>
          <w:noProof/>
          <w:sz w:val="24"/>
          <w:szCs w:val="24"/>
          <w:lang w:val="ka-GE"/>
        </w:rPr>
        <w:br/>
        <w:t>ბუღდუზის უბანი, ენვერ ფაშას ქუჩა №8,</w:t>
      </w:r>
      <w:r w:rsidRPr="00711A1F">
        <w:rPr>
          <w:rFonts w:ascii="Sylfaen" w:hAnsi="Sylfaen"/>
          <w:noProof/>
          <w:sz w:val="24"/>
          <w:szCs w:val="24"/>
          <w:lang w:val="ka-GE"/>
        </w:rPr>
        <w:br/>
        <w:t>06750 აქიურტი / ანკარა, თურქეთი</w:t>
      </w:r>
    </w:p>
    <w:p w14:paraId="46EDED1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ეს ინსტრუქცია დამტკიცებულია 2017 წლის 31 მაისს.</w:t>
      </w:r>
    </w:p>
    <w:p w14:paraId="30AE8D3D" w14:textId="77777777" w:rsidR="00E148BA" w:rsidRPr="00711A1F" w:rsidRDefault="00E148BA" w:rsidP="004A25E9">
      <w:pPr>
        <w:spacing w:after="0" w:line="240" w:lineRule="auto"/>
        <w:rPr>
          <w:rFonts w:ascii="Sylfaen" w:hAnsi="Sylfaen"/>
          <w:noProof/>
          <w:sz w:val="24"/>
          <w:szCs w:val="24"/>
          <w:lang w:val="ka-GE"/>
        </w:rPr>
      </w:pPr>
    </w:p>
    <w:p w14:paraId="336D21DF" w14:textId="77777777" w:rsidR="003D36D6" w:rsidRPr="00711A1F" w:rsidRDefault="003D36D6" w:rsidP="004A25E9">
      <w:pPr>
        <w:spacing w:after="0"/>
        <w:rPr>
          <w:noProof/>
          <w:sz w:val="24"/>
          <w:szCs w:val="24"/>
          <w:lang w:val="ka-GE"/>
        </w:rPr>
      </w:pPr>
    </w:p>
    <w:p w14:paraId="6CC92D5C" w14:textId="77777777" w:rsidR="002A6543" w:rsidRPr="00711A1F" w:rsidRDefault="002A6543" w:rsidP="004A25E9">
      <w:pPr>
        <w:spacing w:after="0"/>
        <w:rPr>
          <w:noProof/>
          <w:sz w:val="24"/>
          <w:szCs w:val="24"/>
          <w:lang w:val="ka-GE"/>
        </w:rPr>
      </w:pPr>
    </w:p>
    <w:p w14:paraId="7175BF59" w14:textId="77777777" w:rsidR="002A6543" w:rsidRPr="00711A1F" w:rsidRDefault="002A6543" w:rsidP="004A25E9">
      <w:pPr>
        <w:spacing w:after="0"/>
        <w:rPr>
          <w:noProof/>
          <w:sz w:val="24"/>
          <w:szCs w:val="24"/>
          <w:lang w:val="ka-GE"/>
        </w:rPr>
      </w:pPr>
    </w:p>
    <w:p w14:paraId="603496CB" w14:textId="77777777" w:rsidR="002A6543" w:rsidRPr="00711A1F" w:rsidRDefault="002A6543" w:rsidP="004A25E9">
      <w:pPr>
        <w:spacing w:after="0"/>
        <w:rPr>
          <w:noProof/>
          <w:sz w:val="24"/>
          <w:szCs w:val="24"/>
          <w:lang w:val="ka-GE"/>
        </w:rPr>
      </w:pPr>
    </w:p>
    <w:p w14:paraId="5D36F57E" w14:textId="77777777" w:rsidR="003D36D6" w:rsidRPr="00711A1F" w:rsidRDefault="003D36D6">
      <w:pPr>
        <w:rPr>
          <w:noProof/>
          <w:sz w:val="24"/>
          <w:szCs w:val="24"/>
          <w:lang w:val="ka-GE"/>
        </w:rPr>
      </w:pPr>
    </w:p>
    <w:sectPr w:rsidR="003D36D6" w:rsidRPr="00711A1F" w:rsidSect="004A25E9">
      <w:pgSz w:w="12240" w:h="15840"/>
      <w:pgMar w:top="360" w:right="990" w:bottom="27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3D1F"/>
    <w:multiLevelType w:val="multilevel"/>
    <w:tmpl w:val="29DE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14E52"/>
    <w:multiLevelType w:val="multilevel"/>
    <w:tmpl w:val="DCF2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67350"/>
    <w:multiLevelType w:val="multilevel"/>
    <w:tmpl w:val="17AC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44816"/>
    <w:multiLevelType w:val="multilevel"/>
    <w:tmpl w:val="67F2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771B7"/>
    <w:multiLevelType w:val="hybridMultilevel"/>
    <w:tmpl w:val="9EFA77B2"/>
    <w:lvl w:ilvl="0" w:tplc="C52473A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B5592B"/>
    <w:multiLevelType w:val="multilevel"/>
    <w:tmpl w:val="1140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CB56A0"/>
    <w:multiLevelType w:val="multilevel"/>
    <w:tmpl w:val="1CA8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5D4EA6"/>
    <w:multiLevelType w:val="hybridMultilevel"/>
    <w:tmpl w:val="D2AA6268"/>
    <w:lvl w:ilvl="0" w:tplc="C52473A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4773F8"/>
    <w:multiLevelType w:val="hybridMultilevel"/>
    <w:tmpl w:val="9302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932555"/>
    <w:multiLevelType w:val="hybridMultilevel"/>
    <w:tmpl w:val="E184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E47EDC"/>
    <w:multiLevelType w:val="hybridMultilevel"/>
    <w:tmpl w:val="41DAA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B5C2F"/>
    <w:multiLevelType w:val="multilevel"/>
    <w:tmpl w:val="95BC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229206">
    <w:abstractNumId w:val="5"/>
  </w:num>
  <w:num w:numId="2" w16cid:durableId="1403915726">
    <w:abstractNumId w:val="0"/>
  </w:num>
  <w:num w:numId="3" w16cid:durableId="2117479434">
    <w:abstractNumId w:val="2"/>
  </w:num>
  <w:num w:numId="4" w16cid:durableId="124856788">
    <w:abstractNumId w:val="6"/>
  </w:num>
  <w:num w:numId="5" w16cid:durableId="2033528559">
    <w:abstractNumId w:val="11"/>
  </w:num>
  <w:num w:numId="6" w16cid:durableId="1913730623">
    <w:abstractNumId w:val="3"/>
  </w:num>
  <w:num w:numId="7" w16cid:durableId="640504852">
    <w:abstractNumId w:val="10"/>
  </w:num>
  <w:num w:numId="8" w16cid:durableId="851257682">
    <w:abstractNumId w:val="7"/>
  </w:num>
  <w:num w:numId="9" w16cid:durableId="1058556577">
    <w:abstractNumId w:val="4"/>
  </w:num>
  <w:num w:numId="10" w16cid:durableId="2054620292">
    <w:abstractNumId w:val="9"/>
  </w:num>
  <w:num w:numId="11" w16cid:durableId="1172447877">
    <w:abstractNumId w:val="8"/>
  </w:num>
  <w:num w:numId="12" w16cid:durableId="118463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6D6"/>
    <w:rsid w:val="00150DFE"/>
    <w:rsid w:val="002A6543"/>
    <w:rsid w:val="00311E57"/>
    <w:rsid w:val="003D36D6"/>
    <w:rsid w:val="004A25E9"/>
    <w:rsid w:val="004C7875"/>
    <w:rsid w:val="006D488B"/>
    <w:rsid w:val="00711A1F"/>
    <w:rsid w:val="00C33064"/>
    <w:rsid w:val="00C63850"/>
    <w:rsid w:val="00E1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0B76"/>
  <w15:chartTrackingRefBased/>
  <w15:docId w15:val="{576EA32E-88E4-40D2-8E5F-B8F7B8EE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8BA"/>
    <w:rPr>
      <w:color w:val="0563C1" w:themeColor="hyperlink"/>
      <w:u w:val="single"/>
    </w:rPr>
  </w:style>
  <w:style w:type="paragraph" w:styleId="ListParagraph">
    <w:name w:val="List Paragraph"/>
    <w:basedOn w:val="Normal"/>
    <w:uiPriority w:val="34"/>
    <w:qFormat/>
    <w:rsid w:val="00E14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964292">
      <w:bodyDiv w:val="1"/>
      <w:marLeft w:val="0"/>
      <w:marRight w:val="0"/>
      <w:marTop w:val="0"/>
      <w:marBottom w:val="0"/>
      <w:divBdr>
        <w:top w:val="none" w:sz="0" w:space="0" w:color="auto"/>
        <w:left w:val="none" w:sz="0" w:space="0" w:color="auto"/>
        <w:bottom w:val="none" w:sz="0" w:space="0" w:color="auto"/>
        <w:right w:val="none" w:sz="0" w:space="0" w:color="auto"/>
      </w:divBdr>
      <w:divsChild>
        <w:div w:id="72430940">
          <w:marLeft w:val="0"/>
          <w:marRight w:val="0"/>
          <w:marTop w:val="0"/>
          <w:marBottom w:val="0"/>
          <w:divBdr>
            <w:top w:val="none" w:sz="0" w:space="0" w:color="auto"/>
            <w:left w:val="none" w:sz="0" w:space="0" w:color="auto"/>
            <w:bottom w:val="none" w:sz="0" w:space="0" w:color="auto"/>
            <w:right w:val="none" w:sz="0" w:space="0" w:color="auto"/>
          </w:divBdr>
          <w:divsChild>
            <w:div w:id="1750497222">
              <w:marLeft w:val="0"/>
              <w:marRight w:val="0"/>
              <w:marTop w:val="0"/>
              <w:marBottom w:val="0"/>
              <w:divBdr>
                <w:top w:val="none" w:sz="0" w:space="0" w:color="auto"/>
                <w:left w:val="none" w:sz="0" w:space="0" w:color="auto"/>
                <w:bottom w:val="none" w:sz="0" w:space="0" w:color="auto"/>
                <w:right w:val="none" w:sz="0" w:space="0" w:color="auto"/>
              </w:divBdr>
              <w:divsChild>
                <w:div w:id="382875224">
                  <w:marLeft w:val="0"/>
                  <w:marRight w:val="0"/>
                  <w:marTop w:val="0"/>
                  <w:marBottom w:val="0"/>
                  <w:divBdr>
                    <w:top w:val="none" w:sz="0" w:space="0" w:color="auto"/>
                    <w:left w:val="none" w:sz="0" w:space="0" w:color="auto"/>
                    <w:bottom w:val="none" w:sz="0" w:space="0" w:color="auto"/>
                    <w:right w:val="none" w:sz="0" w:space="0" w:color="auto"/>
                  </w:divBdr>
                  <w:divsChild>
                    <w:div w:id="1959952043">
                      <w:marLeft w:val="0"/>
                      <w:marRight w:val="0"/>
                      <w:marTop w:val="0"/>
                      <w:marBottom w:val="0"/>
                      <w:divBdr>
                        <w:top w:val="none" w:sz="0" w:space="0" w:color="auto"/>
                        <w:left w:val="none" w:sz="0" w:space="0" w:color="auto"/>
                        <w:bottom w:val="none" w:sz="0" w:space="0" w:color="auto"/>
                        <w:right w:val="none" w:sz="0" w:space="0" w:color="auto"/>
                      </w:divBdr>
                      <w:divsChild>
                        <w:div w:id="2106225255">
                          <w:marLeft w:val="0"/>
                          <w:marRight w:val="0"/>
                          <w:marTop w:val="0"/>
                          <w:marBottom w:val="0"/>
                          <w:divBdr>
                            <w:top w:val="none" w:sz="0" w:space="0" w:color="auto"/>
                            <w:left w:val="none" w:sz="0" w:space="0" w:color="auto"/>
                            <w:bottom w:val="none" w:sz="0" w:space="0" w:color="auto"/>
                            <w:right w:val="none" w:sz="0" w:space="0" w:color="auto"/>
                          </w:divBdr>
                          <w:divsChild>
                            <w:div w:id="1909001730">
                              <w:marLeft w:val="0"/>
                              <w:marRight w:val="0"/>
                              <w:marTop w:val="0"/>
                              <w:marBottom w:val="0"/>
                              <w:divBdr>
                                <w:top w:val="none" w:sz="0" w:space="0" w:color="auto"/>
                                <w:left w:val="none" w:sz="0" w:space="0" w:color="auto"/>
                                <w:bottom w:val="none" w:sz="0" w:space="0" w:color="auto"/>
                                <w:right w:val="none" w:sz="0" w:space="0" w:color="auto"/>
                              </w:divBdr>
                              <w:divsChild>
                                <w:div w:id="13970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143832">
      <w:bodyDiv w:val="1"/>
      <w:marLeft w:val="0"/>
      <w:marRight w:val="0"/>
      <w:marTop w:val="0"/>
      <w:marBottom w:val="0"/>
      <w:divBdr>
        <w:top w:val="none" w:sz="0" w:space="0" w:color="auto"/>
        <w:left w:val="none" w:sz="0" w:space="0" w:color="auto"/>
        <w:bottom w:val="none" w:sz="0" w:space="0" w:color="auto"/>
        <w:right w:val="none" w:sz="0" w:space="0" w:color="auto"/>
      </w:divBdr>
    </w:div>
    <w:div w:id="501165642">
      <w:bodyDiv w:val="1"/>
      <w:marLeft w:val="0"/>
      <w:marRight w:val="0"/>
      <w:marTop w:val="0"/>
      <w:marBottom w:val="0"/>
      <w:divBdr>
        <w:top w:val="none" w:sz="0" w:space="0" w:color="auto"/>
        <w:left w:val="none" w:sz="0" w:space="0" w:color="auto"/>
        <w:bottom w:val="none" w:sz="0" w:space="0" w:color="auto"/>
        <w:right w:val="none" w:sz="0" w:space="0" w:color="auto"/>
      </w:divBdr>
      <w:divsChild>
        <w:div w:id="491608401">
          <w:marLeft w:val="0"/>
          <w:marRight w:val="0"/>
          <w:marTop w:val="0"/>
          <w:marBottom w:val="0"/>
          <w:divBdr>
            <w:top w:val="none" w:sz="0" w:space="0" w:color="auto"/>
            <w:left w:val="none" w:sz="0" w:space="0" w:color="auto"/>
            <w:bottom w:val="none" w:sz="0" w:space="0" w:color="auto"/>
            <w:right w:val="none" w:sz="0" w:space="0" w:color="auto"/>
          </w:divBdr>
          <w:divsChild>
            <w:div w:id="532498308">
              <w:marLeft w:val="0"/>
              <w:marRight w:val="0"/>
              <w:marTop w:val="0"/>
              <w:marBottom w:val="0"/>
              <w:divBdr>
                <w:top w:val="none" w:sz="0" w:space="0" w:color="auto"/>
                <w:left w:val="none" w:sz="0" w:space="0" w:color="auto"/>
                <w:bottom w:val="none" w:sz="0" w:space="0" w:color="auto"/>
                <w:right w:val="none" w:sz="0" w:space="0" w:color="auto"/>
              </w:divBdr>
              <w:divsChild>
                <w:div w:id="679548880">
                  <w:marLeft w:val="0"/>
                  <w:marRight w:val="0"/>
                  <w:marTop w:val="0"/>
                  <w:marBottom w:val="0"/>
                  <w:divBdr>
                    <w:top w:val="none" w:sz="0" w:space="0" w:color="auto"/>
                    <w:left w:val="none" w:sz="0" w:space="0" w:color="auto"/>
                    <w:bottom w:val="none" w:sz="0" w:space="0" w:color="auto"/>
                    <w:right w:val="none" w:sz="0" w:space="0" w:color="auto"/>
                  </w:divBdr>
                  <w:divsChild>
                    <w:div w:id="478420211">
                      <w:marLeft w:val="0"/>
                      <w:marRight w:val="0"/>
                      <w:marTop w:val="0"/>
                      <w:marBottom w:val="0"/>
                      <w:divBdr>
                        <w:top w:val="none" w:sz="0" w:space="0" w:color="auto"/>
                        <w:left w:val="none" w:sz="0" w:space="0" w:color="auto"/>
                        <w:bottom w:val="none" w:sz="0" w:space="0" w:color="auto"/>
                        <w:right w:val="none" w:sz="0" w:space="0" w:color="auto"/>
                      </w:divBdr>
                      <w:divsChild>
                        <w:div w:id="1607080449">
                          <w:marLeft w:val="0"/>
                          <w:marRight w:val="0"/>
                          <w:marTop w:val="0"/>
                          <w:marBottom w:val="0"/>
                          <w:divBdr>
                            <w:top w:val="none" w:sz="0" w:space="0" w:color="auto"/>
                            <w:left w:val="none" w:sz="0" w:space="0" w:color="auto"/>
                            <w:bottom w:val="none" w:sz="0" w:space="0" w:color="auto"/>
                            <w:right w:val="none" w:sz="0" w:space="0" w:color="auto"/>
                          </w:divBdr>
                          <w:divsChild>
                            <w:div w:id="174732321">
                              <w:marLeft w:val="0"/>
                              <w:marRight w:val="0"/>
                              <w:marTop w:val="0"/>
                              <w:marBottom w:val="0"/>
                              <w:divBdr>
                                <w:top w:val="none" w:sz="0" w:space="0" w:color="auto"/>
                                <w:left w:val="none" w:sz="0" w:space="0" w:color="auto"/>
                                <w:bottom w:val="none" w:sz="0" w:space="0" w:color="auto"/>
                                <w:right w:val="none" w:sz="0" w:space="0" w:color="auto"/>
                              </w:divBdr>
                              <w:divsChild>
                                <w:div w:id="2731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220424">
      <w:bodyDiv w:val="1"/>
      <w:marLeft w:val="0"/>
      <w:marRight w:val="0"/>
      <w:marTop w:val="0"/>
      <w:marBottom w:val="0"/>
      <w:divBdr>
        <w:top w:val="none" w:sz="0" w:space="0" w:color="auto"/>
        <w:left w:val="none" w:sz="0" w:space="0" w:color="auto"/>
        <w:bottom w:val="none" w:sz="0" w:space="0" w:color="auto"/>
        <w:right w:val="none" w:sz="0" w:space="0" w:color="auto"/>
      </w:divBdr>
      <w:divsChild>
        <w:div w:id="1536457761">
          <w:marLeft w:val="0"/>
          <w:marRight w:val="0"/>
          <w:marTop w:val="0"/>
          <w:marBottom w:val="0"/>
          <w:divBdr>
            <w:top w:val="none" w:sz="0" w:space="0" w:color="auto"/>
            <w:left w:val="none" w:sz="0" w:space="0" w:color="auto"/>
            <w:bottom w:val="none" w:sz="0" w:space="0" w:color="auto"/>
            <w:right w:val="none" w:sz="0" w:space="0" w:color="auto"/>
          </w:divBdr>
          <w:divsChild>
            <w:div w:id="367418453">
              <w:marLeft w:val="0"/>
              <w:marRight w:val="0"/>
              <w:marTop w:val="0"/>
              <w:marBottom w:val="0"/>
              <w:divBdr>
                <w:top w:val="none" w:sz="0" w:space="0" w:color="auto"/>
                <w:left w:val="none" w:sz="0" w:space="0" w:color="auto"/>
                <w:bottom w:val="none" w:sz="0" w:space="0" w:color="auto"/>
                <w:right w:val="none" w:sz="0" w:space="0" w:color="auto"/>
              </w:divBdr>
              <w:divsChild>
                <w:div w:id="1888905788">
                  <w:marLeft w:val="0"/>
                  <w:marRight w:val="0"/>
                  <w:marTop w:val="0"/>
                  <w:marBottom w:val="0"/>
                  <w:divBdr>
                    <w:top w:val="none" w:sz="0" w:space="0" w:color="auto"/>
                    <w:left w:val="none" w:sz="0" w:space="0" w:color="auto"/>
                    <w:bottom w:val="none" w:sz="0" w:space="0" w:color="auto"/>
                    <w:right w:val="none" w:sz="0" w:space="0" w:color="auto"/>
                  </w:divBdr>
                  <w:divsChild>
                    <w:div w:id="1731268639">
                      <w:marLeft w:val="0"/>
                      <w:marRight w:val="0"/>
                      <w:marTop w:val="0"/>
                      <w:marBottom w:val="0"/>
                      <w:divBdr>
                        <w:top w:val="none" w:sz="0" w:space="0" w:color="auto"/>
                        <w:left w:val="none" w:sz="0" w:space="0" w:color="auto"/>
                        <w:bottom w:val="none" w:sz="0" w:space="0" w:color="auto"/>
                        <w:right w:val="none" w:sz="0" w:space="0" w:color="auto"/>
                      </w:divBdr>
                      <w:divsChild>
                        <w:div w:id="900864408">
                          <w:marLeft w:val="0"/>
                          <w:marRight w:val="0"/>
                          <w:marTop w:val="0"/>
                          <w:marBottom w:val="0"/>
                          <w:divBdr>
                            <w:top w:val="none" w:sz="0" w:space="0" w:color="auto"/>
                            <w:left w:val="none" w:sz="0" w:space="0" w:color="auto"/>
                            <w:bottom w:val="none" w:sz="0" w:space="0" w:color="auto"/>
                            <w:right w:val="none" w:sz="0" w:space="0" w:color="auto"/>
                          </w:divBdr>
                          <w:divsChild>
                            <w:div w:id="15219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620488">
      <w:bodyDiv w:val="1"/>
      <w:marLeft w:val="0"/>
      <w:marRight w:val="0"/>
      <w:marTop w:val="0"/>
      <w:marBottom w:val="0"/>
      <w:divBdr>
        <w:top w:val="none" w:sz="0" w:space="0" w:color="auto"/>
        <w:left w:val="none" w:sz="0" w:space="0" w:color="auto"/>
        <w:bottom w:val="none" w:sz="0" w:space="0" w:color="auto"/>
        <w:right w:val="none" w:sz="0" w:space="0" w:color="auto"/>
      </w:divBdr>
      <w:divsChild>
        <w:div w:id="1254784410">
          <w:marLeft w:val="0"/>
          <w:marRight w:val="0"/>
          <w:marTop w:val="0"/>
          <w:marBottom w:val="0"/>
          <w:divBdr>
            <w:top w:val="none" w:sz="0" w:space="0" w:color="auto"/>
            <w:left w:val="none" w:sz="0" w:space="0" w:color="auto"/>
            <w:bottom w:val="none" w:sz="0" w:space="0" w:color="auto"/>
            <w:right w:val="none" w:sz="0" w:space="0" w:color="auto"/>
          </w:divBdr>
          <w:divsChild>
            <w:div w:id="982195280">
              <w:marLeft w:val="0"/>
              <w:marRight w:val="0"/>
              <w:marTop w:val="0"/>
              <w:marBottom w:val="0"/>
              <w:divBdr>
                <w:top w:val="none" w:sz="0" w:space="0" w:color="auto"/>
                <w:left w:val="none" w:sz="0" w:space="0" w:color="auto"/>
                <w:bottom w:val="none" w:sz="0" w:space="0" w:color="auto"/>
                <w:right w:val="none" w:sz="0" w:space="0" w:color="auto"/>
              </w:divBdr>
              <w:divsChild>
                <w:div w:id="1422992932">
                  <w:marLeft w:val="0"/>
                  <w:marRight w:val="0"/>
                  <w:marTop w:val="0"/>
                  <w:marBottom w:val="0"/>
                  <w:divBdr>
                    <w:top w:val="none" w:sz="0" w:space="0" w:color="auto"/>
                    <w:left w:val="none" w:sz="0" w:space="0" w:color="auto"/>
                    <w:bottom w:val="none" w:sz="0" w:space="0" w:color="auto"/>
                    <w:right w:val="none" w:sz="0" w:space="0" w:color="auto"/>
                  </w:divBdr>
                  <w:divsChild>
                    <w:div w:id="1136023036">
                      <w:marLeft w:val="0"/>
                      <w:marRight w:val="0"/>
                      <w:marTop w:val="0"/>
                      <w:marBottom w:val="0"/>
                      <w:divBdr>
                        <w:top w:val="none" w:sz="0" w:space="0" w:color="auto"/>
                        <w:left w:val="none" w:sz="0" w:space="0" w:color="auto"/>
                        <w:bottom w:val="none" w:sz="0" w:space="0" w:color="auto"/>
                        <w:right w:val="none" w:sz="0" w:space="0" w:color="auto"/>
                      </w:divBdr>
                      <w:divsChild>
                        <w:div w:id="1212620964">
                          <w:marLeft w:val="0"/>
                          <w:marRight w:val="0"/>
                          <w:marTop w:val="0"/>
                          <w:marBottom w:val="0"/>
                          <w:divBdr>
                            <w:top w:val="none" w:sz="0" w:space="0" w:color="auto"/>
                            <w:left w:val="none" w:sz="0" w:space="0" w:color="auto"/>
                            <w:bottom w:val="none" w:sz="0" w:space="0" w:color="auto"/>
                            <w:right w:val="none" w:sz="0" w:space="0" w:color="auto"/>
                          </w:divBdr>
                          <w:divsChild>
                            <w:div w:id="1068457605">
                              <w:marLeft w:val="0"/>
                              <w:marRight w:val="0"/>
                              <w:marTop w:val="0"/>
                              <w:marBottom w:val="0"/>
                              <w:divBdr>
                                <w:top w:val="none" w:sz="0" w:space="0" w:color="auto"/>
                                <w:left w:val="none" w:sz="0" w:space="0" w:color="auto"/>
                                <w:bottom w:val="none" w:sz="0" w:space="0" w:color="auto"/>
                                <w:right w:val="none" w:sz="0" w:space="0" w:color="auto"/>
                              </w:divBdr>
                              <w:divsChild>
                                <w:div w:id="4056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209928">
      <w:bodyDiv w:val="1"/>
      <w:marLeft w:val="0"/>
      <w:marRight w:val="0"/>
      <w:marTop w:val="0"/>
      <w:marBottom w:val="0"/>
      <w:divBdr>
        <w:top w:val="none" w:sz="0" w:space="0" w:color="auto"/>
        <w:left w:val="none" w:sz="0" w:space="0" w:color="auto"/>
        <w:bottom w:val="none" w:sz="0" w:space="0" w:color="auto"/>
        <w:right w:val="none" w:sz="0" w:space="0" w:color="auto"/>
      </w:divBdr>
      <w:divsChild>
        <w:div w:id="818687677">
          <w:marLeft w:val="0"/>
          <w:marRight w:val="0"/>
          <w:marTop w:val="0"/>
          <w:marBottom w:val="0"/>
          <w:divBdr>
            <w:top w:val="none" w:sz="0" w:space="0" w:color="auto"/>
            <w:left w:val="none" w:sz="0" w:space="0" w:color="auto"/>
            <w:bottom w:val="none" w:sz="0" w:space="0" w:color="auto"/>
            <w:right w:val="none" w:sz="0" w:space="0" w:color="auto"/>
          </w:divBdr>
          <w:divsChild>
            <w:div w:id="784693304">
              <w:marLeft w:val="0"/>
              <w:marRight w:val="0"/>
              <w:marTop w:val="0"/>
              <w:marBottom w:val="0"/>
              <w:divBdr>
                <w:top w:val="none" w:sz="0" w:space="0" w:color="auto"/>
                <w:left w:val="none" w:sz="0" w:space="0" w:color="auto"/>
                <w:bottom w:val="none" w:sz="0" w:space="0" w:color="auto"/>
                <w:right w:val="none" w:sz="0" w:space="0" w:color="auto"/>
              </w:divBdr>
              <w:divsChild>
                <w:div w:id="295647807">
                  <w:marLeft w:val="0"/>
                  <w:marRight w:val="0"/>
                  <w:marTop w:val="0"/>
                  <w:marBottom w:val="0"/>
                  <w:divBdr>
                    <w:top w:val="none" w:sz="0" w:space="0" w:color="auto"/>
                    <w:left w:val="none" w:sz="0" w:space="0" w:color="auto"/>
                    <w:bottom w:val="none" w:sz="0" w:space="0" w:color="auto"/>
                    <w:right w:val="none" w:sz="0" w:space="0" w:color="auto"/>
                  </w:divBdr>
                  <w:divsChild>
                    <w:div w:id="339936814">
                      <w:marLeft w:val="0"/>
                      <w:marRight w:val="0"/>
                      <w:marTop w:val="0"/>
                      <w:marBottom w:val="0"/>
                      <w:divBdr>
                        <w:top w:val="none" w:sz="0" w:space="0" w:color="auto"/>
                        <w:left w:val="none" w:sz="0" w:space="0" w:color="auto"/>
                        <w:bottom w:val="none" w:sz="0" w:space="0" w:color="auto"/>
                        <w:right w:val="none" w:sz="0" w:space="0" w:color="auto"/>
                      </w:divBdr>
                      <w:divsChild>
                        <w:div w:id="1354528163">
                          <w:marLeft w:val="0"/>
                          <w:marRight w:val="0"/>
                          <w:marTop w:val="0"/>
                          <w:marBottom w:val="0"/>
                          <w:divBdr>
                            <w:top w:val="none" w:sz="0" w:space="0" w:color="auto"/>
                            <w:left w:val="none" w:sz="0" w:space="0" w:color="auto"/>
                            <w:bottom w:val="none" w:sz="0" w:space="0" w:color="auto"/>
                            <w:right w:val="none" w:sz="0" w:space="0" w:color="auto"/>
                          </w:divBdr>
                          <w:divsChild>
                            <w:div w:id="11277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253596">
      <w:bodyDiv w:val="1"/>
      <w:marLeft w:val="0"/>
      <w:marRight w:val="0"/>
      <w:marTop w:val="0"/>
      <w:marBottom w:val="0"/>
      <w:divBdr>
        <w:top w:val="none" w:sz="0" w:space="0" w:color="auto"/>
        <w:left w:val="none" w:sz="0" w:space="0" w:color="auto"/>
        <w:bottom w:val="none" w:sz="0" w:space="0" w:color="auto"/>
        <w:right w:val="none" w:sz="0" w:space="0" w:color="auto"/>
      </w:divBdr>
      <w:divsChild>
        <w:div w:id="2121100561">
          <w:marLeft w:val="0"/>
          <w:marRight w:val="0"/>
          <w:marTop w:val="0"/>
          <w:marBottom w:val="0"/>
          <w:divBdr>
            <w:top w:val="none" w:sz="0" w:space="0" w:color="auto"/>
            <w:left w:val="none" w:sz="0" w:space="0" w:color="auto"/>
            <w:bottom w:val="none" w:sz="0" w:space="0" w:color="auto"/>
            <w:right w:val="none" w:sz="0" w:space="0" w:color="auto"/>
          </w:divBdr>
          <w:divsChild>
            <w:div w:id="815296733">
              <w:marLeft w:val="0"/>
              <w:marRight w:val="0"/>
              <w:marTop w:val="0"/>
              <w:marBottom w:val="0"/>
              <w:divBdr>
                <w:top w:val="none" w:sz="0" w:space="0" w:color="auto"/>
                <w:left w:val="none" w:sz="0" w:space="0" w:color="auto"/>
                <w:bottom w:val="none" w:sz="0" w:space="0" w:color="auto"/>
                <w:right w:val="none" w:sz="0" w:space="0" w:color="auto"/>
              </w:divBdr>
              <w:divsChild>
                <w:div w:id="1101530984">
                  <w:marLeft w:val="0"/>
                  <w:marRight w:val="0"/>
                  <w:marTop w:val="0"/>
                  <w:marBottom w:val="0"/>
                  <w:divBdr>
                    <w:top w:val="none" w:sz="0" w:space="0" w:color="auto"/>
                    <w:left w:val="none" w:sz="0" w:space="0" w:color="auto"/>
                    <w:bottom w:val="none" w:sz="0" w:space="0" w:color="auto"/>
                    <w:right w:val="none" w:sz="0" w:space="0" w:color="auto"/>
                  </w:divBdr>
                  <w:divsChild>
                    <w:div w:id="873465791">
                      <w:marLeft w:val="0"/>
                      <w:marRight w:val="0"/>
                      <w:marTop w:val="0"/>
                      <w:marBottom w:val="0"/>
                      <w:divBdr>
                        <w:top w:val="none" w:sz="0" w:space="0" w:color="auto"/>
                        <w:left w:val="none" w:sz="0" w:space="0" w:color="auto"/>
                        <w:bottom w:val="none" w:sz="0" w:space="0" w:color="auto"/>
                        <w:right w:val="none" w:sz="0" w:space="0" w:color="auto"/>
                      </w:divBdr>
                      <w:divsChild>
                        <w:div w:id="1690527849">
                          <w:marLeft w:val="0"/>
                          <w:marRight w:val="0"/>
                          <w:marTop w:val="0"/>
                          <w:marBottom w:val="0"/>
                          <w:divBdr>
                            <w:top w:val="none" w:sz="0" w:space="0" w:color="auto"/>
                            <w:left w:val="none" w:sz="0" w:space="0" w:color="auto"/>
                            <w:bottom w:val="none" w:sz="0" w:space="0" w:color="auto"/>
                            <w:right w:val="none" w:sz="0" w:space="0" w:color="auto"/>
                          </w:divBdr>
                          <w:divsChild>
                            <w:div w:id="1860267128">
                              <w:marLeft w:val="0"/>
                              <w:marRight w:val="0"/>
                              <w:marTop w:val="0"/>
                              <w:marBottom w:val="0"/>
                              <w:divBdr>
                                <w:top w:val="none" w:sz="0" w:space="0" w:color="auto"/>
                                <w:left w:val="none" w:sz="0" w:space="0" w:color="auto"/>
                                <w:bottom w:val="none" w:sz="0" w:space="0" w:color="auto"/>
                                <w:right w:val="none" w:sz="0" w:space="0" w:color="auto"/>
                              </w:divBdr>
                              <w:divsChild>
                                <w:div w:id="185009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326281">
      <w:bodyDiv w:val="1"/>
      <w:marLeft w:val="0"/>
      <w:marRight w:val="0"/>
      <w:marTop w:val="0"/>
      <w:marBottom w:val="0"/>
      <w:divBdr>
        <w:top w:val="none" w:sz="0" w:space="0" w:color="auto"/>
        <w:left w:val="none" w:sz="0" w:space="0" w:color="auto"/>
        <w:bottom w:val="none" w:sz="0" w:space="0" w:color="auto"/>
        <w:right w:val="none" w:sz="0" w:space="0" w:color="auto"/>
      </w:divBdr>
      <w:divsChild>
        <w:div w:id="174224854">
          <w:marLeft w:val="0"/>
          <w:marRight w:val="0"/>
          <w:marTop w:val="0"/>
          <w:marBottom w:val="0"/>
          <w:divBdr>
            <w:top w:val="none" w:sz="0" w:space="0" w:color="auto"/>
            <w:left w:val="none" w:sz="0" w:space="0" w:color="auto"/>
            <w:bottom w:val="none" w:sz="0" w:space="0" w:color="auto"/>
            <w:right w:val="none" w:sz="0" w:space="0" w:color="auto"/>
          </w:divBdr>
          <w:divsChild>
            <w:div w:id="1209101647">
              <w:marLeft w:val="0"/>
              <w:marRight w:val="0"/>
              <w:marTop w:val="0"/>
              <w:marBottom w:val="0"/>
              <w:divBdr>
                <w:top w:val="none" w:sz="0" w:space="0" w:color="auto"/>
                <w:left w:val="none" w:sz="0" w:space="0" w:color="auto"/>
                <w:bottom w:val="none" w:sz="0" w:space="0" w:color="auto"/>
                <w:right w:val="none" w:sz="0" w:space="0" w:color="auto"/>
              </w:divBdr>
              <w:divsChild>
                <w:div w:id="4866378">
                  <w:marLeft w:val="0"/>
                  <w:marRight w:val="0"/>
                  <w:marTop w:val="0"/>
                  <w:marBottom w:val="0"/>
                  <w:divBdr>
                    <w:top w:val="none" w:sz="0" w:space="0" w:color="auto"/>
                    <w:left w:val="none" w:sz="0" w:space="0" w:color="auto"/>
                    <w:bottom w:val="none" w:sz="0" w:space="0" w:color="auto"/>
                    <w:right w:val="none" w:sz="0" w:space="0" w:color="auto"/>
                  </w:divBdr>
                  <w:divsChild>
                    <w:div w:id="1385182205">
                      <w:marLeft w:val="0"/>
                      <w:marRight w:val="0"/>
                      <w:marTop w:val="0"/>
                      <w:marBottom w:val="0"/>
                      <w:divBdr>
                        <w:top w:val="none" w:sz="0" w:space="0" w:color="auto"/>
                        <w:left w:val="none" w:sz="0" w:space="0" w:color="auto"/>
                        <w:bottom w:val="none" w:sz="0" w:space="0" w:color="auto"/>
                        <w:right w:val="none" w:sz="0" w:space="0" w:color="auto"/>
                      </w:divBdr>
                      <w:divsChild>
                        <w:div w:id="894898042">
                          <w:marLeft w:val="0"/>
                          <w:marRight w:val="0"/>
                          <w:marTop w:val="0"/>
                          <w:marBottom w:val="0"/>
                          <w:divBdr>
                            <w:top w:val="none" w:sz="0" w:space="0" w:color="auto"/>
                            <w:left w:val="none" w:sz="0" w:space="0" w:color="auto"/>
                            <w:bottom w:val="none" w:sz="0" w:space="0" w:color="auto"/>
                            <w:right w:val="none" w:sz="0" w:space="0" w:color="auto"/>
                          </w:divBdr>
                          <w:divsChild>
                            <w:div w:id="5374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741745">
      <w:bodyDiv w:val="1"/>
      <w:marLeft w:val="0"/>
      <w:marRight w:val="0"/>
      <w:marTop w:val="0"/>
      <w:marBottom w:val="0"/>
      <w:divBdr>
        <w:top w:val="none" w:sz="0" w:space="0" w:color="auto"/>
        <w:left w:val="none" w:sz="0" w:space="0" w:color="auto"/>
        <w:bottom w:val="none" w:sz="0" w:space="0" w:color="auto"/>
        <w:right w:val="none" w:sz="0" w:space="0" w:color="auto"/>
      </w:divBdr>
    </w:div>
    <w:div w:id="1510947688">
      <w:bodyDiv w:val="1"/>
      <w:marLeft w:val="0"/>
      <w:marRight w:val="0"/>
      <w:marTop w:val="0"/>
      <w:marBottom w:val="0"/>
      <w:divBdr>
        <w:top w:val="none" w:sz="0" w:space="0" w:color="auto"/>
        <w:left w:val="none" w:sz="0" w:space="0" w:color="auto"/>
        <w:bottom w:val="none" w:sz="0" w:space="0" w:color="auto"/>
        <w:right w:val="none" w:sz="0" w:space="0" w:color="auto"/>
      </w:divBdr>
      <w:divsChild>
        <w:div w:id="2057194427">
          <w:marLeft w:val="0"/>
          <w:marRight w:val="0"/>
          <w:marTop w:val="0"/>
          <w:marBottom w:val="0"/>
          <w:divBdr>
            <w:top w:val="none" w:sz="0" w:space="0" w:color="auto"/>
            <w:left w:val="none" w:sz="0" w:space="0" w:color="auto"/>
            <w:bottom w:val="none" w:sz="0" w:space="0" w:color="auto"/>
            <w:right w:val="none" w:sz="0" w:space="0" w:color="auto"/>
          </w:divBdr>
          <w:divsChild>
            <w:div w:id="1012076415">
              <w:marLeft w:val="0"/>
              <w:marRight w:val="0"/>
              <w:marTop w:val="0"/>
              <w:marBottom w:val="0"/>
              <w:divBdr>
                <w:top w:val="none" w:sz="0" w:space="0" w:color="auto"/>
                <w:left w:val="none" w:sz="0" w:space="0" w:color="auto"/>
                <w:bottom w:val="none" w:sz="0" w:space="0" w:color="auto"/>
                <w:right w:val="none" w:sz="0" w:space="0" w:color="auto"/>
              </w:divBdr>
              <w:divsChild>
                <w:div w:id="1391995164">
                  <w:marLeft w:val="0"/>
                  <w:marRight w:val="0"/>
                  <w:marTop w:val="0"/>
                  <w:marBottom w:val="0"/>
                  <w:divBdr>
                    <w:top w:val="none" w:sz="0" w:space="0" w:color="auto"/>
                    <w:left w:val="none" w:sz="0" w:space="0" w:color="auto"/>
                    <w:bottom w:val="none" w:sz="0" w:space="0" w:color="auto"/>
                    <w:right w:val="none" w:sz="0" w:space="0" w:color="auto"/>
                  </w:divBdr>
                  <w:divsChild>
                    <w:div w:id="807472788">
                      <w:marLeft w:val="0"/>
                      <w:marRight w:val="0"/>
                      <w:marTop w:val="0"/>
                      <w:marBottom w:val="0"/>
                      <w:divBdr>
                        <w:top w:val="none" w:sz="0" w:space="0" w:color="auto"/>
                        <w:left w:val="none" w:sz="0" w:space="0" w:color="auto"/>
                        <w:bottom w:val="none" w:sz="0" w:space="0" w:color="auto"/>
                        <w:right w:val="none" w:sz="0" w:space="0" w:color="auto"/>
                      </w:divBdr>
                      <w:divsChild>
                        <w:div w:id="1266304927">
                          <w:marLeft w:val="0"/>
                          <w:marRight w:val="0"/>
                          <w:marTop w:val="0"/>
                          <w:marBottom w:val="0"/>
                          <w:divBdr>
                            <w:top w:val="none" w:sz="0" w:space="0" w:color="auto"/>
                            <w:left w:val="none" w:sz="0" w:space="0" w:color="auto"/>
                            <w:bottom w:val="none" w:sz="0" w:space="0" w:color="auto"/>
                            <w:right w:val="none" w:sz="0" w:space="0" w:color="auto"/>
                          </w:divBdr>
                          <w:divsChild>
                            <w:div w:id="141238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87111">
      <w:bodyDiv w:val="1"/>
      <w:marLeft w:val="0"/>
      <w:marRight w:val="0"/>
      <w:marTop w:val="0"/>
      <w:marBottom w:val="0"/>
      <w:divBdr>
        <w:top w:val="none" w:sz="0" w:space="0" w:color="auto"/>
        <w:left w:val="none" w:sz="0" w:space="0" w:color="auto"/>
        <w:bottom w:val="none" w:sz="0" w:space="0" w:color="auto"/>
        <w:right w:val="none" w:sz="0" w:space="0" w:color="auto"/>
      </w:divBdr>
      <w:divsChild>
        <w:div w:id="921181492">
          <w:marLeft w:val="0"/>
          <w:marRight w:val="0"/>
          <w:marTop w:val="0"/>
          <w:marBottom w:val="0"/>
          <w:divBdr>
            <w:top w:val="none" w:sz="0" w:space="0" w:color="auto"/>
            <w:left w:val="none" w:sz="0" w:space="0" w:color="auto"/>
            <w:bottom w:val="none" w:sz="0" w:space="0" w:color="auto"/>
            <w:right w:val="none" w:sz="0" w:space="0" w:color="auto"/>
          </w:divBdr>
          <w:divsChild>
            <w:div w:id="1241018487">
              <w:marLeft w:val="0"/>
              <w:marRight w:val="0"/>
              <w:marTop w:val="0"/>
              <w:marBottom w:val="0"/>
              <w:divBdr>
                <w:top w:val="none" w:sz="0" w:space="0" w:color="auto"/>
                <w:left w:val="none" w:sz="0" w:space="0" w:color="auto"/>
                <w:bottom w:val="none" w:sz="0" w:space="0" w:color="auto"/>
                <w:right w:val="none" w:sz="0" w:space="0" w:color="auto"/>
              </w:divBdr>
              <w:divsChild>
                <w:div w:id="1671367986">
                  <w:marLeft w:val="0"/>
                  <w:marRight w:val="0"/>
                  <w:marTop w:val="0"/>
                  <w:marBottom w:val="0"/>
                  <w:divBdr>
                    <w:top w:val="none" w:sz="0" w:space="0" w:color="auto"/>
                    <w:left w:val="none" w:sz="0" w:space="0" w:color="auto"/>
                    <w:bottom w:val="none" w:sz="0" w:space="0" w:color="auto"/>
                    <w:right w:val="none" w:sz="0" w:space="0" w:color="auto"/>
                  </w:divBdr>
                  <w:divsChild>
                    <w:div w:id="134688957">
                      <w:marLeft w:val="0"/>
                      <w:marRight w:val="0"/>
                      <w:marTop w:val="0"/>
                      <w:marBottom w:val="0"/>
                      <w:divBdr>
                        <w:top w:val="none" w:sz="0" w:space="0" w:color="auto"/>
                        <w:left w:val="none" w:sz="0" w:space="0" w:color="auto"/>
                        <w:bottom w:val="none" w:sz="0" w:space="0" w:color="auto"/>
                        <w:right w:val="none" w:sz="0" w:space="0" w:color="auto"/>
                      </w:divBdr>
                      <w:divsChild>
                        <w:div w:id="740564794">
                          <w:marLeft w:val="0"/>
                          <w:marRight w:val="0"/>
                          <w:marTop w:val="0"/>
                          <w:marBottom w:val="0"/>
                          <w:divBdr>
                            <w:top w:val="none" w:sz="0" w:space="0" w:color="auto"/>
                            <w:left w:val="none" w:sz="0" w:space="0" w:color="auto"/>
                            <w:bottom w:val="none" w:sz="0" w:space="0" w:color="auto"/>
                            <w:right w:val="none" w:sz="0" w:space="0" w:color="auto"/>
                          </w:divBdr>
                          <w:divsChild>
                            <w:div w:id="1184436096">
                              <w:marLeft w:val="0"/>
                              <w:marRight w:val="0"/>
                              <w:marTop w:val="0"/>
                              <w:marBottom w:val="0"/>
                              <w:divBdr>
                                <w:top w:val="none" w:sz="0" w:space="0" w:color="auto"/>
                                <w:left w:val="none" w:sz="0" w:space="0" w:color="auto"/>
                                <w:bottom w:val="none" w:sz="0" w:space="0" w:color="auto"/>
                                <w:right w:val="none" w:sz="0" w:space="0" w:color="auto"/>
                              </w:divBdr>
                              <w:divsChild>
                                <w:div w:id="150346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87894">
      <w:bodyDiv w:val="1"/>
      <w:marLeft w:val="0"/>
      <w:marRight w:val="0"/>
      <w:marTop w:val="0"/>
      <w:marBottom w:val="0"/>
      <w:divBdr>
        <w:top w:val="none" w:sz="0" w:space="0" w:color="auto"/>
        <w:left w:val="none" w:sz="0" w:space="0" w:color="auto"/>
        <w:bottom w:val="none" w:sz="0" w:space="0" w:color="auto"/>
        <w:right w:val="none" w:sz="0" w:space="0" w:color="auto"/>
      </w:divBdr>
      <w:divsChild>
        <w:div w:id="1715082305">
          <w:marLeft w:val="0"/>
          <w:marRight w:val="0"/>
          <w:marTop w:val="0"/>
          <w:marBottom w:val="0"/>
          <w:divBdr>
            <w:top w:val="none" w:sz="0" w:space="0" w:color="auto"/>
            <w:left w:val="none" w:sz="0" w:space="0" w:color="auto"/>
            <w:bottom w:val="none" w:sz="0" w:space="0" w:color="auto"/>
            <w:right w:val="none" w:sz="0" w:space="0" w:color="auto"/>
          </w:divBdr>
          <w:divsChild>
            <w:div w:id="746345607">
              <w:marLeft w:val="0"/>
              <w:marRight w:val="0"/>
              <w:marTop w:val="0"/>
              <w:marBottom w:val="0"/>
              <w:divBdr>
                <w:top w:val="none" w:sz="0" w:space="0" w:color="auto"/>
                <w:left w:val="none" w:sz="0" w:space="0" w:color="auto"/>
                <w:bottom w:val="none" w:sz="0" w:space="0" w:color="auto"/>
                <w:right w:val="none" w:sz="0" w:space="0" w:color="auto"/>
              </w:divBdr>
              <w:divsChild>
                <w:div w:id="560292802">
                  <w:marLeft w:val="0"/>
                  <w:marRight w:val="0"/>
                  <w:marTop w:val="0"/>
                  <w:marBottom w:val="0"/>
                  <w:divBdr>
                    <w:top w:val="none" w:sz="0" w:space="0" w:color="auto"/>
                    <w:left w:val="none" w:sz="0" w:space="0" w:color="auto"/>
                    <w:bottom w:val="none" w:sz="0" w:space="0" w:color="auto"/>
                    <w:right w:val="none" w:sz="0" w:space="0" w:color="auto"/>
                  </w:divBdr>
                  <w:divsChild>
                    <w:div w:id="781536095">
                      <w:marLeft w:val="0"/>
                      <w:marRight w:val="0"/>
                      <w:marTop w:val="0"/>
                      <w:marBottom w:val="0"/>
                      <w:divBdr>
                        <w:top w:val="none" w:sz="0" w:space="0" w:color="auto"/>
                        <w:left w:val="none" w:sz="0" w:space="0" w:color="auto"/>
                        <w:bottom w:val="none" w:sz="0" w:space="0" w:color="auto"/>
                        <w:right w:val="none" w:sz="0" w:space="0" w:color="auto"/>
                      </w:divBdr>
                      <w:divsChild>
                        <w:div w:id="1079982752">
                          <w:marLeft w:val="0"/>
                          <w:marRight w:val="0"/>
                          <w:marTop w:val="0"/>
                          <w:marBottom w:val="0"/>
                          <w:divBdr>
                            <w:top w:val="none" w:sz="0" w:space="0" w:color="auto"/>
                            <w:left w:val="none" w:sz="0" w:space="0" w:color="auto"/>
                            <w:bottom w:val="none" w:sz="0" w:space="0" w:color="auto"/>
                            <w:right w:val="none" w:sz="0" w:space="0" w:color="auto"/>
                          </w:divBdr>
                          <w:divsChild>
                            <w:div w:id="125724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6</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7</cp:revision>
  <cp:lastPrinted>2026-03-02T08:05:00Z</cp:lastPrinted>
  <dcterms:created xsi:type="dcterms:W3CDTF">2026-03-01T10:54:00Z</dcterms:created>
  <dcterms:modified xsi:type="dcterms:W3CDTF">2026-04-20T10:06:00Z</dcterms:modified>
</cp:coreProperties>
</file>