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CFBBA" w14:textId="77777777" w:rsidR="004F76F4" w:rsidRPr="004F76F4" w:rsidRDefault="004F76F4" w:rsidP="004F76F4">
      <w:pPr>
        <w:jc w:val="center"/>
        <w:rPr>
          <w:rFonts w:ascii="Sylfaen" w:hAnsi="Sylfaen" w:cs="Arial"/>
          <w:b/>
          <w:noProof/>
          <w:sz w:val="24"/>
          <w:szCs w:val="24"/>
          <w:lang w:val="ka-GE" w:eastAsia="en-US"/>
        </w:rPr>
      </w:pPr>
      <w:r w:rsidRPr="004F76F4">
        <w:rPr>
          <w:rFonts w:ascii="Sylfaen" w:hAnsi="Sylfaen" w:cs="Arial"/>
          <w:b/>
          <w:noProof/>
          <w:sz w:val="24"/>
          <w:szCs w:val="24"/>
          <w:lang w:val="ka-GE" w:eastAsia="en-US"/>
        </w:rPr>
        <w:t>სამედიცინო პრეპარატის შემაჯამებელი რეზიუმე</w:t>
      </w:r>
    </w:p>
    <w:p w14:paraId="6611F37F" w14:textId="77777777" w:rsidR="004F76F4" w:rsidRPr="004F76F4" w:rsidRDefault="004F76F4" w:rsidP="004F76F4">
      <w:pPr>
        <w:tabs>
          <w:tab w:val="left" w:pos="567"/>
          <w:tab w:val="left" w:pos="2520"/>
          <w:tab w:val="left" w:pos="3960"/>
          <w:tab w:val="left" w:pos="4920"/>
          <w:tab w:val="left" w:pos="7200"/>
        </w:tabs>
        <w:jc w:val="both"/>
        <w:rPr>
          <w:rFonts w:ascii="Arial" w:hAnsi="Arial" w:cs="Arial"/>
          <w:b/>
          <w:i/>
          <w:noProof/>
          <w:sz w:val="24"/>
          <w:szCs w:val="24"/>
          <w:lang w:val="ka-GE"/>
        </w:rPr>
      </w:pPr>
    </w:p>
    <w:p w14:paraId="59B742AD" w14:textId="77777777" w:rsidR="004F76F4" w:rsidRPr="004F76F4" w:rsidRDefault="004F76F4" w:rsidP="004F76F4">
      <w:pPr>
        <w:tabs>
          <w:tab w:val="left" w:pos="567"/>
          <w:tab w:val="left" w:pos="2520"/>
          <w:tab w:val="left" w:pos="3960"/>
          <w:tab w:val="left" w:pos="4920"/>
          <w:tab w:val="left" w:pos="7200"/>
        </w:tabs>
        <w:jc w:val="both"/>
        <w:rPr>
          <w:rFonts w:ascii="Arial" w:hAnsi="Arial" w:cs="Arial"/>
          <w:b/>
          <w:noProof/>
          <w:sz w:val="24"/>
          <w:szCs w:val="24"/>
          <w:lang w:val="ka-GE"/>
        </w:rPr>
      </w:pPr>
    </w:p>
    <w:p w14:paraId="6685C422" w14:textId="77777777" w:rsidR="004F76F4" w:rsidRPr="004F76F4" w:rsidRDefault="004F76F4" w:rsidP="004F76F4">
      <w:pPr>
        <w:pStyle w:val="ListParagraph"/>
        <w:numPr>
          <w:ilvl w:val="0"/>
          <w:numId w:val="2"/>
        </w:numPr>
        <w:ind w:left="0" w:firstLine="0"/>
        <w:contextualSpacing w:val="0"/>
        <w:jc w:val="both"/>
        <w:rPr>
          <w:rFonts w:ascii="Arial" w:hAnsi="Arial" w:cs="Arial"/>
          <w:b/>
          <w:noProof/>
          <w:sz w:val="24"/>
          <w:szCs w:val="24"/>
          <w:lang w:val="ka-GE"/>
        </w:rPr>
      </w:pPr>
      <w:r w:rsidRPr="004F76F4">
        <w:rPr>
          <w:rFonts w:ascii="Sylfaen" w:hAnsi="Sylfaen" w:cs="Arial"/>
          <w:b/>
          <w:noProof/>
          <w:sz w:val="24"/>
          <w:szCs w:val="24"/>
          <w:lang w:val="ka-GE"/>
        </w:rPr>
        <w:t>სამკურნალო პრეპარატის დასახელება</w:t>
      </w:r>
    </w:p>
    <w:p w14:paraId="34C22BA9"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1811CE09"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r w:rsidRPr="004F76F4">
        <w:rPr>
          <w:rFonts w:ascii="Arial" w:hAnsi="Arial" w:cs="Arial"/>
          <w:noProof/>
          <w:sz w:val="24"/>
          <w:szCs w:val="24"/>
          <w:lang w:val="ka-GE"/>
        </w:rPr>
        <w:t>&lt;</w:t>
      </w:r>
      <w:r w:rsidRPr="004F76F4">
        <w:rPr>
          <w:rFonts w:ascii="Sylfaen" w:hAnsi="Sylfaen" w:cs="Arial"/>
          <w:noProof/>
          <w:sz w:val="24"/>
          <w:szCs w:val="24"/>
          <w:lang w:val="ka-GE"/>
        </w:rPr>
        <w:t>ნეირომულტივიტი</w:t>
      </w:r>
      <w:r w:rsidRPr="004F76F4">
        <w:rPr>
          <w:rFonts w:ascii="Arial" w:hAnsi="Arial" w:cs="Arial"/>
          <w:noProof/>
          <w:sz w:val="24"/>
          <w:szCs w:val="24"/>
          <w:lang w:val="ka-GE"/>
        </w:rPr>
        <w:t xml:space="preserve">&gt; </w:t>
      </w:r>
      <w:r w:rsidRPr="004F76F4">
        <w:rPr>
          <w:rFonts w:ascii="Sylfaen" w:hAnsi="Sylfaen" w:cs="Arial"/>
          <w:noProof/>
          <w:sz w:val="24"/>
          <w:szCs w:val="24"/>
          <w:lang w:val="ka-GE"/>
        </w:rPr>
        <w:t>აპკით შემოგარსული ტაბლეტები</w:t>
      </w:r>
    </w:p>
    <w:p w14:paraId="7E19E85D"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p>
    <w:p w14:paraId="42F4215C" w14:textId="77777777" w:rsidR="004F76F4" w:rsidRPr="004F76F4" w:rsidRDefault="004F76F4" w:rsidP="004F76F4">
      <w:pPr>
        <w:pStyle w:val="ListParagraph"/>
        <w:numPr>
          <w:ilvl w:val="0"/>
          <w:numId w:val="2"/>
        </w:numPr>
        <w:ind w:left="0" w:firstLine="0"/>
        <w:contextualSpacing w:val="0"/>
        <w:jc w:val="both"/>
        <w:rPr>
          <w:rFonts w:ascii="Arial" w:hAnsi="Arial" w:cs="Arial"/>
          <w:b/>
          <w:noProof/>
          <w:sz w:val="24"/>
          <w:szCs w:val="24"/>
          <w:lang w:val="ka-GE"/>
        </w:rPr>
      </w:pPr>
      <w:r w:rsidRPr="004F76F4">
        <w:rPr>
          <w:rFonts w:ascii="Sylfaen" w:hAnsi="Sylfaen" w:cs="Arial"/>
          <w:b/>
          <w:noProof/>
          <w:sz w:val="24"/>
          <w:szCs w:val="24"/>
          <w:lang w:val="ka-GE"/>
        </w:rPr>
        <w:t>ხარისხობრივი და რაოდენობრივი შემადგენლობა</w:t>
      </w:r>
    </w:p>
    <w:p w14:paraId="2AB09DB7" w14:textId="77777777" w:rsidR="004F76F4" w:rsidRPr="004F76F4" w:rsidRDefault="004F76F4" w:rsidP="004F76F4">
      <w:pPr>
        <w:jc w:val="both"/>
        <w:rPr>
          <w:rFonts w:ascii="Sylfaen" w:hAnsi="Sylfaen" w:cs="Arial"/>
          <w:b/>
          <w:noProof/>
          <w:sz w:val="24"/>
          <w:szCs w:val="24"/>
          <w:lang w:val="ka-GE"/>
        </w:rPr>
      </w:pPr>
    </w:p>
    <w:p w14:paraId="549F4068"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1 აპკით შემოგარსული ტაბლეტი შეიცავს:</w:t>
      </w:r>
    </w:p>
    <w:p w14:paraId="7C76C832"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100 მგ თიამინ ჰიდროქლორიდი (ვიტამინი </w:t>
      </w:r>
      <w:r w:rsidRPr="004F76F4">
        <w:rPr>
          <w:rFonts w:ascii="Arial" w:hAnsi="Arial" w:cs="Arial"/>
          <w:noProof/>
          <w:sz w:val="24"/>
          <w:szCs w:val="24"/>
          <w:lang w:val="ka-GE"/>
        </w:rPr>
        <w:t>B</w:t>
      </w:r>
      <w:r w:rsidRPr="004F76F4">
        <w:rPr>
          <w:rFonts w:ascii="Arial" w:hAnsi="Arial" w:cs="Arial"/>
          <w:noProof/>
          <w:sz w:val="24"/>
          <w:szCs w:val="24"/>
          <w:vertAlign w:val="subscript"/>
          <w:lang w:val="ka-GE"/>
        </w:rPr>
        <w:t>1</w:t>
      </w:r>
      <w:r w:rsidRPr="004F76F4">
        <w:rPr>
          <w:rFonts w:ascii="Sylfaen" w:hAnsi="Sylfaen" w:cs="Arial"/>
          <w:noProof/>
          <w:sz w:val="24"/>
          <w:szCs w:val="24"/>
          <w:lang w:val="ka-GE"/>
        </w:rPr>
        <w:t>)</w:t>
      </w:r>
    </w:p>
    <w:p w14:paraId="73EB0E03"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200 მგ პირიდოქსინ ჰიდროქლორიდი (ვიტამინი </w:t>
      </w:r>
      <w:r w:rsidRPr="004F76F4">
        <w:rPr>
          <w:rFonts w:ascii="Arial" w:hAnsi="Arial" w:cs="Arial"/>
          <w:noProof/>
          <w:sz w:val="24"/>
          <w:szCs w:val="24"/>
          <w:lang w:val="ka-GE"/>
        </w:rPr>
        <w:t>B</w:t>
      </w:r>
      <w:r w:rsidRPr="004F76F4">
        <w:rPr>
          <w:rFonts w:ascii="Arial" w:hAnsi="Arial" w:cs="Arial"/>
          <w:noProof/>
          <w:sz w:val="24"/>
          <w:szCs w:val="24"/>
          <w:vertAlign w:val="subscript"/>
          <w:lang w:val="ka-GE"/>
        </w:rPr>
        <w:t>6</w:t>
      </w:r>
      <w:r w:rsidRPr="004F76F4">
        <w:rPr>
          <w:rFonts w:ascii="Sylfaen" w:hAnsi="Sylfaen" w:cs="Arial"/>
          <w:noProof/>
          <w:sz w:val="24"/>
          <w:szCs w:val="24"/>
          <w:lang w:val="ka-GE"/>
        </w:rPr>
        <w:t>)</w:t>
      </w:r>
    </w:p>
    <w:p w14:paraId="1B858001" w14:textId="77777777" w:rsidR="004F76F4" w:rsidRPr="004F76F4" w:rsidRDefault="004F76F4" w:rsidP="004F76F4">
      <w:pPr>
        <w:jc w:val="both"/>
        <w:rPr>
          <w:rFonts w:ascii="Arial" w:hAnsi="Arial" w:cs="Arial"/>
          <w:noProof/>
          <w:sz w:val="24"/>
          <w:szCs w:val="24"/>
          <w:lang w:val="ka-GE"/>
        </w:rPr>
      </w:pPr>
      <w:r w:rsidRPr="004F76F4">
        <w:rPr>
          <w:rFonts w:ascii="Sylfaen" w:hAnsi="Sylfaen" w:cs="Arial"/>
          <w:noProof/>
          <w:sz w:val="24"/>
          <w:szCs w:val="24"/>
          <w:lang w:val="ka-GE"/>
        </w:rPr>
        <w:t xml:space="preserve">0,2 მგ ციანკობალამინი (ვიტამინი </w:t>
      </w:r>
      <w:r w:rsidRPr="004F76F4">
        <w:rPr>
          <w:rFonts w:ascii="Arial" w:hAnsi="Arial" w:cs="Arial"/>
          <w:noProof/>
          <w:sz w:val="24"/>
          <w:szCs w:val="24"/>
          <w:lang w:val="ka-GE"/>
        </w:rPr>
        <w:t>B</w:t>
      </w:r>
      <w:r w:rsidRPr="004F76F4">
        <w:rPr>
          <w:rFonts w:ascii="Arial" w:hAnsi="Arial" w:cs="Arial"/>
          <w:noProof/>
          <w:sz w:val="24"/>
          <w:szCs w:val="24"/>
          <w:vertAlign w:val="subscript"/>
          <w:lang w:val="ka-GE"/>
        </w:rPr>
        <w:t>12</w:t>
      </w:r>
      <w:r w:rsidRPr="004F76F4">
        <w:rPr>
          <w:rFonts w:ascii="Sylfaen" w:hAnsi="Sylfaen" w:cs="Arial"/>
          <w:noProof/>
          <w:sz w:val="24"/>
          <w:szCs w:val="24"/>
          <w:lang w:val="ka-GE"/>
        </w:rPr>
        <w:t>)</w:t>
      </w:r>
    </w:p>
    <w:p w14:paraId="6B8C640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03E64D31"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u w:val="single"/>
          <w:lang w:val="ka-GE"/>
        </w:rPr>
        <w:t xml:space="preserve">დამხმარე ნივთიერებები ცნობილი ეფექტით: </w:t>
      </w:r>
      <w:r w:rsidRPr="004F76F4">
        <w:rPr>
          <w:rFonts w:ascii="Sylfaen" w:hAnsi="Sylfaen" w:cs="Arial"/>
          <w:noProof/>
          <w:sz w:val="24"/>
          <w:szCs w:val="24"/>
          <w:lang w:val="ka-GE"/>
        </w:rPr>
        <w:t>0.34 მგ ნატრიუმი</w:t>
      </w:r>
    </w:p>
    <w:p w14:paraId="352C12F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დამხმარე ნივთიერებების ჩამონათვალი, იხ. პუნქტში 6.1.  </w:t>
      </w:r>
    </w:p>
    <w:p w14:paraId="76E0501D"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166E6631" w14:textId="77777777" w:rsidR="004F76F4" w:rsidRPr="004F76F4" w:rsidRDefault="004F76F4" w:rsidP="004F76F4">
      <w:pPr>
        <w:tabs>
          <w:tab w:val="left" w:pos="567"/>
          <w:tab w:val="left" w:pos="2520"/>
          <w:tab w:val="left" w:pos="3960"/>
          <w:tab w:val="left" w:pos="4920"/>
          <w:tab w:val="left" w:pos="7200"/>
        </w:tabs>
        <w:jc w:val="both"/>
        <w:rPr>
          <w:rFonts w:ascii="Arial" w:hAnsi="Arial" w:cs="Arial"/>
          <w:caps/>
          <w:noProof/>
          <w:sz w:val="24"/>
          <w:szCs w:val="24"/>
          <w:lang w:val="ka-GE"/>
        </w:rPr>
      </w:pPr>
    </w:p>
    <w:p w14:paraId="245330CE" w14:textId="77777777" w:rsidR="004F76F4" w:rsidRPr="004F76F4" w:rsidRDefault="004F76F4" w:rsidP="004F76F4">
      <w:pPr>
        <w:pStyle w:val="ListParagraph"/>
        <w:numPr>
          <w:ilvl w:val="0"/>
          <w:numId w:val="2"/>
        </w:numPr>
        <w:ind w:left="0" w:firstLine="0"/>
        <w:contextualSpacing w:val="0"/>
        <w:jc w:val="both"/>
        <w:rPr>
          <w:rFonts w:ascii="Arial" w:hAnsi="Arial" w:cs="Arial"/>
          <w:b/>
          <w:noProof/>
          <w:sz w:val="24"/>
          <w:szCs w:val="24"/>
          <w:lang w:val="ka-GE"/>
        </w:rPr>
      </w:pPr>
      <w:r w:rsidRPr="004F76F4">
        <w:rPr>
          <w:rFonts w:ascii="Sylfaen" w:hAnsi="Sylfaen" w:cs="Arial"/>
          <w:b/>
          <w:noProof/>
          <w:sz w:val="24"/>
          <w:szCs w:val="24"/>
          <w:lang w:val="ka-GE"/>
        </w:rPr>
        <w:t>წამლის ფორმა</w:t>
      </w:r>
      <w:r w:rsidRPr="004F76F4">
        <w:rPr>
          <w:rFonts w:ascii="Arial" w:hAnsi="Arial" w:cs="Arial"/>
          <w:b/>
          <w:noProof/>
          <w:sz w:val="24"/>
          <w:szCs w:val="24"/>
          <w:lang w:val="ka-GE"/>
        </w:rPr>
        <w:t xml:space="preserve"> </w:t>
      </w:r>
    </w:p>
    <w:p w14:paraId="268421DC"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3613B24A" w14:textId="0A0FEFC5"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აპკიანი გარსით დაფარული</w:t>
      </w:r>
      <w:r w:rsidR="0062233C">
        <w:rPr>
          <w:rFonts w:ascii="Sylfaen" w:hAnsi="Sylfaen" w:cs="Arial"/>
          <w:noProof/>
          <w:sz w:val="24"/>
          <w:szCs w:val="24"/>
          <w:lang w:val="ka-GE"/>
        </w:rPr>
        <w:t xml:space="preserve"> </w:t>
      </w:r>
      <w:r w:rsidRPr="004F76F4">
        <w:rPr>
          <w:rFonts w:ascii="Sylfaen" w:hAnsi="Sylfaen" w:cs="Arial"/>
          <w:noProof/>
          <w:sz w:val="24"/>
          <w:szCs w:val="24"/>
          <w:lang w:val="ka-GE"/>
        </w:rPr>
        <w:t>ტაბლეტი</w:t>
      </w:r>
    </w:p>
    <w:p w14:paraId="2CAB91A8"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თეთრიდან მოთეთრო ფერის, მრგვალი და ორმხრივ ამოზნექილი აპკიანი გარსით დაფარული ტაბლეტი</w:t>
      </w:r>
    </w:p>
    <w:p w14:paraId="4CFFAC8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078A905C" w14:textId="77777777" w:rsidR="004F76F4" w:rsidRPr="004F76F4" w:rsidRDefault="004F76F4" w:rsidP="004F76F4">
      <w:pPr>
        <w:pStyle w:val="ListParagraph"/>
        <w:numPr>
          <w:ilvl w:val="0"/>
          <w:numId w:val="2"/>
        </w:numPr>
        <w:tabs>
          <w:tab w:val="left" w:pos="567"/>
          <w:tab w:val="left" w:pos="2520"/>
          <w:tab w:val="left" w:pos="3960"/>
          <w:tab w:val="left" w:pos="4920"/>
          <w:tab w:val="left" w:pos="7200"/>
        </w:tabs>
        <w:ind w:left="0" w:firstLine="0"/>
        <w:contextualSpacing w:val="0"/>
        <w:jc w:val="both"/>
        <w:rPr>
          <w:rFonts w:ascii="Sylfaen" w:hAnsi="Sylfaen" w:cs="Arial"/>
          <w:noProof/>
          <w:sz w:val="24"/>
          <w:szCs w:val="24"/>
          <w:lang w:val="ka-GE"/>
        </w:rPr>
      </w:pPr>
      <w:r w:rsidRPr="004F76F4">
        <w:rPr>
          <w:rFonts w:ascii="Sylfaen" w:hAnsi="Sylfaen" w:cs="Arial"/>
          <w:b/>
          <w:noProof/>
          <w:sz w:val="24"/>
          <w:szCs w:val="24"/>
          <w:lang w:val="ka-GE"/>
        </w:rPr>
        <w:t>კლინიკური მახასიათებლები</w:t>
      </w:r>
    </w:p>
    <w:p w14:paraId="69D0E0AD" w14:textId="77777777" w:rsidR="004F76F4" w:rsidRPr="004F76F4" w:rsidRDefault="004F76F4" w:rsidP="004F76F4">
      <w:pPr>
        <w:pStyle w:val="ListParagraph"/>
        <w:tabs>
          <w:tab w:val="left" w:pos="567"/>
          <w:tab w:val="left" w:pos="2520"/>
          <w:tab w:val="left" w:pos="3960"/>
          <w:tab w:val="left" w:pos="4920"/>
          <w:tab w:val="left" w:pos="7200"/>
        </w:tabs>
        <w:ind w:left="0"/>
        <w:jc w:val="both"/>
        <w:rPr>
          <w:rFonts w:ascii="Sylfaen" w:hAnsi="Sylfaen" w:cs="Arial"/>
          <w:noProof/>
          <w:sz w:val="24"/>
          <w:szCs w:val="24"/>
          <w:lang w:val="ka-GE"/>
        </w:rPr>
      </w:pPr>
    </w:p>
    <w:p w14:paraId="0D484317" w14:textId="77777777" w:rsidR="004F76F4" w:rsidRPr="004F76F4" w:rsidRDefault="004F76F4" w:rsidP="004F76F4">
      <w:pPr>
        <w:pStyle w:val="ListParagraph"/>
        <w:numPr>
          <w:ilvl w:val="1"/>
          <w:numId w:val="2"/>
        </w:numPr>
        <w:tabs>
          <w:tab w:val="left" w:pos="567"/>
          <w:tab w:val="left" w:pos="2520"/>
          <w:tab w:val="left" w:pos="3960"/>
          <w:tab w:val="left" w:pos="4920"/>
          <w:tab w:val="left" w:pos="7200"/>
        </w:tabs>
        <w:ind w:left="0" w:firstLine="0"/>
        <w:contextualSpacing w:val="0"/>
        <w:jc w:val="both"/>
        <w:rPr>
          <w:rFonts w:ascii="Sylfaen" w:hAnsi="Sylfaen" w:cs="Arial"/>
          <w:b/>
          <w:noProof/>
          <w:sz w:val="24"/>
          <w:szCs w:val="24"/>
          <w:lang w:val="ka-GE"/>
        </w:rPr>
      </w:pPr>
      <w:r w:rsidRPr="004F76F4">
        <w:rPr>
          <w:rFonts w:ascii="Sylfaen" w:hAnsi="Sylfaen" w:cs="Arial"/>
          <w:b/>
          <w:noProof/>
          <w:sz w:val="24"/>
          <w:szCs w:val="24"/>
          <w:lang w:val="ka-GE"/>
        </w:rPr>
        <w:t>თერაპიული ჩვენებები</w:t>
      </w:r>
    </w:p>
    <w:p w14:paraId="28426E99"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B ვიტამინის ნაკლებობით გამოწვეული ნერვული სისტემის დაავადებები.</w:t>
      </w:r>
    </w:p>
    <w:p w14:paraId="1799A1A0"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&lt;ნეირომულტივი&gt; ნაჩვენებია მოზრდილებისათვის. </w:t>
      </w:r>
    </w:p>
    <w:p w14:paraId="7BDA39E2"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7DEB8D3B" w14:textId="77777777" w:rsidR="004F76F4" w:rsidRPr="004F76F4" w:rsidRDefault="004F76F4" w:rsidP="004F76F4">
      <w:pPr>
        <w:pStyle w:val="ListParagraph"/>
        <w:numPr>
          <w:ilvl w:val="1"/>
          <w:numId w:val="2"/>
        </w:numPr>
        <w:tabs>
          <w:tab w:val="left" w:pos="567"/>
          <w:tab w:val="left" w:pos="2520"/>
          <w:tab w:val="left" w:pos="3960"/>
          <w:tab w:val="left" w:pos="4920"/>
          <w:tab w:val="left" w:pos="7200"/>
        </w:tabs>
        <w:ind w:left="0" w:firstLine="0"/>
        <w:contextualSpacing w:val="0"/>
        <w:jc w:val="both"/>
        <w:rPr>
          <w:rFonts w:ascii="Sylfaen" w:hAnsi="Sylfaen" w:cs="Arial"/>
          <w:b/>
          <w:noProof/>
          <w:sz w:val="24"/>
          <w:szCs w:val="24"/>
          <w:lang w:val="ka-GE"/>
        </w:rPr>
      </w:pPr>
      <w:r w:rsidRPr="004F76F4">
        <w:rPr>
          <w:rFonts w:ascii="Sylfaen" w:hAnsi="Sylfaen" w:cs="Arial"/>
          <w:b/>
          <w:noProof/>
          <w:sz w:val="24"/>
          <w:szCs w:val="24"/>
          <w:lang w:val="ka-GE"/>
        </w:rPr>
        <w:t>დოზირება და მიღების წესი</w:t>
      </w:r>
    </w:p>
    <w:p w14:paraId="509613A2"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u w:val="single"/>
          <w:lang w:val="ka-GE"/>
        </w:rPr>
      </w:pPr>
      <w:r w:rsidRPr="004F76F4">
        <w:rPr>
          <w:rFonts w:ascii="Sylfaen" w:hAnsi="Sylfaen" w:cs="Arial"/>
          <w:noProof/>
          <w:sz w:val="24"/>
          <w:szCs w:val="24"/>
          <w:u w:val="single"/>
          <w:lang w:val="ka-GE"/>
        </w:rPr>
        <w:t>დოზირება</w:t>
      </w:r>
    </w:p>
    <w:p w14:paraId="287C09CA"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1 ტაბლეტი დღეში. </w:t>
      </w:r>
    </w:p>
    <w:p w14:paraId="39905F5A"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ცალკეულ შემთხვევებში, დოზა შეიძლება გაიზარდოს 1 ტაბლეტამდე დღეში სამჯერ. </w:t>
      </w:r>
    </w:p>
    <w:p w14:paraId="72A6D8C8"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05D76FBD"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i/>
          <w:noProof/>
          <w:sz w:val="24"/>
          <w:szCs w:val="24"/>
          <w:lang w:val="ka-GE"/>
        </w:rPr>
      </w:pPr>
      <w:r w:rsidRPr="004F76F4">
        <w:rPr>
          <w:rFonts w:ascii="Sylfaen" w:hAnsi="Sylfaen" w:cs="Arial"/>
          <w:i/>
          <w:noProof/>
          <w:sz w:val="24"/>
          <w:szCs w:val="24"/>
          <w:lang w:val="ka-GE"/>
        </w:rPr>
        <w:t>პედიატრიული პოპულაცია</w:t>
      </w:r>
    </w:p>
    <w:p w14:paraId="34E65B89"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&lt;ნეირომულტივიტის&gt; უსაფრთხოება ბავშვებსა და 18 წლამდე ასაკის მოზარდებში დადგენილი არ არის (იხ. პუნქტი 4.3). </w:t>
      </w:r>
    </w:p>
    <w:p w14:paraId="04526141"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67699CDA"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u w:val="single"/>
          <w:lang w:val="ka-GE"/>
        </w:rPr>
      </w:pPr>
      <w:r w:rsidRPr="004F76F4">
        <w:rPr>
          <w:rFonts w:ascii="Sylfaen" w:hAnsi="Sylfaen" w:cs="Arial"/>
          <w:noProof/>
          <w:sz w:val="24"/>
          <w:szCs w:val="24"/>
          <w:u w:val="single"/>
          <w:lang w:val="ka-GE"/>
        </w:rPr>
        <w:t>მიღების წესი</w:t>
      </w:r>
    </w:p>
    <w:p w14:paraId="59B357C5"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პერორალური გამოყენების</w:t>
      </w:r>
    </w:p>
    <w:p w14:paraId="503B1514"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r w:rsidRPr="004F76F4">
        <w:rPr>
          <w:rFonts w:ascii="Sylfaen" w:hAnsi="Sylfaen" w:cs="Arial"/>
          <w:caps/>
          <w:noProof/>
          <w:sz w:val="24"/>
          <w:szCs w:val="24"/>
          <w:lang w:val="ka-GE"/>
        </w:rPr>
        <w:t xml:space="preserve">ტაბლეტი გადაიყლაპება დაუღეჭავად ჭამის შემდეგ წყლის მიყოლებით. </w:t>
      </w:r>
    </w:p>
    <w:p w14:paraId="05A48B6B"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p>
    <w:p w14:paraId="1485319C"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u w:val="single"/>
          <w:lang w:val="ka-GE"/>
        </w:rPr>
      </w:pPr>
      <w:r w:rsidRPr="004F76F4">
        <w:rPr>
          <w:rFonts w:ascii="Sylfaen" w:hAnsi="Sylfaen" w:cs="Arial"/>
          <w:caps/>
          <w:noProof/>
          <w:sz w:val="24"/>
          <w:szCs w:val="24"/>
          <w:u w:val="single"/>
          <w:lang w:val="ka-GE"/>
        </w:rPr>
        <w:t>გამოყენების ხანგრძლივობა</w:t>
      </w:r>
    </w:p>
    <w:p w14:paraId="54CCE7D1"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r w:rsidRPr="004F76F4">
        <w:rPr>
          <w:rFonts w:ascii="Sylfaen" w:hAnsi="Sylfaen" w:cs="Arial"/>
          <w:caps/>
          <w:noProof/>
          <w:sz w:val="24"/>
          <w:szCs w:val="24"/>
          <w:lang w:val="ka-GE"/>
        </w:rPr>
        <w:t xml:space="preserve">პრეპარატის გამოყენების შესაფერის ხანგრძლივობას ადგენს ექიმი. </w:t>
      </w:r>
    </w:p>
    <w:p w14:paraId="53E614F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r w:rsidRPr="004F76F4">
        <w:rPr>
          <w:rFonts w:ascii="Sylfaen" w:hAnsi="Sylfaen" w:cs="Arial"/>
          <w:caps/>
          <w:noProof/>
          <w:sz w:val="24"/>
          <w:szCs w:val="24"/>
          <w:lang w:val="ka-GE"/>
        </w:rPr>
        <w:t xml:space="preserve">არა უგვიანეს 4 კვირის შემდეგ, უნდა გადაწყდეს დოზის შემცირების შესაძლებლობა. </w:t>
      </w:r>
    </w:p>
    <w:p w14:paraId="3CBF31FB"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r w:rsidRPr="004F76F4">
        <w:rPr>
          <w:rFonts w:ascii="Sylfaen" w:hAnsi="Sylfaen" w:cs="Arial"/>
          <w:caps/>
          <w:noProof/>
          <w:sz w:val="24"/>
          <w:szCs w:val="24"/>
          <w:lang w:val="ka-GE"/>
        </w:rPr>
        <w:t xml:space="preserve">(იხ. პუნქტი 4.4). </w:t>
      </w:r>
    </w:p>
    <w:p w14:paraId="0DED3364"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p>
    <w:p w14:paraId="5FD9488F"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p>
    <w:p w14:paraId="2DC18FDC" w14:textId="77777777" w:rsidR="004F76F4" w:rsidRPr="004F76F4" w:rsidRDefault="004F76F4" w:rsidP="004F76F4">
      <w:pPr>
        <w:pStyle w:val="ListParagraph"/>
        <w:numPr>
          <w:ilvl w:val="1"/>
          <w:numId w:val="2"/>
        </w:numPr>
        <w:tabs>
          <w:tab w:val="left" w:pos="567"/>
          <w:tab w:val="left" w:pos="2520"/>
          <w:tab w:val="left" w:pos="3960"/>
          <w:tab w:val="left" w:pos="4920"/>
          <w:tab w:val="left" w:pos="7200"/>
        </w:tabs>
        <w:ind w:left="0" w:firstLine="0"/>
        <w:contextualSpacing w:val="0"/>
        <w:jc w:val="both"/>
        <w:rPr>
          <w:rFonts w:ascii="Sylfaen" w:hAnsi="Sylfaen" w:cs="Arial"/>
          <w:b/>
          <w:caps/>
          <w:noProof/>
          <w:sz w:val="24"/>
          <w:szCs w:val="24"/>
          <w:lang w:val="ka-GE"/>
        </w:rPr>
      </w:pPr>
      <w:r w:rsidRPr="004F76F4">
        <w:rPr>
          <w:rFonts w:ascii="Sylfaen" w:hAnsi="Sylfaen" w:cs="Arial"/>
          <w:b/>
          <w:caps/>
          <w:noProof/>
          <w:sz w:val="24"/>
          <w:szCs w:val="24"/>
          <w:lang w:val="ka-GE"/>
        </w:rPr>
        <w:t>უკუჩვენებები</w:t>
      </w:r>
    </w:p>
    <w:p w14:paraId="75B8B2B3" w14:textId="77777777" w:rsidR="004F76F4" w:rsidRPr="004F76F4" w:rsidRDefault="004F76F4" w:rsidP="004F76F4">
      <w:pPr>
        <w:pStyle w:val="ListParagraph"/>
        <w:numPr>
          <w:ilvl w:val="0"/>
          <w:numId w:val="3"/>
        </w:numPr>
        <w:tabs>
          <w:tab w:val="left" w:pos="567"/>
          <w:tab w:val="left" w:pos="2520"/>
          <w:tab w:val="left" w:pos="3960"/>
          <w:tab w:val="left" w:pos="4920"/>
          <w:tab w:val="left" w:pos="7200"/>
        </w:tabs>
        <w:ind w:left="0" w:firstLine="0"/>
        <w:contextualSpacing w:val="0"/>
        <w:jc w:val="both"/>
        <w:rPr>
          <w:rFonts w:ascii="Sylfaen" w:hAnsi="Sylfaen" w:cs="Arial"/>
          <w:caps/>
          <w:noProof/>
          <w:sz w:val="24"/>
          <w:szCs w:val="24"/>
          <w:lang w:val="ka-GE"/>
        </w:rPr>
      </w:pPr>
      <w:r w:rsidRPr="004F76F4">
        <w:rPr>
          <w:rFonts w:ascii="Sylfaen" w:hAnsi="Sylfaen" w:cs="Arial"/>
          <w:caps/>
          <w:noProof/>
          <w:sz w:val="24"/>
          <w:szCs w:val="24"/>
          <w:lang w:val="ka-GE"/>
        </w:rPr>
        <w:lastRenderedPageBreak/>
        <w:t>ჰიპერმგრძნობელობა აქტიური ნივთიერების და პუნქტი 6.1.-ში მოცემული ნებისმიერი დამხმარე ნივთიერების მიმართ;</w:t>
      </w:r>
    </w:p>
    <w:p w14:paraId="49AC7DAE" w14:textId="77777777" w:rsidR="004F76F4" w:rsidRPr="004F76F4" w:rsidRDefault="004F76F4" w:rsidP="004F76F4">
      <w:pPr>
        <w:pStyle w:val="ListParagraph"/>
        <w:numPr>
          <w:ilvl w:val="0"/>
          <w:numId w:val="3"/>
        </w:numPr>
        <w:tabs>
          <w:tab w:val="left" w:pos="567"/>
          <w:tab w:val="left" w:pos="2520"/>
          <w:tab w:val="left" w:pos="3960"/>
          <w:tab w:val="left" w:pos="4920"/>
          <w:tab w:val="left" w:pos="7200"/>
        </w:tabs>
        <w:ind w:left="0" w:firstLine="0"/>
        <w:contextualSpacing w:val="0"/>
        <w:jc w:val="both"/>
        <w:rPr>
          <w:rFonts w:ascii="Sylfaen" w:hAnsi="Sylfaen" w:cs="Arial"/>
          <w:caps/>
          <w:noProof/>
          <w:sz w:val="24"/>
          <w:szCs w:val="24"/>
          <w:lang w:val="ka-GE"/>
        </w:rPr>
      </w:pPr>
      <w:r w:rsidRPr="004F76F4">
        <w:rPr>
          <w:rFonts w:ascii="Sylfaen" w:hAnsi="Sylfaen" w:cs="Arial"/>
          <w:caps/>
          <w:noProof/>
          <w:sz w:val="24"/>
          <w:szCs w:val="24"/>
          <w:lang w:val="ka-GE"/>
        </w:rPr>
        <w:t xml:space="preserve">&lt;ნეირომულტივიტის&gt; გამოყენება არ შეიძლება ბავშვებსა და მოზარდებში აქტიური ნივთიერებების მაღალი დოზების გამო. </w:t>
      </w:r>
    </w:p>
    <w:p w14:paraId="795E516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p>
    <w:p w14:paraId="3265CA6A" w14:textId="77777777" w:rsidR="004F76F4" w:rsidRPr="004F76F4" w:rsidRDefault="004F76F4" w:rsidP="004F76F4">
      <w:pPr>
        <w:pStyle w:val="ListParagraph"/>
        <w:numPr>
          <w:ilvl w:val="1"/>
          <w:numId w:val="2"/>
        </w:numPr>
        <w:tabs>
          <w:tab w:val="left" w:pos="567"/>
          <w:tab w:val="left" w:pos="2520"/>
          <w:tab w:val="left" w:pos="3960"/>
          <w:tab w:val="left" w:pos="4920"/>
          <w:tab w:val="left" w:pos="7200"/>
        </w:tabs>
        <w:ind w:left="0" w:firstLine="0"/>
        <w:contextualSpacing w:val="0"/>
        <w:jc w:val="both"/>
        <w:rPr>
          <w:rFonts w:ascii="Sylfaen" w:hAnsi="Sylfaen" w:cs="Arial"/>
          <w:b/>
          <w:caps/>
          <w:noProof/>
          <w:sz w:val="24"/>
          <w:szCs w:val="24"/>
          <w:lang w:val="ka-GE"/>
        </w:rPr>
      </w:pPr>
      <w:r w:rsidRPr="004F76F4">
        <w:rPr>
          <w:rFonts w:ascii="Sylfaen" w:hAnsi="Sylfaen" w:cs="Arial"/>
          <w:b/>
          <w:caps/>
          <w:noProof/>
          <w:sz w:val="24"/>
          <w:szCs w:val="24"/>
          <w:lang w:val="ka-GE"/>
        </w:rPr>
        <w:t>განსაკუთრებული მითითებანი და უსაფრთხოების ზომები</w:t>
      </w:r>
    </w:p>
    <w:p w14:paraId="061310DD"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r w:rsidRPr="004F76F4">
        <w:rPr>
          <w:rFonts w:ascii="Sylfaen" w:hAnsi="Sylfaen" w:cs="Arial"/>
          <w:caps/>
          <w:noProof/>
          <w:sz w:val="24"/>
          <w:szCs w:val="24"/>
          <w:lang w:val="ka-GE"/>
        </w:rPr>
        <w:t xml:space="preserve">პერიფერიული სენსორული ნეიროპათიის (პარესთეზიის) სიმპტომების ან ნიშნების განვითარების შემთხვევაში, საჭიროა დოზირების გადახედვა და საჭიროების შემთხვევაში სამკურნალო პრეპარატის მოხსნა. ნეიროპათიების განვითარება აღინიშნება B6 ვიტამინის 50 მგ-ზე მეტი დღიური დოზების ხანგრძლივი (6-12 თვეზე მეტი) და B6 ვიტამინის 1 გრ-ზე მეტი დღიური დოზების ხანმოკლე (2 თვეზე მეტი) გამოყენებისას. </w:t>
      </w:r>
    </w:p>
    <w:p w14:paraId="247AA549"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r w:rsidRPr="004F76F4">
        <w:rPr>
          <w:rFonts w:ascii="Sylfaen" w:hAnsi="Sylfaen" w:cs="Arial"/>
          <w:caps/>
          <w:noProof/>
          <w:sz w:val="24"/>
          <w:szCs w:val="24"/>
          <w:lang w:val="ka-GE"/>
        </w:rPr>
        <w:t xml:space="preserve">B12 ვიტამინის პრეპარატებმა შეიძლება შენიღბოს ფუნიკულური მიელოზისა და პერნიციული და ავთვისებიანი ანემიის კლინიკური სურათი და ლაბორატორიული მაჩვენებლები. </w:t>
      </w:r>
    </w:p>
    <w:p w14:paraId="1023A170"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caps/>
          <w:noProof/>
          <w:sz w:val="24"/>
          <w:szCs w:val="24"/>
          <w:lang w:val="ka-GE"/>
        </w:rPr>
      </w:pPr>
      <w:r w:rsidRPr="004F76F4">
        <w:rPr>
          <w:rFonts w:ascii="Sylfaen" w:hAnsi="Sylfaen" w:cs="Arial"/>
          <w:caps/>
          <w:noProof/>
          <w:sz w:val="24"/>
          <w:szCs w:val="24"/>
          <w:lang w:val="ka-GE"/>
        </w:rPr>
        <w:t xml:space="preserve">აღნიშნული სამკურნალო პრეპარატი შეიცავს  1 მმოლ-ზე ნაკლებ ნატრიუმს (23 მგ) აპკიანი გარსით დაფარულ ტაბლეტში, რაც ნიშნავს, რომ ის პრაქტიკულად არ შეიცავს ნატრიუმს. </w:t>
      </w:r>
    </w:p>
    <w:p w14:paraId="41F4F6D7" w14:textId="77777777" w:rsidR="004F76F4" w:rsidRPr="004F76F4" w:rsidRDefault="004F76F4" w:rsidP="004F76F4">
      <w:pPr>
        <w:jc w:val="both"/>
        <w:rPr>
          <w:rFonts w:ascii="Sylfaen" w:hAnsi="Sylfaen" w:cs="Arial"/>
          <w:caps/>
          <w:noProof/>
          <w:sz w:val="24"/>
          <w:szCs w:val="24"/>
          <w:lang w:val="ka-GE"/>
        </w:rPr>
      </w:pPr>
    </w:p>
    <w:p w14:paraId="6DAE75F0" w14:textId="77777777" w:rsidR="004F76F4" w:rsidRPr="004F76F4" w:rsidRDefault="004F76F4" w:rsidP="004F76F4">
      <w:pPr>
        <w:pStyle w:val="ListParagraph"/>
        <w:numPr>
          <w:ilvl w:val="1"/>
          <w:numId w:val="2"/>
        </w:numPr>
        <w:ind w:left="0" w:firstLine="0"/>
        <w:contextualSpacing w:val="0"/>
        <w:jc w:val="both"/>
        <w:rPr>
          <w:rFonts w:ascii="Sylfaen" w:hAnsi="Sylfaen"/>
          <w:b/>
          <w:noProof/>
          <w:sz w:val="24"/>
          <w:szCs w:val="24"/>
          <w:lang w:val="ka-GE" w:eastAsia="en-US"/>
        </w:rPr>
      </w:pPr>
      <w:r w:rsidRPr="004F76F4">
        <w:rPr>
          <w:rFonts w:ascii="Sylfaen" w:hAnsi="Sylfaen" w:cs="Arial"/>
          <w:b/>
          <w:caps/>
          <w:noProof/>
          <w:sz w:val="24"/>
          <w:szCs w:val="24"/>
          <w:lang w:val="ka-GE"/>
        </w:rPr>
        <w:t xml:space="preserve">სხვა სამკურნალო პრეპარატებთან ურთიერთქემდება და სხვა ფორმის ურთიერთქმედებანი </w:t>
      </w:r>
    </w:p>
    <w:p w14:paraId="58EF5E3D"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b/>
          <w:noProof/>
          <w:sz w:val="24"/>
          <w:szCs w:val="24"/>
          <w:lang w:val="ka-GE"/>
        </w:rPr>
      </w:pPr>
    </w:p>
    <w:p w14:paraId="71FF3348"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თიამინი ინაქტივირდება 5-ფტორურაცილით, ვინაიდან 5-ფტორურაცილი აინჰიბირებს თიამინის კონკურენტულ ფოსფორილირებას თიამინ პიროფოსფატად.  </w:t>
      </w:r>
    </w:p>
    <w:p w14:paraId="665F4B4A"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ანტაციდები, ალკოჰოლი და ჩაი აქვეითებენ თიამინის შეწოვას. </w:t>
      </w:r>
    </w:p>
    <w:p w14:paraId="70D832B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მილაკოვანი რეაბსორბციის ინჰიბირების გზით, მარყუჟოვანმა შარდმდენებმა (მაგ. ფუროსემიდი) ხანგრძლივი თერაპიის დროს შეიძლება გაზარდონ თიამინის ექსკრეცია და ამით შეამცირონ თიამინის დონეები. </w:t>
      </w:r>
    </w:p>
    <w:p w14:paraId="311E98B5"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7DD525E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პირიდოქსინის ანტაგონისტების თანმხლებმა გამოყენებამ (მაგ. იზონიაზიდი (INH), ჰიდრალაზინი, D-პენიცილამინი ან ციკლოსერინი) შეიძლება გაზარდოს B6 ვიტამინის მოთხოვნილება. </w:t>
      </w:r>
    </w:p>
    <w:p w14:paraId="751BFA10"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სულფიტის შემცველი სასმელები (მაგ. ღვინო) იწვევენ თიამინის დაშლას. </w:t>
      </w:r>
    </w:p>
    <w:p w14:paraId="4D552E6C"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57E2D3C1" w14:textId="77777777" w:rsidR="004F76F4" w:rsidRPr="004F76F4" w:rsidRDefault="004F76F4" w:rsidP="004F76F4">
      <w:pPr>
        <w:pStyle w:val="ListParagraph"/>
        <w:numPr>
          <w:ilvl w:val="1"/>
          <w:numId w:val="2"/>
        </w:numPr>
        <w:tabs>
          <w:tab w:val="left" w:pos="567"/>
          <w:tab w:val="left" w:pos="2520"/>
          <w:tab w:val="left" w:pos="3960"/>
          <w:tab w:val="left" w:pos="4920"/>
          <w:tab w:val="left" w:pos="7200"/>
        </w:tabs>
        <w:ind w:left="0" w:firstLine="0"/>
        <w:contextualSpacing w:val="0"/>
        <w:jc w:val="both"/>
        <w:rPr>
          <w:rFonts w:ascii="Sylfaen" w:hAnsi="Sylfaen" w:cs="Arial"/>
          <w:b/>
          <w:noProof/>
          <w:sz w:val="24"/>
          <w:szCs w:val="24"/>
          <w:lang w:val="ka-GE"/>
        </w:rPr>
      </w:pPr>
      <w:r w:rsidRPr="004F76F4">
        <w:rPr>
          <w:rFonts w:ascii="Sylfaen" w:hAnsi="Sylfaen" w:cs="Arial"/>
          <w:b/>
          <w:noProof/>
          <w:sz w:val="24"/>
          <w:szCs w:val="24"/>
          <w:lang w:val="ka-GE"/>
        </w:rPr>
        <w:t>ფერტილობა, ორსულობა და ლაქტაცია</w:t>
      </w:r>
    </w:p>
    <w:p w14:paraId="33E269E2"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როგორც წესი, ორსულობისა და ლაქტაციის დროს რეკომენდებული დღიური დოზები არის 1,4 მგ B1 ვიტამინისათვის და 1,9 მგ B6 ვიტამინისათვის. </w:t>
      </w:r>
    </w:p>
    <w:p w14:paraId="1004C39E"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21D146F0"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u w:val="single"/>
          <w:lang w:val="ka-GE"/>
        </w:rPr>
      </w:pPr>
      <w:r w:rsidRPr="004F76F4">
        <w:rPr>
          <w:rFonts w:ascii="Sylfaen" w:hAnsi="Sylfaen" w:cs="Arial"/>
          <w:noProof/>
          <w:sz w:val="24"/>
          <w:szCs w:val="24"/>
          <w:u w:val="single"/>
          <w:lang w:val="ka-GE"/>
        </w:rPr>
        <w:t>ორსულობა</w:t>
      </w:r>
    </w:p>
    <w:p w14:paraId="749B240D"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ორსულობის დროს, აღნიშნულ დოზებზე მაღალი დოზების გამოყენება დასაშვებია მხოლოდ იმ შემთხვევაში, თუ პაციენტს დადასტურებული აქვს B1 ან B6 ვიტამინის დეფიციტი, რადგან უფრო მაღალი დოზების უსაფრთხოება არ არის დადგენილი. </w:t>
      </w:r>
    </w:p>
    <w:p w14:paraId="7EC2EFC5"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17754BE2"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ორსულობაზე, ემბრიონ-ფეტალურ, პრენატალურ და პოსტნატალურ განვითარებაზე აღნიშნული სამკურნალო პრეპარატის ზეგავლენის შემსწავლელი ცხოველებზე ჩატარებული მხოლოდ არასაკმარისი რაოდენობის კვლევა არსებობს. შესაძლო რისკი ადამიანებისათვის უცნობია.  მკურნალი ექიმი იღებს გადაწყვეტილებას ორსულობის დროს პრეპარატის გამოყენების შესახებ, რისკი/სარგებელის სათანადო შეფასების შემდეგ. </w:t>
      </w:r>
    </w:p>
    <w:p w14:paraId="09ECE590" w14:textId="77777777" w:rsidR="004F76F4" w:rsidRPr="004F76F4" w:rsidRDefault="004F76F4" w:rsidP="004F76F4">
      <w:pPr>
        <w:jc w:val="both"/>
        <w:rPr>
          <w:rFonts w:ascii="Arial" w:hAnsi="Arial" w:cs="Arial"/>
          <w:noProof/>
          <w:sz w:val="24"/>
          <w:szCs w:val="24"/>
          <w:lang w:val="ka-GE"/>
        </w:rPr>
      </w:pPr>
    </w:p>
    <w:p w14:paraId="602F6B39"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p>
    <w:p w14:paraId="1631667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u w:val="single"/>
          <w:lang w:val="ka-GE"/>
        </w:rPr>
        <w:t>ძუძუთი კვება</w:t>
      </w:r>
    </w:p>
    <w:p w14:paraId="0034A745" w14:textId="77777777" w:rsidR="004F76F4" w:rsidRPr="004F76F4" w:rsidRDefault="004F76F4" w:rsidP="004F76F4">
      <w:pPr>
        <w:autoSpaceDE w:val="0"/>
        <w:autoSpaceDN w:val="0"/>
        <w:adjustRightInd w:val="0"/>
        <w:jc w:val="both"/>
        <w:rPr>
          <w:rFonts w:ascii="Sylfaen" w:hAnsi="Sylfaen" w:cs="Arial"/>
          <w:noProof/>
          <w:sz w:val="24"/>
          <w:szCs w:val="24"/>
          <w:lang w:val="ka-GE" w:eastAsia="en-US"/>
        </w:rPr>
      </w:pPr>
      <w:r w:rsidRPr="004F76F4">
        <w:rPr>
          <w:rFonts w:ascii="Sylfaen" w:hAnsi="Sylfaen" w:cs="Arial"/>
          <w:noProof/>
          <w:sz w:val="24"/>
          <w:szCs w:val="24"/>
          <w:lang w:val="ka-GE" w:eastAsia="en-US"/>
        </w:rPr>
        <w:lastRenderedPageBreak/>
        <w:t>ვიტამინები</w:t>
      </w:r>
      <w:r w:rsidRPr="004F76F4">
        <w:rPr>
          <w:rFonts w:ascii="Arial" w:hAnsi="Arial" w:cs="Arial"/>
          <w:noProof/>
          <w:sz w:val="24"/>
          <w:szCs w:val="24"/>
          <w:lang w:val="ka-GE" w:eastAsia="en-US"/>
        </w:rPr>
        <w:t xml:space="preserve"> B</w:t>
      </w:r>
      <w:r w:rsidRPr="004F76F4">
        <w:rPr>
          <w:rFonts w:ascii="Arial" w:hAnsi="Arial" w:cs="Arial"/>
          <w:noProof/>
          <w:sz w:val="24"/>
          <w:szCs w:val="24"/>
          <w:vertAlign w:val="subscript"/>
          <w:lang w:val="ka-GE" w:eastAsia="en-US"/>
        </w:rPr>
        <w:t>1</w:t>
      </w:r>
      <w:r w:rsidRPr="004F76F4">
        <w:rPr>
          <w:rFonts w:ascii="Arial" w:hAnsi="Arial" w:cs="Arial"/>
          <w:noProof/>
          <w:sz w:val="24"/>
          <w:szCs w:val="24"/>
          <w:lang w:val="ka-GE" w:eastAsia="en-US"/>
        </w:rPr>
        <w:t>, B</w:t>
      </w:r>
      <w:r w:rsidRPr="004F76F4">
        <w:rPr>
          <w:rFonts w:ascii="Arial" w:hAnsi="Arial" w:cs="Arial"/>
          <w:noProof/>
          <w:sz w:val="24"/>
          <w:szCs w:val="24"/>
          <w:vertAlign w:val="subscript"/>
          <w:lang w:val="ka-GE" w:eastAsia="en-US"/>
        </w:rPr>
        <w:t>6</w:t>
      </w:r>
      <w:r w:rsidRPr="004F76F4">
        <w:rPr>
          <w:rFonts w:ascii="Arial" w:hAnsi="Arial" w:cs="Arial"/>
          <w:noProof/>
          <w:sz w:val="24"/>
          <w:szCs w:val="24"/>
          <w:lang w:val="ka-GE" w:eastAsia="en-US"/>
        </w:rPr>
        <w:t xml:space="preserve"> </w:t>
      </w:r>
      <w:r w:rsidRPr="004F76F4">
        <w:rPr>
          <w:rFonts w:ascii="Sylfaen" w:hAnsi="Sylfaen" w:cs="Arial"/>
          <w:noProof/>
          <w:sz w:val="24"/>
          <w:szCs w:val="24"/>
          <w:lang w:val="ka-GE" w:eastAsia="en-US"/>
        </w:rPr>
        <w:t>და</w:t>
      </w:r>
      <w:r w:rsidRPr="004F76F4">
        <w:rPr>
          <w:rFonts w:ascii="Arial" w:hAnsi="Arial" w:cs="Arial"/>
          <w:noProof/>
          <w:sz w:val="24"/>
          <w:szCs w:val="24"/>
          <w:lang w:val="ka-GE" w:eastAsia="en-US"/>
        </w:rPr>
        <w:t xml:space="preserve"> B</w:t>
      </w:r>
      <w:r w:rsidRPr="004F76F4">
        <w:rPr>
          <w:rFonts w:ascii="Arial" w:hAnsi="Arial" w:cs="Arial"/>
          <w:noProof/>
          <w:sz w:val="24"/>
          <w:szCs w:val="24"/>
          <w:vertAlign w:val="subscript"/>
          <w:lang w:val="ka-GE" w:eastAsia="en-US"/>
        </w:rPr>
        <w:t>12</w:t>
      </w:r>
      <w:r w:rsidRPr="004F76F4">
        <w:rPr>
          <w:rFonts w:ascii="Arial" w:hAnsi="Arial" w:cs="Arial"/>
          <w:noProof/>
          <w:sz w:val="24"/>
          <w:szCs w:val="24"/>
          <w:lang w:val="ka-GE" w:eastAsia="en-US"/>
        </w:rPr>
        <w:t xml:space="preserve"> </w:t>
      </w:r>
      <w:r w:rsidRPr="004F76F4">
        <w:rPr>
          <w:rFonts w:ascii="Sylfaen" w:hAnsi="Sylfaen" w:cs="Arial"/>
          <w:noProof/>
          <w:sz w:val="24"/>
          <w:szCs w:val="24"/>
          <w:lang w:val="ka-GE" w:eastAsia="en-US"/>
        </w:rPr>
        <w:t xml:space="preserve">გამოიყოფა დედის რძეში. B6 ვიტამინის მაღალი კონცენტრაციამ შეიძლება გამოიწვიოს  რძის წარმოქმნის ინჰიბირება. დედის რძეში სეკრეციის ხარისხის  შესაფასებელი მონაცემები ცხოველებზე ჩატარებული კვლევებიდან არ არსებობს. შესაბამისად, ძუძთი კვების თუ &lt;ნეირომულტივტით&gt; თერაპიის შეწყვეტის შესახებ გადაწყვეტილების მიღებისას, საგულდაგულოდ უნდა შეფასდეს ძუძუთი კვების სარგებელი ჩვილისათვის და თერაპიული სარგებელი დედისათვის. </w:t>
      </w:r>
    </w:p>
    <w:p w14:paraId="7F01B2D7" w14:textId="77777777" w:rsidR="004F76F4" w:rsidRPr="004F76F4" w:rsidRDefault="004F76F4" w:rsidP="004F76F4">
      <w:pPr>
        <w:autoSpaceDE w:val="0"/>
        <w:autoSpaceDN w:val="0"/>
        <w:adjustRightInd w:val="0"/>
        <w:jc w:val="both"/>
        <w:rPr>
          <w:rFonts w:ascii="Sylfaen" w:hAnsi="Sylfaen" w:cs="Arial"/>
          <w:noProof/>
          <w:sz w:val="24"/>
          <w:szCs w:val="24"/>
          <w:lang w:val="ka-GE" w:eastAsia="en-US"/>
        </w:rPr>
      </w:pPr>
    </w:p>
    <w:p w14:paraId="7F36EBD2" w14:textId="77777777" w:rsidR="004F76F4" w:rsidRPr="004F76F4" w:rsidRDefault="004F76F4" w:rsidP="004F76F4">
      <w:pPr>
        <w:pStyle w:val="ListParagraph"/>
        <w:numPr>
          <w:ilvl w:val="1"/>
          <w:numId w:val="2"/>
        </w:numPr>
        <w:autoSpaceDE w:val="0"/>
        <w:autoSpaceDN w:val="0"/>
        <w:adjustRightInd w:val="0"/>
        <w:ind w:left="0" w:firstLine="0"/>
        <w:contextualSpacing w:val="0"/>
        <w:jc w:val="both"/>
        <w:rPr>
          <w:rFonts w:ascii="Sylfaen" w:hAnsi="Sylfaen" w:cs="Arial"/>
          <w:b/>
          <w:noProof/>
          <w:sz w:val="24"/>
          <w:szCs w:val="24"/>
          <w:lang w:val="ka-GE" w:eastAsia="en-US"/>
        </w:rPr>
      </w:pPr>
      <w:r w:rsidRPr="004F76F4">
        <w:rPr>
          <w:rFonts w:ascii="Sylfaen" w:hAnsi="Sylfaen" w:cs="Arial"/>
          <w:b/>
          <w:noProof/>
          <w:sz w:val="24"/>
          <w:szCs w:val="24"/>
          <w:lang w:val="ka-GE" w:eastAsia="en-US"/>
        </w:rPr>
        <w:t xml:space="preserve">ავტომობილის მართვისა და მექანიზმებთან მუშაობის უნარზე ზეგავლენა. </w:t>
      </w:r>
    </w:p>
    <w:p w14:paraId="7901E054" w14:textId="77777777" w:rsidR="004F76F4" w:rsidRPr="004F76F4" w:rsidRDefault="004F76F4" w:rsidP="004F76F4">
      <w:pPr>
        <w:autoSpaceDE w:val="0"/>
        <w:autoSpaceDN w:val="0"/>
        <w:adjustRightInd w:val="0"/>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&lt;ნეირომულტივიტს&gt; არ გააჩნია ზეგავლენა ავტომობილის მართვისა და მექანიზმებთან მუშაობის უნარზე. </w:t>
      </w:r>
    </w:p>
    <w:p w14:paraId="5807FF42" w14:textId="77777777" w:rsidR="004F76F4" w:rsidRPr="004F76F4" w:rsidRDefault="004F76F4" w:rsidP="004F76F4">
      <w:pPr>
        <w:autoSpaceDE w:val="0"/>
        <w:autoSpaceDN w:val="0"/>
        <w:adjustRightInd w:val="0"/>
        <w:jc w:val="both"/>
        <w:rPr>
          <w:rFonts w:ascii="Sylfaen" w:hAnsi="Sylfaen" w:cs="Arial"/>
          <w:noProof/>
          <w:sz w:val="24"/>
          <w:szCs w:val="24"/>
          <w:lang w:val="ka-GE" w:eastAsia="en-US"/>
        </w:rPr>
      </w:pPr>
    </w:p>
    <w:p w14:paraId="45D873D9" w14:textId="77777777" w:rsidR="004F76F4" w:rsidRPr="004F76F4" w:rsidRDefault="004F76F4" w:rsidP="004F76F4">
      <w:pPr>
        <w:pStyle w:val="ListParagraph"/>
        <w:numPr>
          <w:ilvl w:val="1"/>
          <w:numId w:val="2"/>
        </w:numPr>
        <w:autoSpaceDE w:val="0"/>
        <w:autoSpaceDN w:val="0"/>
        <w:adjustRightInd w:val="0"/>
        <w:ind w:left="0" w:firstLine="0"/>
        <w:contextualSpacing w:val="0"/>
        <w:jc w:val="both"/>
        <w:rPr>
          <w:rFonts w:ascii="Sylfaen" w:hAnsi="Sylfaen" w:cs="Arial"/>
          <w:b/>
          <w:noProof/>
          <w:sz w:val="24"/>
          <w:szCs w:val="24"/>
          <w:lang w:val="ka-GE" w:eastAsia="en-US"/>
        </w:rPr>
      </w:pPr>
      <w:r w:rsidRPr="004F76F4">
        <w:rPr>
          <w:rFonts w:ascii="Sylfaen" w:hAnsi="Sylfaen" w:cs="Arial"/>
          <w:b/>
          <w:noProof/>
          <w:sz w:val="24"/>
          <w:szCs w:val="24"/>
          <w:lang w:val="ka-GE" w:eastAsia="en-US"/>
        </w:rPr>
        <w:t>გვერდითი მოვლენები</w:t>
      </w:r>
    </w:p>
    <w:p w14:paraId="1BE122C0" w14:textId="77777777" w:rsidR="004F76F4" w:rsidRPr="004F76F4" w:rsidRDefault="004F76F4" w:rsidP="004F76F4">
      <w:pPr>
        <w:tabs>
          <w:tab w:val="left" w:pos="1800"/>
        </w:tabs>
        <w:jc w:val="both"/>
        <w:rPr>
          <w:rFonts w:ascii="Arial" w:hAnsi="Arial" w:cs="Arial"/>
          <w:noProof/>
          <w:sz w:val="24"/>
          <w:szCs w:val="24"/>
          <w:lang w:val="ka-GE" w:eastAsia="en-US"/>
        </w:rPr>
      </w:pPr>
      <w:r w:rsidRPr="004F76F4">
        <w:rPr>
          <w:rFonts w:ascii="Sylfaen" w:hAnsi="Sylfaen" w:cs="Arial"/>
          <w:noProof/>
          <w:sz w:val="24"/>
          <w:szCs w:val="24"/>
          <w:lang w:val="ka-GE" w:eastAsia="en-US"/>
        </w:rPr>
        <w:t>ძალიან ხშირი</w:t>
      </w:r>
      <w:r w:rsidRPr="004F76F4">
        <w:rPr>
          <w:rFonts w:ascii="Arial" w:hAnsi="Arial" w:cs="Arial"/>
          <w:noProof/>
          <w:sz w:val="24"/>
          <w:szCs w:val="24"/>
          <w:lang w:val="ka-GE" w:eastAsia="en-US"/>
        </w:rPr>
        <w:t xml:space="preserve"> (&gt; 1/10)</w:t>
      </w:r>
    </w:p>
    <w:p w14:paraId="26FEEE34" w14:textId="77777777" w:rsidR="004F76F4" w:rsidRPr="004F76F4" w:rsidRDefault="004F76F4" w:rsidP="004F76F4">
      <w:pPr>
        <w:tabs>
          <w:tab w:val="left" w:pos="1800"/>
        </w:tabs>
        <w:jc w:val="both"/>
        <w:rPr>
          <w:rFonts w:ascii="Arial" w:hAnsi="Arial" w:cs="Arial"/>
          <w:noProof/>
          <w:sz w:val="24"/>
          <w:szCs w:val="24"/>
          <w:lang w:val="ka-GE" w:eastAsia="en-US"/>
        </w:rPr>
      </w:pPr>
      <w:r w:rsidRPr="004F76F4">
        <w:rPr>
          <w:rFonts w:ascii="Sylfaen" w:hAnsi="Sylfaen" w:cs="Arial"/>
          <w:noProof/>
          <w:sz w:val="24"/>
          <w:szCs w:val="24"/>
          <w:lang w:val="ka-GE" w:eastAsia="en-US"/>
        </w:rPr>
        <w:t>ხშირი</w:t>
      </w:r>
      <w:r w:rsidRPr="004F76F4">
        <w:rPr>
          <w:rFonts w:ascii="Arial" w:hAnsi="Arial" w:cs="Arial"/>
          <w:noProof/>
          <w:sz w:val="24"/>
          <w:szCs w:val="24"/>
          <w:lang w:val="ka-GE" w:eastAsia="en-US"/>
        </w:rPr>
        <w:t xml:space="preserve"> (&gt; 1/100</w:t>
      </w:r>
      <w:r w:rsidRPr="004F76F4">
        <w:rPr>
          <w:rFonts w:ascii="Sylfaen" w:hAnsi="Sylfaen" w:cs="Arial"/>
          <w:noProof/>
          <w:sz w:val="24"/>
          <w:szCs w:val="24"/>
          <w:lang w:val="ka-GE" w:eastAsia="en-US"/>
        </w:rPr>
        <w:t>;</w:t>
      </w:r>
      <w:r w:rsidRPr="004F76F4">
        <w:rPr>
          <w:rFonts w:ascii="Arial" w:hAnsi="Arial" w:cs="Arial"/>
          <w:noProof/>
          <w:sz w:val="24"/>
          <w:szCs w:val="24"/>
          <w:lang w:val="ka-GE" w:eastAsia="en-US"/>
        </w:rPr>
        <w:t xml:space="preserve"> &lt; 1/10)</w:t>
      </w:r>
    </w:p>
    <w:p w14:paraId="1D04FB30" w14:textId="77777777" w:rsidR="004F76F4" w:rsidRPr="004F76F4" w:rsidRDefault="004F76F4" w:rsidP="004F76F4">
      <w:pPr>
        <w:tabs>
          <w:tab w:val="left" w:pos="1800"/>
        </w:tabs>
        <w:jc w:val="both"/>
        <w:rPr>
          <w:rFonts w:ascii="Arial" w:hAnsi="Arial" w:cs="Arial"/>
          <w:noProof/>
          <w:sz w:val="24"/>
          <w:szCs w:val="24"/>
          <w:lang w:val="ka-GE" w:eastAsia="en-US"/>
        </w:rPr>
      </w:pPr>
      <w:r w:rsidRPr="004F76F4">
        <w:rPr>
          <w:rFonts w:ascii="Sylfaen" w:hAnsi="Sylfaen" w:cs="Arial"/>
          <w:noProof/>
          <w:sz w:val="24"/>
          <w:szCs w:val="24"/>
          <w:lang w:val="ka-GE" w:eastAsia="en-US"/>
        </w:rPr>
        <w:t>არახშირი</w:t>
      </w:r>
      <w:r w:rsidRPr="004F76F4">
        <w:rPr>
          <w:rFonts w:ascii="Arial" w:hAnsi="Arial" w:cs="Arial"/>
          <w:noProof/>
          <w:sz w:val="24"/>
          <w:szCs w:val="24"/>
          <w:lang w:val="ka-GE" w:eastAsia="en-US"/>
        </w:rPr>
        <w:t xml:space="preserve"> (&gt; 1/1,000</w:t>
      </w:r>
      <w:r w:rsidRPr="004F76F4">
        <w:rPr>
          <w:rFonts w:ascii="Sylfaen" w:hAnsi="Sylfaen" w:cs="Arial"/>
          <w:noProof/>
          <w:sz w:val="24"/>
          <w:szCs w:val="24"/>
          <w:lang w:val="ka-GE" w:eastAsia="en-US"/>
        </w:rPr>
        <w:t>;</w:t>
      </w:r>
      <w:r w:rsidRPr="004F76F4">
        <w:rPr>
          <w:rFonts w:ascii="Arial" w:hAnsi="Arial" w:cs="Arial"/>
          <w:noProof/>
          <w:sz w:val="24"/>
          <w:szCs w:val="24"/>
          <w:lang w:val="ka-GE" w:eastAsia="en-US"/>
        </w:rPr>
        <w:t xml:space="preserve"> &lt; 1/100)</w:t>
      </w:r>
    </w:p>
    <w:p w14:paraId="6325200D" w14:textId="77777777" w:rsidR="004F76F4" w:rsidRPr="004F76F4" w:rsidRDefault="004F76F4" w:rsidP="004F76F4">
      <w:pPr>
        <w:tabs>
          <w:tab w:val="left" w:pos="1800"/>
        </w:tabs>
        <w:jc w:val="both"/>
        <w:rPr>
          <w:rFonts w:ascii="Arial" w:hAnsi="Arial" w:cs="Arial"/>
          <w:noProof/>
          <w:sz w:val="24"/>
          <w:szCs w:val="24"/>
          <w:lang w:val="ka-GE" w:eastAsia="en-US"/>
        </w:rPr>
      </w:pPr>
      <w:r w:rsidRPr="004F76F4">
        <w:rPr>
          <w:rFonts w:ascii="Sylfaen" w:hAnsi="Sylfaen" w:cs="Arial"/>
          <w:noProof/>
          <w:sz w:val="24"/>
          <w:szCs w:val="24"/>
          <w:lang w:val="ka-GE" w:eastAsia="en-US"/>
        </w:rPr>
        <w:t>იშვიათი</w:t>
      </w:r>
      <w:r w:rsidRPr="004F76F4">
        <w:rPr>
          <w:rFonts w:ascii="Arial" w:hAnsi="Arial" w:cs="Arial"/>
          <w:noProof/>
          <w:sz w:val="24"/>
          <w:szCs w:val="24"/>
          <w:lang w:val="ka-GE" w:eastAsia="en-US"/>
        </w:rPr>
        <w:t xml:space="preserve"> (&gt; 1/10,000</w:t>
      </w:r>
      <w:r w:rsidRPr="004F76F4">
        <w:rPr>
          <w:rFonts w:ascii="Sylfaen" w:hAnsi="Sylfaen" w:cs="Arial"/>
          <w:noProof/>
          <w:sz w:val="24"/>
          <w:szCs w:val="24"/>
          <w:lang w:val="ka-GE" w:eastAsia="en-US"/>
        </w:rPr>
        <w:t>;</w:t>
      </w:r>
      <w:r w:rsidRPr="004F76F4">
        <w:rPr>
          <w:rFonts w:ascii="Arial" w:hAnsi="Arial" w:cs="Arial"/>
          <w:noProof/>
          <w:sz w:val="24"/>
          <w:szCs w:val="24"/>
          <w:lang w:val="ka-GE" w:eastAsia="en-US"/>
        </w:rPr>
        <w:t xml:space="preserve"> 1/1,000)</w:t>
      </w:r>
    </w:p>
    <w:p w14:paraId="224B74BB" w14:textId="77777777" w:rsidR="004F76F4" w:rsidRPr="004F76F4" w:rsidRDefault="004F76F4" w:rsidP="004F76F4">
      <w:pPr>
        <w:tabs>
          <w:tab w:val="left" w:pos="1800"/>
        </w:tabs>
        <w:jc w:val="both"/>
        <w:rPr>
          <w:rFonts w:ascii="Arial" w:hAnsi="Arial" w:cs="Arial"/>
          <w:noProof/>
          <w:sz w:val="24"/>
          <w:szCs w:val="24"/>
          <w:lang w:val="ka-GE" w:eastAsia="en-US"/>
        </w:rPr>
      </w:pPr>
      <w:r w:rsidRPr="004F76F4">
        <w:rPr>
          <w:rFonts w:ascii="Sylfaen" w:hAnsi="Sylfaen" w:cs="Arial"/>
          <w:noProof/>
          <w:sz w:val="24"/>
          <w:szCs w:val="24"/>
          <w:lang w:val="ka-GE" w:eastAsia="en-US"/>
        </w:rPr>
        <w:t>ძალიან იშვიათი</w:t>
      </w:r>
      <w:r w:rsidRPr="004F76F4">
        <w:rPr>
          <w:rFonts w:ascii="Arial" w:hAnsi="Arial" w:cs="Arial"/>
          <w:noProof/>
          <w:sz w:val="24"/>
          <w:szCs w:val="24"/>
          <w:lang w:val="ka-GE" w:eastAsia="en-US"/>
        </w:rPr>
        <w:t xml:space="preserve"> (&lt; 1/10,000)</w:t>
      </w:r>
    </w:p>
    <w:p w14:paraId="43C9F3E3"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უცნობი (არსებული მონაცემებით შეფასება ვერ ხერხდება). </w:t>
      </w:r>
    </w:p>
    <w:p w14:paraId="359E3005" w14:textId="77777777" w:rsidR="004F76F4" w:rsidRPr="004F76F4" w:rsidRDefault="004F76F4" w:rsidP="004F76F4">
      <w:pPr>
        <w:jc w:val="both"/>
        <w:rPr>
          <w:rFonts w:ascii="Sylfaen" w:hAnsi="Sylfaen" w:cs="Arial"/>
          <w:noProof/>
          <w:sz w:val="24"/>
          <w:szCs w:val="24"/>
          <w:lang w:val="ka-GE" w:eastAsia="en-US"/>
        </w:rPr>
      </w:pPr>
    </w:p>
    <w:p w14:paraId="10A50084" w14:textId="77777777" w:rsidR="004F76F4" w:rsidRPr="004F76F4" w:rsidRDefault="004F76F4" w:rsidP="004F76F4">
      <w:pPr>
        <w:jc w:val="both"/>
        <w:rPr>
          <w:rFonts w:ascii="Sylfaen" w:hAnsi="Sylfaen" w:cs="Arial"/>
          <w:i/>
          <w:noProof/>
          <w:sz w:val="24"/>
          <w:szCs w:val="24"/>
          <w:u w:val="single"/>
          <w:lang w:val="ka-GE" w:eastAsia="en-US"/>
        </w:rPr>
      </w:pPr>
      <w:r w:rsidRPr="004F76F4">
        <w:rPr>
          <w:rFonts w:ascii="Sylfaen" w:hAnsi="Sylfaen" w:cs="Arial"/>
          <w:i/>
          <w:noProof/>
          <w:sz w:val="24"/>
          <w:szCs w:val="24"/>
          <w:u w:val="single"/>
          <w:lang w:val="ka-GE" w:eastAsia="en-US"/>
        </w:rPr>
        <w:t>იმუნური სისტემის დარღვევები</w:t>
      </w:r>
    </w:p>
    <w:p w14:paraId="2511937C"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ძალიან იშვიათი: ჰიპერმგრძნობელობის რეაქციები, მაგ. ოფლიანობა, ტაქიკარდია და კანის რეაქციები, როგორიცაა  ქავილი და ჭინჭრის ციება. </w:t>
      </w:r>
    </w:p>
    <w:p w14:paraId="2E53B31F" w14:textId="77777777" w:rsidR="004F76F4" w:rsidRPr="004F76F4" w:rsidRDefault="004F76F4" w:rsidP="004F76F4">
      <w:pPr>
        <w:jc w:val="both"/>
        <w:rPr>
          <w:rFonts w:ascii="Sylfaen" w:hAnsi="Sylfaen" w:cs="Arial"/>
          <w:noProof/>
          <w:sz w:val="24"/>
          <w:szCs w:val="24"/>
          <w:lang w:val="ka-GE" w:eastAsia="en-US"/>
        </w:rPr>
      </w:pPr>
    </w:p>
    <w:p w14:paraId="5C0B7324" w14:textId="77777777" w:rsidR="004F76F4" w:rsidRPr="004F76F4" w:rsidRDefault="004F76F4" w:rsidP="004F76F4">
      <w:pPr>
        <w:jc w:val="both"/>
        <w:rPr>
          <w:rFonts w:ascii="Sylfaen" w:hAnsi="Sylfaen" w:cs="Arial"/>
          <w:i/>
          <w:noProof/>
          <w:sz w:val="24"/>
          <w:szCs w:val="24"/>
          <w:u w:val="single"/>
          <w:lang w:val="ka-GE" w:eastAsia="en-US"/>
        </w:rPr>
      </w:pPr>
      <w:r w:rsidRPr="004F76F4">
        <w:rPr>
          <w:rFonts w:ascii="Sylfaen" w:hAnsi="Sylfaen" w:cs="Arial"/>
          <w:i/>
          <w:noProof/>
          <w:sz w:val="24"/>
          <w:szCs w:val="24"/>
          <w:u w:val="single"/>
          <w:lang w:val="ka-GE" w:eastAsia="en-US"/>
        </w:rPr>
        <w:t>ნერვული სისტემის დარღვევები</w:t>
      </w:r>
    </w:p>
    <w:p w14:paraId="3E4D25D6"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უცნობი: B6 ვიტამინის 50 მგ-ზე მეტი დღიური დოზების ხანგრძლივმა მიღებამ (6-12 თვეზე მეტი) შეიძლება გამოიწვიოს პერიფერიული სენსორული ნეიროპათია. </w:t>
      </w:r>
    </w:p>
    <w:p w14:paraId="30B162F4" w14:textId="77777777" w:rsidR="004F76F4" w:rsidRPr="004F76F4" w:rsidRDefault="004F76F4" w:rsidP="004F76F4">
      <w:pPr>
        <w:jc w:val="both"/>
        <w:rPr>
          <w:rFonts w:ascii="Sylfaen" w:hAnsi="Sylfaen" w:cs="Arial"/>
          <w:noProof/>
          <w:sz w:val="24"/>
          <w:szCs w:val="24"/>
          <w:lang w:val="ka-GE" w:eastAsia="en-US"/>
        </w:rPr>
      </w:pPr>
    </w:p>
    <w:p w14:paraId="202DE6CF" w14:textId="77777777" w:rsidR="004F76F4" w:rsidRPr="004F76F4" w:rsidRDefault="004F76F4" w:rsidP="004F76F4">
      <w:pPr>
        <w:jc w:val="both"/>
        <w:rPr>
          <w:rFonts w:ascii="Sylfaen" w:hAnsi="Sylfaen" w:cs="Arial"/>
          <w:i/>
          <w:noProof/>
          <w:sz w:val="24"/>
          <w:szCs w:val="24"/>
          <w:u w:val="single"/>
          <w:lang w:val="ka-GE" w:eastAsia="en-US"/>
        </w:rPr>
      </w:pPr>
      <w:r w:rsidRPr="004F76F4">
        <w:rPr>
          <w:rFonts w:ascii="Sylfaen" w:hAnsi="Sylfaen" w:cs="Arial"/>
          <w:noProof/>
          <w:sz w:val="24"/>
          <w:szCs w:val="24"/>
          <w:lang w:val="ka-GE" w:eastAsia="en-US"/>
        </w:rPr>
        <w:t xml:space="preserve"> </w:t>
      </w:r>
      <w:r w:rsidRPr="004F76F4">
        <w:rPr>
          <w:rFonts w:ascii="Sylfaen" w:hAnsi="Sylfaen" w:cs="Arial"/>
          <w:i/>
          <w:noProof/>
          <w:sz w:val="24"/>
          <w:szCs w:val="24"/>
          <w:u w:val="single"/>
          <w:lang w:val="ka-GE" w:eastAsia="en-US"/>
        </w:rPr>
        <w:t>კუჭ-ნაწლავის მხრივ დარღვევები</w:t>
      </w:r>
    </w:p>
    <w:p w14:paraId="1BFC6792"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იშვიათი: კუჭ-ნაწლავური ჩივილები, როგორიცაა გულისრევა, ღებინება, დიარია და მუცლის ტკივილი. </w:t>
      </w:r>
    </w:p>
    <w:p w14:paraId="3D1E13BF" w14:textId="77777777" w:rsidR="004F76F4" w:rsidRPr="004F76F4" w:rsidRDefault="004F76F4" w:rsidP="004F76F4">
      <w:pPr>
        <w:jc w:val="both"/>
        <w:rPr>
          <w:rFonts w:ascii="Sylfaen" w:hAnsi="Sylfaen" w:cs="Arial"/>
          <w:noProof/>
          <w:sz w:val="24"/>
          <w:szCs w:val="24"/>
          <w:lang w:val="ka-GE" w:eastAsia="en-US"/>
        </w:rPr>
      </w:pPr>
    </w:p>
    <w:p w14:paraId="45E859B5" w14:textId="77777777" w:rsidR="004F76F4" w:rsidRPr="004F76F4" w:rsidRDefault="004F76F4" w:rsidP="004F76F4">
      <w:pPr>
        <w:jc w:val="both"/>
        <w:rPr>
          <w:rFonts w:ascii="Sylfaen" w:hAnsi="Sylfaen" w:cs="Arial"/>
          <w:i/>
          <w:noProof/>
          <w:sz w:val="24"/>
          <w:szCs w:val="24"/>
          <w:u w:val="single"/>
          <w:lang w:val="ka-GE" w:eastAsia="en-US"/>
        </w:rPr>
      </w:pPr>
      <w:r w:rsidRPr="004F76F4">
        <w:rPr>
          <w:rFonts w:ascii="Sylfaen" w:hAnsi="Sylfaen" w:cs="Arial"/>
          <w:i/>
          <w:noProof/>
          <w:sz w:val="24"/>
          <w:szCs w:val="24"/>
          <w:u w:val="single"/>
          <w:lang w:val="ka-GE" w:eastAsia="en-US"/>
        </w:rPr>
        <w:t>ზოგადი დარღვევები და რეაქციები შეყვანის ადგილზე</w:t>
      </w:r>
    </w:p>
    <w:p w14:paraId="7DC64DFD"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იშვიათი: თავის ტკივილი, თავბრუსხვევა. </w:t>
      </w:r>
    </w:p>
    <w:p w14:paraId="3BAAEFED" w14:textId="77777777" w:rsidR="004F76F4" w:rsidRPr="004F76F4" w:rsidRDefault="004F76F4" w:rsidP="004F76F4">
      <w:pPr>
        <w:jc w:val="both"/>
        <w:rPr>
          <w:rFonts w:ascii="Sylfaen" w:hAnsi="Sylfaen" w:cs="Arial"/>
          <w:noProof/>
          <w:sz w:val="24"/>
          <w:szCs w:val="24"/>
          <w:lang w:val="ka-GE" w:eastAsia="en-US"/>
        </w:rPr>
      </w:pPr>
    </w:p>
    <w:p w14:paraId="27C32B3E"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u w:val="single"/>
          <w:lang w:val="ka-GE"/>
        </w:rPr>
      </w:pPr>
      <w:r w:rsidRPr="004F76F4">
        <w:rPr>
          <w:rFonts w:ascii="Sylfaen" w:hAnsi="Sylfaen" w:cs="Arial"/>
          <w:noProof/>
          <w:sz w:val="24"/>
          <w:szCs w:val="24"/>
          <w:u w:val="single"/>
          <w:lang w:val="ka-GE"/>
        </w:rPr>
        <w:t>საეჭვო გვერდითი მოვლენების შეტყობინება</w:t>
      </w:r>
    </w:p>
    <w:p w14:paraId="055EC2B1"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სამკურნალო პრეპარატის ავტორიზაციის შემდეგ საეჭვო გვერდითი მოვლენების შესახებ ინფორმაციის მოწოდება ძალიან მნიშვნელოვანია. ეს სამკურნალო პრეპარატის სარგებელი/რისკის ბალანსის უწყვეტი მონიტორინგის საშუალებას იძლევა. ჯანდაცვის სპეციალისტებს მოეთხოვებათ ეროვნული რეპორტინგის სისტემის საშუალებით გააკეთონ შეტყობინება ნებისმიერი საეჭვო გვერდითი მოვლენის შესახებ.  </w:t>
      </w:r>
    </w:p>
    <w:p w14:paraId="1F5FB9A0"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3660E0E1" w14:textId="77777777" w:rsidR="004F76F4" w:rsidRPr="004F76F4" w:rsidRDefault="004F76F4" w:rsidP="004F76F4">
      <w:pPr>
        <w:pStyle w:val="ListParagraph"/>
        <w:numPr>
          <w:ilvl w:val="1"/>
          <w:numId w:val="2"/>
        </w:numPr>
        <w:tabs>
          <w:tab w:val="left" w:pos="567"/>
          <w:tab w:val="left" w:pos="2520"/>
          <w:tab w:val="left" w:pos="3960"/>
          <w:tab w:val="left" w:pos="4920"/>
          <w:tab w:val="left" w:pos="7200"/>
        </w:tabs>
        <w:ind w:left="0" w:firstLine="0"/>
        <w:contextualSpacing w:val="0"/>
        <w:jc w:val="both"/>
        <w:rPr>
          <w:rFonts w:ascii="Sylfaen" w:hAnsi="Sylfaen" w:cs="Arial"/>
          <w:b/>
          <w:noProof/>
          <w:sz w:val="24"/>
          <w:szCs w:val="24"/>
          <w:lang w:val="ka-GE"/>
        </w:rPr>
      </w:pPr>
      <w:r w:rsidRPr="004F76F4">
        <w:rPr>
          <w:rFonts w:ascii="Sylfaen" w:hAnsi="Sylfaen" w:cs="Arial"/>
          <w:b/>
          <w:noProof/>
          <w:sz w:val="24"/>
          <w:szCs w:val="24"/>
          <w:lang w:val="ka-GE"/>
        </w:rPr>
        <w:t>ჭარბი დოზირება</w:t>
      </w:r>
    </w:p>
    <w:p w14:paraId="3D9FE298"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b/>
          <w:noProof/>
          <w:sz w:val="24"/>
          <w:szCs w:val="24"/>
          <w:lang w:val="ka-GE"/>
        </w:rPr>
      </w:pPr>
    </w:p>
    <w:p w14:paraId="39C4A64E"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bCs/>
          <w:noProof/>
          <w:sz w:val="24"/>
          <w:szCs w:val="24"/>
          <w:u w:val="single"/>
          <w:lang w:val="ka-GE"/>
        </w:rPr>
      </w:pPr>
      <w:r w:rsidRPr="004F76F4">
        <w:rPr>
          <w:rFonts w:ascii="Sylfaen" w:hAnsi="Sylfaen" w:cs="Arial"/>
          <w:bCs/>
          <w:noProof/>
          <w:sz w:val="24"/>
          <w:szCs w:val="24"/>
          <w:u w:val="single"/>
          <w:lang w:val="ka-GE"/>
        </w:rPr>
        <w:t>B1 ვიტამინი</w:t>
      </w:r>
    </w:p>
    <w:p w14:paraId="482CC3F2"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თიამინს ფართო თერაპიული სპექტრი გააჩნია. ძალიან მაღალ დოზებს (&gt; 10 გრ) გააჩნიათ განგლიო-მაბლოკირებელი ეფექტი, და კურარეს მსგავსად თრგუნავენ ნერვული იმპულსების გატარებას.   </w:t>
      </w:r>
    </w:p>
    <w:p w14:paraId="7865EAEF"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78F2D2B9"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u w:val="single"/>
          <w:lang w:val="ka-GE"/>
        </w:rPr>
      </w:pPr>
      <w:r w:rsidRPr="004F76F4">
        <w:rPr>
          <w:rFonts w:ascii="Sylfaen" w:hAnsi="Sylfaen" w:cs="Arial"/>
          <w:noProof/>
          <w:sz w:val="24"/>
          <w:szCs w:val="24"/>
          <w:u w:val="single"/>
          <w:lang w:val="ka-GE"/>
        </w:rPr>
        <w:t>B6 ვიტამინი</w:t>
      </w:r>
    </w:p>
    <w:p w14:paraId="371EC732" w14:textId="77777777" w:rsidR="0062233C" w:rsidRDefault="0062233C"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70C9C132" w14:textId="77777777" w:rsidR="0062233C" w:rsidRDefault="0062233C"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7A3DB850" w14:textId="77777777" w:rsidR="0062233C" w:rsidRDefault="0062233C"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168B05CF" w14:textId="070587F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B6 ვიტამინის ტოქსიკური პოტენციული შეიძლება ჩაითვალოს, როგორც ძალიან დაბალი. თუმცა, B6 ვიტამინის 50 მგ-ზე მეტი დღიური დოზების ხანგრძლივმა გამოყენებან ( &gt;6-12 თვე), შეიძლება გამოიწვიოს პერიფერიული სენსორული ნეიროპათია. </w:t>
      </w:r>
    </w:p>
    <w:p w14:paraId="6E6AA0C0"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B6 ვიტამინის 1 გრ-ზე მეტი  დღიური დოზების ხანგრძლივმა მიღებამ (&gt; 2 თვე) შეიძლება ნეიროტოქსიკური ეფექტები გამოიწვიოს. </w:t>
      </w:r>
    </w:p>
    <w:p w14:paraId="0BA5DBB1"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დღიურად 2გრ-ზე მეტი მიღების შემდეგ, არის აღწერილი ატაქსიით მიმდინარე ნეროპათიების და მგრძნობელობის დარღვევების,  ეეგ ცვლილებებით ცერებრალური კრუნჩხვებისა და იშვიათ შემთხვევებში ჰიპოქრომული ანემიისა და სებორეული დერმატიტის განვითარების შემთხვევები. </w:t>
      </w:r>
    </w:p>
    <w:p w14:paraId="74E9C52D"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473E522C"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u w:val="single"/>
          <w:lang w:val="ka-GE"/>
        </w:rPr>
      </w:pPr>
      <w:r w:rsidRPr="004F76F4">
        <w:rPr>
          <w:rFonts w:ascii="Sylfaen" w:hAnsi="Sylfaen" w:cs="Arial"/>
          <w:noProof/>
          <w:sz w:val="24"/>
          <w:szCs w:val="24"/>
          <w:u w:val="single"/>
          <w:lang w:val="ka-GE"/>
        </w:rPr>
        <w:t>B12 ვიტამინი</w:t>
      </w:r>
    </w:p>
    <w:p w14:paraId="3CE34185"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მაღალი დოზების პარენტერალური (იშვიათ შემთხვევები პერორალური გამოყენების შემდეგ) გამოყენების შემდეგ აღინიშნებოდა ალერგიული რეაქციები, კანის ეგზემატოზური ცვლილებები და აკნეს კეთილთვისებიანი ფორმები. </w:t>
      </w:r>
    </w:p>
    <w:p w14:paraId="7555557E" w14:textId="77777777" w:rsidR="004F76F4" w:rsidRPr="004F76F4" w:rsidRDefault="004F76F4" w:rsidP="004F76F4">
      <w:pPr>
        <w:numPr>
          <w:ilvl w:val="12"/>
          <w:numId w:val="0"/>
        </w:numPr>
        <w:jc w:val="both"/>
        <w:rPr>
          <w:rFonts w:ascii="Sylfaen" w:hAnsi="Sylfaen" w:cs="Arial"/>
          <w:noProof/>
          <w:sz w:val="24"/>
          <w:szCs w:val="24"/>
          <w:lang w:val="ka-GE" w:eastAsia="en-US"/>
        </w:rPr>
      </w:pPr>
    </w:p>
    <w:p w14:paraId="65BDBC3B" w14:textId="77777777" w:rsidR="004F76F4" w:rsidRPr="004F76F4" w:rsidRDefault="004F76F4" w:rsidP="004F76F4">
      <w:pPr>
        <w:pStyle w:val="ListParagraph"/>
        <w:numPr>
          <w:ilvl w:val="0"/>
          <w:numId w:val="1"/>
        </w:numPr>
        <w:ind w:left="0" w:firstLine="0"/>
        <w:contextualSpacing w:val="0"/>
        <w:jc w:val="both"/>
        <w:rPr>
          <w:rFonts w:ascii="Sylfaen" w:hAnsi="Sylfaen" w:cs="Arial"/>
          <w:b/>
          <w:noProof/>
          <w:sz w:val="24"/>
          <w:szCs w:val="24"/>
          <w:lang w:val="ka-GE" w:eastAsia="en-US"/>
        </w:rPr>
      </w:pPr>
      <w:r w:rsidRPr="004F76F4">
        <w:rPr>
          <w:rFonts w:ascii="Sylfaen" w:hAnsi="Sylfaen" w:cs="Arial"/>
          <w:b/>
          <w:noProof/>
          <w:sz w:val="24"/>
          <w:szCs w:val="24"/>
          <w:lang w:val="ka-GE" w:eastAsia="en-US"/>
        </w:rPr>
        <w:t>ფარმაკოლოგიური თვისებები</w:t>
      </w:r>
    </w:p>
    <w:p w14:paraId="3AEB0E35" w14:textId="77777777" w:rsidR="004F76F4" w:rsidRPr="004F76F4" w:rsidRDefault="004F76F4" w:rsidP="004F76F4">
      <w:pPr>
        <w:pStyle w:val="ListParagraph"/>
        <w:numPr>
          <w:ilvl w:val="1"/>
          <w:numId w:val="1"/>
        </w:numPr>
        <w:ind w:left="0" w:firstLine="0"/>
        <w:contextualSpacing w:val="0"/>
        <w:jc w:val="both"/>
        <w:rPr>
          <w:rFonts w:ascii="Sylfaen" w:hAnsi="Sylfaen" w:cs="Arial"/>
          <w:b/>
          <w:noProof/>
          <w:sz w:val="24"/>
          <w:szCs w:val="24"/>
          <w:lang w:val="ka-GE" w:eastAsia="en-US"/>
        </w:rPr>
      </w:pPr>
      <w:r w:rsidRPr="004F76F4">
        <w:rPr>
          <w:rFonts w:ascii="Sylfaen" w:hAnsi="Sylfaen" w:cs="Arial"/>
          <w:b/>
          <w:noProof/>
          <w:sz w:val="24"/>
          <w:szCs w:val="24"/>
          <w:lang w:val="ka-GE" w:eastAsia="en-US"/>
        </w:rPr>
        <w:t>ფარმაკოდინამიკური თვისებები</w:t>
      </w:r>
    </w:p>
    <w:p w14:paraId="668CDADF" w14:textId="77777777" w:rsidR="004F76F4" w:rsidRPr="004F76F4" w:rsidRDefault="004F76F4" w:rsidP="004F76F4">
      <w:pPr>
        <w:jc w:val="both"/>
        <w:rPr>
          <w:rFonts w:ascii="Sylfaen" w:hAnsi="Sylfaen" w:cs="Arial"/>
          <w:b/>
          <w:noProof/>
          <w:sz w:val="24"/>
          <w:szCs w:val="24"/>
          <w:lang w:val="ka-GE" w:eastAsia="en-US"/>
        </w:rPr>
      </w:pPr>
    </w:p>
    <w:p w14:paraId="44B59220"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ფარმაკოთერაპიული ჯგუფი: B1 ვიტამინი კომბინაციაში B6 და/ან B12 ვიტამინთან. </w:t>
      </w:r>
    </w:p>
    <w:p w14:paraId="04B3ABCC"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ათქ კოდი: A11DB</w:t>
      </w:r>
    </w:p>
    <w:p w14:paraId="7BD2603C" w14:textId="77777777" w:rsidR="004F76F4" w:rsidRPr="004F76F4" w:rsidRDefault="004F76F4" w:rsidP="004F76F4">
      <w:pPr>
        <w:jc w:val="both"/>
        <w:rPr>
          <w:rFonts w:ascii="Sylfaen" w:hAnsi="Sylfaen" w:cs="Arial"/>
          <w:noProof/>
          <w:sz w:val="24"/>
          <w:szCs w:val="24"/>
          <w:lang w:val="ka-GE" w:eastAsia="en-US"/>
        </w:rPr>
      </w:pPr>
    </w:p>
    <w:p w14:paraId="50C2E7AA"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&lt;ნეირომულტივიტი&gt; შეიცავს B ვიტამინის კომპლექსის ნეიროტროპული აქტიური ნივთიერებების კომბინაციას. შემადგენელი ვიტამინები - თიამინი (B1), პირიდოქსინი (B6) და კობალამინი (B12) - კოენზიმების სახით ცენტრალური და პერიფერიული ნერვულის სისტემის შუალედურ მეტაბოლიზმში მნიშვნელოვან როლს თამაშობენ.    </w:t>
      </w:r>
    </w:p>
    <w:p w14:paraId="603E46FD"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ყველა ვიტამინის მსგავსად, ისინი მნიშვნელოვანი საკვები ნივთიერებებია, რომელთა სინთეზი ორგანიზმს თვითონ არ შეუძლია. </w:t>
      </w:r>
    </w:p>
    <w:p w14:paraId="503636C5"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B1, B6 და B12 ვიტამინების თერაპიულმა მიწოდებამ შეიძლება შეავსოს ვიტამინების არაადექვატური მიღებით გამოწვეული დეფიციტი და ამრიგად უზრუნველყოს კოენზიმების საჭირო რაოდენობის ხელმისაწვდომობა. </w:t>
      </w:r>
    </w:p>
    <w:p w14:paraId="4ADFFBC2"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აღნიშნული ვიტამინების თერაპიული გამოყენება ნერვული სისტემის დარღვევების გამო აფერხებს ვიტამინის დეფიციტის თანმხლებ მდგომარეობების განვითარებას (სავარაუდოდ მომატებული მოთხოვნის გამო დარღვევასთან დაკავშირებით) და ასტიმულირებს აღდგენის ბუნებრივ მექანიზმებს.  </w:t>
      </w:r>
    </w:p>
    <w:p w14:paraId="0DCA134D"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ცხოველებზე ჩატარებული კვლევების შედეგები B1 ვიტამინის ანალგეზიურ აქტივობაზე  მიუთითებენ. </w:t>
      </w:r>
    </w:p>
    <w:p w14:paraId="1C5331F0" w14:textId="77777777" w:rsidR="004F76F4" w:rsidRPr="004F76F4" w:rsidRDefault="004F76F4" w:rsidP="004F76F4">
      <w:pPr>
        <w:jc w:val="both"/>
        <w:rPr>
          <w:rFonts w:ascii="Sylfaen" w:hAnsi="Sylfaen" w:cs="Arial"/>
          <w:noProof/>
          <w:sz w:val="24"/>
          <w:szCs w:val="24"/>
          <w:lang w:val="ka-GE" w:eastAsia="en-US"/>
        </w:rPr>
      </w:pPr>
    </w:p>
    <w:p w14:paraId="3EAF8A2C" w14:textId="77777777" w:rsidR="004F76F4" w:rsidRPr="004F76F4" w:rsidRDefault="004F76F4" w:rsidP="004F76F4">
      <w:pPr>
        <w:pStyle w:val="ListParagraph"/>
        <w:numPr>
          <w:ilvl w:val="1"/>
          <w:numId w:val="1"/>
        </w:numPr>
        <w:ind w:left="0" w:firstLine="0"/>
        <w:contextualSpacing w:val="0"/>
        <w:jc w:val="both"/>
        <w:rPr>
          <w:rFonts w:ascii="Sylfaen" w:hAnsi="Sylfaen" w:cs="Arial"/>
          <w:b/>
          <w:noProof/>
          <w:sz w:val="24"/>
          <w:szCs w:val="24"/>
          <w:lang w:val="ka-GE" w:eastAsia="en-US"/>
        </w:rPr>
      </w:pPr>
      <w:r w:rsidRPr="004F76F4">
        <w:rPr>
          <w:rFonts w:ascii="Sylfaen" w:hAnsi="Sylfaen" w:cs="Arial"/>
          <w:b/>
          <w:noProof/>
          <w:sz w:val="24"/>
          <w:szCs w:val="24"/>
          <w:lang w:val="ka-GE" w:eastAsia="en-US"/>
        </w:rPr>
        <w:t>ფარმაკოკინეტიკური თვისებები</w:t>
      </w:r>
    </w:p>
    <w:p w14:paraId="6F54867C" w14:textId="77777777" w:rsidR="004F76F4" w:rsidRPr="004F76F4" w:rsidRDefault="004F76F4" w:rsidP="004F76F4">
      <w:pPr>
        <w:jc w:val="both"/>
        <w:rPr>
          <w:rFonts w:ascii="Sylfaen" w:hAnsi="Sylfaen" w:cs="Arial"/>
          <w:b/>
          <w:noProof/>
          <w:sz w:val="24"/>
          <w:szCs w:val="24"/>
          <w:lang w:val="ka-GE" w:eastAsia="en-US"/>
        </w:rPr>
      </w:pPr>
    </w:p>
    <w:p w14:paraId="18B82E59" w14:textId="77777777" w:rsidR="004F76F4" w:rsidRPr="004F76F4" w:rsidRDefault="004F76F4" w:rsidP="004F76F4">
      <w:pPr>
        <w:jc w:val="both"/>
        <w:rPr>
          <w:rFonts w:ascii="Sylfaen" w:hAnsi="Sylfaen" w:cs="Arial"/>
          <w:noProof/>
          <w:sz w:val="24"/>
          <w:szCs w:val="24"/>
          <w:u w:val="single"/>
          <w:lang w:val="ka-GE" w:eastAsia="en-US"/>
        </w:rPr>
      </w:pPr>
      <w:r w:rsidRPr="004F76F4">
        <w:rPr>
          <w:rFonts w:ascii="Sylfaen" w:hAnsi="Sylfaen" w:cs="Arial"/>
          <w:noProof/>
          <w:sz w:val="24"/>
          <w:szCs w:val="24"/>
          <w:u w:val="single"/>
          <w:lang w:val="ka-GE" w:eastAsia="en-US"/>
        </w:rPr>
        <w:t>B1 ვიტამინი</w:t>
      </w:r>
    </w:p>
    <w:p w14:paraId="6CD6C400"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პერორალური მიღების შემდეგ, თიამინს გააჩნია დოზა-დამოკიდებული ორმაგი სატრანსპორტო მექანიზმი: აქტიური შეწოვა &lt; 2 მკმოლ/ლ კონცენტრაციებზე და პასიური დიფუზია  &gt; 2 მკმოლ/ლ კონცენტრაციებით. ნახევრად გამოყოფის პერიოდი დაახლოებით 4 საათია.</w:t>
      </w:r>
    </w:p>
    <w:p w14:paraId="062A32A2"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t xml:space="preserve">ორგანიზმს შეუძლია თიამინის დაახლოებით 30 მგ-ის შენახვა. თიამინის სწრაფი მეტაბოლიზმის გამო, რეზერვის უნარი საკმაოდ შეზღუდულია (4-10 დღე). </w:t>
      </w:r>
    </w:p>
    <w:p w14:paraId="1BE5236E" w14:textId="77777777" w:rsidR="004F76F4" w:rsidRPr="004F76F4" w:rsidRDefault="004F76F4" w:rsidP="004F76F4">
      <w:pPr>
        <w:jc w:val="both"/>
        <w:rPr>
          <w:rFonts w:ascii="Sylfaen" w:hAnsi="Sylfaen" w:cs="Arial"/>
          <w:noProof/>
          <w:sz w:val="24"/>
          <w:szCs w:val="24"/>
          <w:lang w:val="ka-GE" w:eastAsia="en-US"/>
        </w:rPr>
      </w:pPr>
    </w:p>
    <w:p w14:paraId="408CFDBD" w14:textId="77777777" w:rsidR="004F76F4" w:rsidRPr="004F76F4" w:rsidRDefault="004F76F4" w:rsidP="004F76F4">
      <w:pPr>
        <w:jc w:val="both"/>
        <w:rPr>
          <w:rFonts w:ascii="Sylfaen" w:hAnsi="Sylfaen" w:cs="Arial"/>
          <w:noProof/>
          <w:sz w:val="24"/>
          <w:szCs w:val="24"/>
          <w:u w:val="single"/>
          <w:lang w:val="ka-GE" w:eastAsia="en-US"/>
        </w:rPr>
      </w:pPr>
      <w:r w:rsidRPr="004F76F4">
        <w:rPr>
          <w:rFonts w:ascii="Sylfaen" w:hAnsi="Sylfaen" w:cs="Arial"/>
          <w:noProof/>
          <w:sz w:val="24"/>
          <w:szCs w:val="24"/>
          <w:u w:val="single"/>
          <w:lang w:val="ka-GE" w:eastAsia="en-US"/>
        </w:rPr>
        <w:t>B6 ვიტამინი</w:t>
      </w:r>
    </w:p>
    <w:p w14:paraId="7BEF2023" w14:textId="77777777" w:rsidR="004F76F4" w:rsidRPr="004F76F4" w:rsidRDefault="004F76F4" w:rsidP="004F76F4">
      <w:pPr>
        <w:jc w:val="both"/>
        <w:rPr>
          <w:rFonts w:ascii="Sylfaen" w:hAnsi="Sylfaen" w:cs="Arial"/>
          <w:noProof/>
          <w:sz w:val="24"/>
          <w:szCs w:val="24"/>
          <w:lang w:val="ka-GE" w:eastAsia="en-US"/>
        </w:rPr>
      </w:pPr>
      <w:r w:rsidRPr="004F76F4">
        <w:rPr>
          <w:rFonts w:ascii="Sylfaen" w:hAnsi="Sylfaen" w:cs="Arial"/>
          <w:noProof/>
          <w:sz w:val="24"/>
          <w:szCs w:val="24"/>
          <w:lang w:val="ka-GE" w:eastAsia="en-US"/>
        </w:rPr>
        <w:lastRenderedPageBreak/>
        <w:t xml:space="preserve">პირიდოქსინი სწრაფად შეიწოვება, ძირითადად საჭმლი-მომნელების გზების ზედა ნაწილში და გამოიყოფა მაქსიმუმ 2-5 საათში. ორგანიზმში შეუძლია დაახლოებით 40-150 მგ შენახვა. შარდში გამოიყოფა 1,7 – 3,6 მგ დღეში. </w:t>
      </w:r>
    </w:p>
    <w:p w14:paraId="1FB0CECF" w14:textId="77777777" w:rsidR="004F76F4" w:rsidRPr="004F76F4" w:rsidRDefault="004F76F4" w:rsidP="004F76F4">
      <w:pPr>
        <w:tabs>
          <w:tab w:val="left" w:pos="567"/>
        </w:tabs>
        <w:jc w:val="both"/>
        <w:rPr>
          <w:rFonts w:ascii="Sylfaen" w:hAnsi="Sylfaen" w:cs="Arial"/>
          <w:noProof/>
          <w:sz w:val="24"/>
          <w:szCs w:val="24"/>
          <w:lang w:val="ka-GE"/>
        </w:rPr>
      </w:pPr>
    </w:p>
    <w:p w14:paraId="5CFAAAD9" w14:textId="77777777" w:rsidR="004F76F4" w:rsidRPr="004F76F4" w:rsidRDefault="004F76F4" w:rsidP="004F76F4">
      <w:pPr>
        <w:tabs>
          <w:tab w:val="left" w:pos="567"/>
        </w:tabs>
        <w:jc w:val="both"/>
        <w:rPr>
          <w:rFonts w:ascii="Sylfaen" w:hAnsi="Sylfaen" w:cs="Arial"/>
          <w:noProof/>
          <w:sz w:val="24"/>
          <w:szCs w:val="24"/>
          <w:u w:val="single"/>
          <w:lang w:val="ka-GE"/>
        </w:rPr>
      </w:pPr>
      <w:r w:rsidRPr="004F76F4">
        <w:rPr>
          <w:rFonts w:ascii="Sylfaen" w:hAnsi="Sylfaen" w:cs="Arial"/>
          <w:noProof/>
          <w:sz w:val="24"/>
          <w:szCs w:val="24"/>
          <w:u w:val="single"/>
          <w:lang w:val="ka-GE"/>
        </w:rPr>
        <w:t>B12 ვიტამინი</w:t>
      </w:r>
    </w:p>
    <w:p w14:paraId="177923E5" w14:textId="77777777" w:rsidR="004F76F4" w:rsidRPr="004F76F4" w:rsidRDefault="004F76F4" w:rsidP="004F76F4">
      <w:pPr>
        <w:tabs>
          <w:tab w:val="left" w:pos="567"/>
        </w:tabs>
        <w:jc w:val="both"/>
        <w:rPr>
          <w:rFonts w:ascii="Sylfaen" w:hAnsi="Sylfaen" w:cs="Arial"/>
          <w:noProof/>
          <w:sz w:val="24"/>
          <w:szCs w:val="24"/>
          <w:lang w:val="ka-GE"/>
        </w:rPr>
      </w:pPr>
      <w:r w:rsidRPr="004F76F4">
        <w:rPr>
          <w:rFonts w:ascii="Sylfaen" w:hAnsi="Sylfaen" w:cs="Arial"/>
          <w:noProof/>
          <w:sz w:val="24"/>
          <w:szCs w:val="24"/>
          <w:lang w:val="ka-GE"/>
        </w:rPr>
        <w:t>შეწოვა საჭმლის მომნელებელი ტრაქტიდან ორი მექანიზმით მიმდინარეობს:</w:t>
      </w:r>
    </w:p>
    <w:p w14:paraId="1D62D299" w14:textId="77777777" w:rsidR="004F76F4" w:rsidRPr="004F76F4" w:rsidRDefault="004F76F4" w:rsidP="004F76F4">
      <w:pPr>
        <w:pStyle w:val="ListParagraph"/>
        <w:numPr>
          <w:ilvl w:val="0"/>
          <w:numId w:val="3"/>
        </w:numPr>
        <w:tabs>
          <w:tab w:val="left" w:pos="567"/>
        </w:tabs>
        <w:ind w:left="0" w:firstLine="0"/>
        <w:contextualSpacing w:val="0"/>
        <w:jc w:val="both"/>
        <w:rPr>
          <w:rFonts w:ascii="Sylfaen" w:hAnsi="Sylfaen" w:cs="Arial"/>
          <w:noProof/>
          <w:sz w:val="24"/>
          <w:szCs w:val="24"/>
          <w:lang w:val="ka-GE"/>
        </w:rPr>
      </w:pPr>
      <w:r w:rsidRPr="004F76F4">
        <w:rPr>
          <w:rFonts w:ascii="Sylfaen" w:hAnsi="Sylfaen" w:cs="Arial"/>
          <w:noProof/>
          <w:sz w:val="24"/>
          <w:szCs w:val="24"/>
          <w:lang w:val="ka-GE"/>
        </w:rPr>
        <w:t>გამონთავისუფლება კუჭის წვენის გავლით და შინაგან ფაქტორთან მყისიერი შეკავშირება</w:t>
      </w:r>
    </w:p>
    <w:p w14:paraId="7335F937" w14:textId="77777777" w:rsidR="004F76F4" w:rsidRPr="004F76F4" w:rsidRDefault="004F76F4" w:rsidP="004F76F4">
      <w:pPr>
        <w:pStyle w:val="ListParagraph"/>
        <w:numPr>
          <w:ilvl w:val="0"/>
          <w:numId w:val="3"/>
        </w:numPr>
        <w:tabs>
          <w:tab w:val="left" w:pos="567"/>
        </w:tabs>
        <w:ind w:left="0" w:firstLine="0"/>
        <w:contextualSpacing w:val="0"/>
        <w:jc w:val="both"/>
        <w:rPr>
          <w:rFonts w:ascii="Sylfaen" w:hAnsi="Sylfaen" w:cs="Arial"/>
          <w:noProof/>
          <w:sz w:val="24"/>
          <w:szCs w:val="24"/>
          <w:lang w:val="ka-GE"/>
        </w:rPr>
      </w:pPr>
      <w:r w:rsidRPr="004F76F4">
        <w:rPr>
          <w:rFonts w:ascii="Sylfaen" w:hAnsi="Sylfaen" w:cs="Arial"/>
          <w:noProof/>
          <w:sz w:val="24"/>
          <w:szCs w:val="24"/>
          <w:lang w:val="ka-GE"/>
        </w:rPr>
        <w:t xml:space="preserve">პასიური ჩადინება სისხლში შინაგანი ფაქტორისაგან დამოუკიდებლად. </w:t>
      </w:r>
    </w:p>
    <w:p w14:paraId="78A6B7AD" w14:textId="77777777" w:rsidR="004F76F4" w:rsidRPr="004F76F4" w:rsidRDefault="004F76F4" w:rsidP="004F76F4">
      <w:pPr>
        <w:tabs>
          <w:tab w:val="left" w:pos="567"/>
        </w:tabs>
        <w:jc w:val="both"/>
        <w:rPr>
          <w:rFonts w:ascii="Sylfaen" w:hAnsi="Sylfaen" w:cs="Arial"/>
          <w:noProof/>
          <w:sz w:val="24"/>
          <w:szCs w:val="24"/>
          <w:lang w:val="ka-GE"/>
        </w:rPr>
      </w:pPr>
      <w:r w:rsidRPr="004F76F4">
        <w:rPr>
          <w:rFonts w:ascii="Sylfaen" w:hAnsi="Sylfaen" w:cs="Arial"/>
          <w:noProof/>
          <w:sz w:val="24"/>
          <w:szCs w:val="24"/>
          <w:lang w:val="ka-GE"/>
        </w:rPr>
        <w:t xml:space="preserve">1,5 მკგ-ზე მეტ დოზებზე მეორე მექანიზმი უფრო მნიშვნელოვანი ხდება. </w:t>
      </w:r>
    </w:p>
    <w:p w14:paraId="2EE15C10" w14:textId="77777777" w:rsidR="004F76F4" w:rsidRPr="004F76F4" w:rsidRDefault="004F76F4" w:rsidP="004F76F4">
      <w:pPr>
        <w:tabs>
          <w:tab w:val="left" w:pos="567"/>
        </w:tabs>
        <w:jc w:val="both"/>
        <w:rPr>
          <w:rFonts w:ascii="Sylfaen" w:hAnsi="Sylfaen" w:cs="Arial"/>
          <w:noProof/>
          <w:sz w:val="24"/>
          <w:szCs w:val="24"/>
          <w:lang w:val="ka-GE"/>
        </w:rPr>
      </w:pPr>
      <w:r w:rsidRPr="004F76F4">
        <w:rPr>
          <w:rFonts w:ascii="Sylfaen" w:hAnsi="Sylfaen" w:cs="Arial"/>
          <w:noProof/>
          <w:sz w:val="24"/>
          <w:szCs w:val="24"/>
          <w:lang w:val="ka-GE"/>
        </w:rPr>
        <w:t xml:space="preserve">პერნიციული ანემიის მქონე პაციენტებში, ≥ 100 მკგ პერორალური დოზირების შემდეგ შეწოვის სიჩქარე დაახლოებით 1% არის. B12 ვიტამინი ძირითადად ღვიძლში ინახება. დღიური მოთხოვნილება დაახლოებით 1 მკგ-ს შეადგენს. ბრუნვის სიჩქარე არის 2,5 მკგ B12 დღეში ან ორგანიზმში შენახული საერთო რაოდენობის 0,05%. </w:t>
      </w:r>
    </w:p>
    <w:p w14:paraId="1695A12A" w14:textId="77777777" w:rsidR="004F76F4" w:rsidRPr="004F76F4" w:rsidRDefault="004F76F4" w:rsidP="004F76F4">
      <w:pPr>
        <w:tabs>
          <w:tab w:val="left" w:pos="567"/>
        </w:tabs>
        <w:jc w:val="both"/>
        <w:rPr>
          <w:rFonts w:ascii="Sylfaen" w:hAnsi="Sylfaen" w:cs="Arial"/>
          <w:noProof/>
          <w:sz w:val="24"/>
          <w:szCs w:val="24"/>
          <w:lang w:val="ka-GE"/>
        </w:rPr>
      </w:pPr>
      <w:r w:rsidRPr="004F76F4">
        <w:rPr>
          <w:rFonts w:ascii="Sylfaen" w:hAnsi="Sylfaen" w:cs="Arial"/>
          <w:noProof/>
          <w:sz w:val="24"/>
          <w:szCs w:val="24"/>
          <w:lang w:val="ka-GE"/>
        </w:rPr>
        <w:t xml:space="preserve">B12 ვიტამინი ძირითადად ნაღველში გამოიყოფა და უდიდესი ნაწილი უკან შეიწოვება ენტეროჰეპატური ცირკულაციის გზით. </w:t>
      </w:r>
    </w:p>
    <w:p w14:paraId="05548973" w14:textId="77777777" w:rsidR="004F76F4" w:rsidRPr="004F76F4" w:rsidRDefault="004F76F4" w:rsidP="004F76F4">
      <w:pPr>
        <w:tabs>
          <w:tab w:val="left" w:pos="567"/>
        </w:tabs>
        <w:jc w:val="both"/>
        <w:rPr>
          <w:rFonts w:ascii="Sylfaen" w:hAnsi="Sylfaen" w:cs="Arial"/>
          <w:noProof/>
          <w:sz w:val="24"/>
          <w:szCs w:val="24"/>
          <w:lang w:val="ka-GE"/>
        </w:rPr>
      </w:pPr>
    </w:p>
    <w:p w14:paraId="1729B54E" w14:textId="77777777" w:rsidR="004F76F4" w:rsidRPr="004F76F4" w:rsidRDefault="004F76F4" w:rsidP="004F76F4">
      <w:pPr>
        <w:pStyle w:val="ListParagraph"/>
        <w:numPr>
          <w:ilvl w:val="1"/>
          <w:numId w:val="1"/>
        </w:numPr>
        <w:tabs>
          <w:tab w:val="left" w:pos="567"/>
        </w:tabs>
        <w:ind w:left="0" w:firstLine="0"/>
        <w:contextualSpacing w:val="0"/>
        <w:jc w:val="both"/>
        <w:rPr>
          <w:rFonts w:ascii="Sylfaen" w:hAnsi="Sylfaen" w:cs="Arial"/>
          <w:b/>
          <w:noProof/>
          <w:sz w:val="24"/>
          <w:szCs w:val="24"/>
          <w:lang w:val="ka-GE"/>
        </w:rPr>
      </w:pPr>
      <w:r w:rsidRPr="004F76F4">
        <w:rPr>
          <w:rFonts w:ascii="Sylfaen" w:hAnsi="Sylfaen" w:cs="Arial"/>
          <w:b/>
          <w:noProof/>
          <w:sz w:val="24"/>
          <w:szCs w:val="24"/>
          <w:lang w:val="ka-GE"/>
        </w:rPr>
        <w:t>პრეკლინიკური უსაფრთხოები მონაცემები</w:t>
      </w:r>
    </w:p>
    <w:p w14:paraId="361D317A" w14:textId="77777777" w:rsidR="004F76F4" w:rsidRPr="004F76F4" w:rsidRDefault="004F76F4" w:rsidP="004F76F4">
      <w:pPr>
        <w:tabs>
          <w:tab w:val="left" w:pos="567"/>
        </w:tabs>
        <w:jc w:val="both"/>
        <w:rPr>
          <w:rFonts w:ascii="Sylfaen" w:hAnsi="Sylfaen" w:cs="Arial"/>
          <w:noProof/>
          <w:sz w:val="24"/>
          <w:szCs w:val="24"/>
          <w:lang w:val="ka-GE"/>
        </w:rPr>
      </w:pPr>
      <w:r w:rsidRPr="004F76F4">
        <w:rPr>
          <w:rFonts w:ascii="Sylfaen" w:hAnsi="Sylfaen" w:cs="Arial"/>
          <w:noProof/>
          <w:sz w:val="24"/>
          <w:szCs w:val="24"/>
          <w:lang w:val="ka-GE"/>
        </w:rPr>
        <w:t xml:space="preserve">არა-კლინიკური მონაცემებით ადამიანისათვის რაიმე განსაკუთრებულ საფრთხე არ გამოვლენილა, რაც ეფუძნება ფარმაკოლოგიის უსაფრთხოების, მრავალჯერადი დოზების ტოქსიურობის, გენოტოქსიურობის, კანცეროგენული უნარის, რეპროდუქციისა და განვითარებისათვის ტოქსიურობის ტრადიციულ კვლევებს. </w:t>
      </w:r>
    </w:p>
    <w:p w14:paraId="18FFDB62" w14:textId="77777777" w:rsidR="004F76F4" w:rsidRPr="004F76F4" w:rsidRDefault="004F76F4" w:rsidP="004F76F4">
      <w:pPr>
        <w:tabs>
          <w:tab w:val="left" w:pos="567"/>
        </w:tabs>
        <w:jc w:val="both"/>
        <w:rPr>
          <w:rFonts w:ascii="Sylfaen" w:hAnsi="Sylfaen" w:cs="Arial"/>
          <w:noProof/>
          <w:sz w:val="24"/>
          <w:szCs w:val="24"/>
          <w:lang w:val="ka-GE"/>
        </w:rPr>
      </w:pPr>
    </w:p>
    <w:p w14:paraId="2A8FEBB6" w14:textId="77777777" w:rsidR="004F76F4" w:rsidRPr="004F76F4" w:rsidRDefault="004F76F4" w:rsidP="004F76F4">
      <w:pPr>
        <w:tabs>
          <w:tab w:val="left" w:pos="567"/>
        </w:tabs>
        <w:jc w:val="both"/>
        <w:rPr>
          <w:rFonts w:ascii="Sylfaen" w:hAnsi="Sylfaen" w:cs="Arial"/>
          <w:noProof/>
          <w:sz w:val="24"/>
          <w:szCs w:val="24"/>
          <w:u w:val="single"/>
          <w:lang w:val="ka-GE"/>
        </w:rPr>
      </w:pPr>
      <w:r w:rsidRPr="004F76F4">
        <w:rPr>
          <w:rFonts w:ascii="Sylfaen" w:hAnsi="Sylfaen" w:cs="Arial"/>
          <w:noProof/>
          <w:sz w:val="24"/>
          <w:szCs w:val="24"/>
          <w:u w:val="single"/>
          <w:lang w:val="ka-GE"/>
        </w:rPr>
        <w:t>ქრონიკული ტოქსიკურობა</w:t>
      </w:r>
    </w:p>
    <w:p w14:paraId="6E5265ED" w14:textId="77777777" w:rsidR="004F76F4" w:rsidRPr="004F76F4" w:rsidRDefault="004F76F4" w:rsidP="004F76F4">
      <w:pPr>
        <w:tabs>
          <w:tab w:val="left" w:pos="567"/>
        </w:tabs>
        <w:jc w:val="both"/>
        <w:rPr>
          <w:rFonts w:ascii="Sylfaen" w:hAnsi="Sylfaen" w:cs="Arial"/>
          <w:noProof/>
          <w:sz w:val="24"/>
          <w:szCs w:val="24"/>
          <w:lang w:val="ka-GE"/>
        </w:rPr>
      </w:pPr>
      <w:r w:rsidRPr="004F76F4">
        <w:rPr>
          <w:rFonts w:ascii="Sylfaen" w:hAnsi="Sylfaen" w:cs="Arial"/>
          <w:noProof/>
          <w:sz w:val="24"/>
          <w:szCs w:val="24"/>
          <w:lang w:val="ka-GE"/>
        </w:rPr>
        <w:t xml:space="preserve">ცხოველებში, B1 ვიტამინის ძალიან მაღალი დოზები იწვევდნენ ბრადიკარდიას. გარდა ამისა, აღინიშნებოდა ვეგეტატიური განგლიების და მოტორული ჩამკეტი-ფირფიტების ბლოკადის სიმპტომები. ძაღლებში, B6 ვიტამინის 150-200 მგ/კგ/დღეში დოზების გამოყენება 100-107 დღის განმავლობაში, იწვევდა  ატაქსიას, მიასთენიას, წონასწორობის დარღვევებს, ისევე როგორც აქსონის მიელინური გარსების დეგენერაციულ ცვლილებებს. გარდა ამისა, ცხოველებზე ჩატარებულ კვლევებში B6 ვიტამინის ძალიან მაღალი დოზების მიღების შემდეგ აღინიშნებოდა კრუნჩხვები და კოორდინაციის დარღვევები. </w:t>
      </w:r>
    </w:p>
    <w:p w14:paraId="6A1D39DE" w14:textId="77777777" w:rsidR="004F76F4" w:rsidRPr="004F76F4" w:rsidRDefault="004F76F4" w:rsidP="004F76F4">
      <w:pPr>
        <w:tabs>
          <w:tab w:val="left" w:pos="567"/>
        </w:tabs>
        <w:jc w:val="both"/>
        <w:rPr>
          <w:rFonts w:ascii="Sylfaen" w:hAnsi="Sylfaen" w:cs="Arial"/>
          <w:noProof/>
          <w:sz w:val="24"/>
          <w:szCs w:val="24"/>
          <w:lang w:val="ka-GE"/>
        </w:rPr>
      </w:pPr>
    </w:p>
    <w:p w14:paraId="7E41F4C1" w14:textId="77777777" w:rsidR="004F76F4" w:rsidRPr="004F76F4" w:rsidRDefault="004F76F4" w:rsidP="004F76F4">
      <w:pPr>
        <w:jc w:val="both"/>
        <w:rPr>
          <w:rFonts w:ascii="Sylfaen" w:hAnsi="Sylfaen" w:cs="Arial"/>
          <w:noProof/>
          <w:sz w:val="24"/>
          <w:szCs w:val="24"/>
          <w:u w:val="single"/>
          <w:lang w:val="ka-GE"/>
        </w:rPr>
      </w:pPr>
      <w:r w:rsidRPr="004F76F4">
        <w:rPr>
          <w:rFonts w:ascii="Sylfaen" w:hAnsi="Sylfaen" w:cs="Arial"/>
          <w:noProof/>
          <w:sz w:val="24"/>
          <w:szCs w:val="24"/>
          <w:u w:val="single"/>
          <w:lang w:val="ka-GE"/>
        </w:rPr>
        <w:t>მუტაგენური და ტუმოროგენული პოტენციალი</w:t>
      </w:r>
    </w:p>
    <w:p w14:paraId="43577AA9"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რეგულარული კლინიკური გამოყენების დროს, B1 და B6 ვიტამინების მუტაგენური ეფექტი მოსალოდნელი არ არის. B1 და B6 ვიტამინების ტუმოროგენული უნარის ცხოველებზე შემსწავლელი ხანგრძლივი კვლევები ხელმისაწვდომი არ არის. </w:t>
      </w:r>
    </w:p>
    <w:p w14:paraId="0E098AA0" w14:textId="77777777" w:rsidR="004F76F4" w:rsidRPr="004F76F4" w:rsidRDefault="004F76F4" w:rsidP="004F76F4">
      <w:pPr>
        <w:jc w:val="both"/>
        <w:rPr>
          <w:rFonts w:ascii="Sylfaen" w:hAnsi="Sylfaen" w:cs="Arial"/>
          <w:noProof/>
          <w:sz w:val="24"/>
          <w:szCs w:val="24"/>
          <w:lang w:val="ka-GE"/>
        </w:rPr>
      </w:pPr>
    </w:p>
    <w:p w14:paraId="1F17DED0" w14:textId="77777777" w:rsidR="004F76F4" w:rsidRPr="004F76F4" w:rsidRDefault="004F76F4" w:rsidP="004F76F4">
      <w:pPr>
        <w:jc w:val="both"/>
        <w:rPr>
          <w:rFonts w:ascii="Sylfaen" w:hAnsi="Sylfaen" w:cs="Arial"/>
          <w:noProof/>
          <w:sz w:val="24"/>
          <w:szCs w:val="24"/>
          <w:u w:val="single"/>
          <w:lang w:val="ka-GE"/>
        </w:rPr>
      </w:pPr>
      <w:r w:rsidRPr="004F76F4">
        <w:rPr>
          <w:rFonts w:ascii="Sylfaen" w:hAnsi="Sylfaen" w:cs="Arial"/>
          <w:noProof/>
          <w:sz w:val="24"/>
          <w:szCs w:val="24"/>
          <w:u w:val="single"/>
          <w:lang w:val="ka-GE"/>
        </w:rPr>
        <w:t>რეპროდუქციული ტოქსიკურობა</w:t>
      </w:r>
    </w:p>
    <w:p w14:paraId="71CB9E5C"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B1 ვიტამინი აქტიურად ტრანსპორტირდება ნაყოფთან. ნაყოფისა და ახალშობილის კონცენტრაციები აღემატება დედის B1 ვიტამინის კონცენტრაციებს. </w:t>
      </w:r>
    </w:p>
    <w:p w14:paraId="2B873698"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ადამიანის ემბრიონისა და ნაყოფის განვითარების სისტემური კვლევები B1 ვიტამინის იმ დოზებით, რომლებიც აღემატება ნორმალურ დღიურ მოთხოვნილებას არ ჩატარებულა. </w:t>
      </w:r>
    </w:p>
    <w:p w14:paraId="7D4632C4"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B6 ვიტამინის საკმარისად არ არის შესწავლილი ცხოველებზე. ვირთხებზე ჩატარებული ემბრიოტოქსიურობის კვლევები ტერატოგენულ პოტენციალს არ ავლენენ. მამრ ვირთხებში, B6 ვიტამინის ძალიან მაღალი დოზების გამოყენება იწვევდა სპერმატოგენეზის დარღვევას. </w:t>
      </w:r>
    </w:p>
    <w:p w14:paraId="09168956" w14:textId="77777777" w:rsidR="004F76F4" w:rsidRPr="004F76F4" w:rsidRDefault="004F76F4" w:rsidP="004F76F4">
      <w:pPr>
        <w:tabs>
          <w:tab w:val="left" w:pos="567"/>
          <w:tab w:val="left" w:pos="2520"/>
          <w:tab w:val="left" w:pos="3960"/>
          <w:tab w:val="left" w:pos="4920"/>
          <w:tab w:val="left" w:pos="7200"/>
        </w:tabs>
        <w:jc w:val="both"/>
        <w:rPr>
          <w:rFonts w:ascii="Sylfaen" w:hAnsi="Sylfaen"/>
          <w:noProof/>
          <w:sz w:val="24"/>
          <w:szCs w:val="24"/>
          <w:lang w:val="ka-GE"/>
        </w:rPr>
      </w:pPr>
    </w:p>
    <w:p w14:paraId="409F4CBC"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3A4F8D62" w14:textId="77777777" w:rsidR="004F76F4" w:rsidRPr="004F76F4" w:rsidRDefault="004F76F4" w:rsidP="004F76F4">
      <w:pPr>
        <w:numPr>
          <w:ilvl w:val="0"/>
          <w:numId w:val="1"/>
        </w:numPr>
        <w:tabs>
          <w:tab w:val="left" w:pos="2520"/>
          <w:tab w:val="left" w:pos="3960"/>
          <w:tab w:val="left" w:pos="4920"/>
          <w:tab w:val="left" w:pos="7200"/>
        </w:tabs>
        <w:ind w:left="0" w:firstLine="0"/>
        <w:jc w:val="both"/>
        <w:rPr>
          <w:rFonts w:ascii="Arial" w:hAnsi="Arial" w:cs="Arial"/>
          <w:b/>
          <w:caps/>
          <w:noProof/>
          <w:sz w:val="24"/>
          <w:szCs w:val="24"/>
          <w:lang w:val="ka-GE"/>
        </w:rPr>
      </w:pPr>
      <w:r w:rsidRPr="004F76F4">
        <w:rPr>
          <w:rFonts w:ascii="Sylfaen" w:hAnsi="Sylfaen" w:cs="Arial"/>
          <w:b/>
          <w:caps/>
          <w:noProof/>
          <w:sz w:val="24"/>
          <w:szCs w:val="24"/>
          <w:lang w:val="ka-GE"/>
        </w:rPr>
        <w:t>ფარმაცევტული მახასიათებლები</w:t>
      </w:r>
    </w:p>
    <w:p w14:paraId="18EFAE36" w14:textId="77777777" w:rsidR="004F76F4" w:rsidRPr="004F76F4" w:rsidRDefault="004F76F4" w:rsidP="004F76F4">
      <w:pPr>
        <w:numPr>
          <w:ilvl w:val="1"/>
          <w:numId w:val="1"/>
        </w:numPr>
        <w:tabs>
          <w:tab w:val="left" w:pos="567"/>
          <w:tab w:val="left" w:pos="2520"/>
          <w:tab w:val="left" w:pos="3960"/>
          <w:tab w:val="left" w:pos="4920"/>
          <w:tab w:val="left" w:pos="7200"/>
        </w:tabs>
        <w:ind w:left="0" w:firstLine="0"/>
        <w:jc w:val="both"/>
        <w:rPr>
          <w:rFonts w:ascii="Arial" w:hAnsi="Arial" w:cs="Arial"/>
          <w:b/>
          <w:noProof/>
          <w:sz w:val="24"/>
          <w:szCs w:val="24"/>
          <w:lang w:val="ka-GE"/>
        </w:rPr>
      </w:pPr>
      <w:r w:rsidRPr="004F76F4">
        <w:rPr>
          <w:rFonts w:ascii="Sylfaen" w:hAnsi="Sylfaen" w:cs="Arial"/>
          <w:b/>
          <w:noProof/>
          <w:sz w:val="24"/>
          <w:szCs w:val="24"/>
          <w:lang w:val="ka-GE"/>
        </w:rPr>
        <w:t>დამხმარე ნივთიერებები</w:t>
      </w:r>
    </w:p>
    <w:p w14:paraId="3DFB1DA4" w14:textId="77777777" w:rsidR="004F76F4" w:rsidRPr="004F76F4" w:rsidRDefault="004F76F4" w:rsidP="004F76F4">
      <w:pPr>
        <w:tabs>
          <w:tab w:val="left" w:pos="2520"/>
          <w:tab w:val="left" w:pos="3960"/>
          <w:tab w:val="left" w:pos="4920"/>
          <w:tab w:val="left" w:pos="7200"/>
        </w:tabs>
        <w:jc w:val="both"/>
        <w:rPr>
          <w:rFonts w:ascii="Arial" w:hAnsi="Arial" w:cs="Arial"/>
          <w:b/>
          <w:noProof/>
          <w:sz w:val="24"/>
          <w:szCs w:val="24"/>
          <w:lang w:val="ka-GE"/>
        </w:rPr>
      </w:pPr>
    </w:p>
    <w:p w14:paraId="7C994FD4" w14:textId="77777777" w:rsidR="00700DFF" w:rsidRDefault="00700DFF" w:rsidP="004F76F4">
      <w:pPr>
        <w:rPr>
          <w:rFonts w:ascii="Sylfaen" w:hAnsi="Sylfaen" w:cs="Arial"/>
          <w:noProof/>
          <w:sz w:val="24"/>
          <w:szCs w:val="24"/>
          <w:u w:val="single"/>
          <w:lang w:val="ka-GE"/>
        </w:rPr>
      </w:pPr>
    </w:p>
    <w:p w14:paraId="1123F24E" w14:textId="77777777" w:rsidR="00700DFF" w:rsidRDefault="00700DFF" w:rsidP="004F76F4">
      <w:pPr>
        <w:rPr>
          <w:rFonts w:ascii="Sylfaen" w:hAnsi="Sylfaen" w:cs="Arial"/>
          <w:noProof/>
          <w:sz w:val="24"/>
          <w:szCs w:val="24"/>
          <w:u w:val="single"/>
          <w:lang w:val="ka-GE"/>
        </w:rPr>
      </w:pPr>
    </w:p>
    <w:p w14:paraId="65ACF61E" w14:textId="2098633E" w:rsidR="004F76F4" w:rsidRPr="004F76F4" w:rsidRDefault="004F76F4" w:rsidP="004F76F4">
      <w:pPr>
        <w:rPr>
          <w:rFonts w:ascii="Arial" w:hAnsi="Arial" w:cs="Arial"/>
          <w:noProof/>
          <w:sz w:val="24"/>
          <w:szCs w:val="24"/>
          <w:lang w:val="ka-GE"/>
        </w:rPr>
      </w:pPr>
      <w:r w:rsidRPr="004F76F4">
        <w:rPr>
          <w:rFonts w:ascii="Sylfaen" w:hAnsi="Sylfaen" w:cs="Arial"/>
          <w:noProof/>
          <w:sz w:val="24"/>
          <w:szCs w:val="24"/>
          <w:u w:val="single"/>
          <w:lang w:val="ka-GE"/>
        </w:rPr>
        <w:t>ტაბლეტის გული</w:t>
      </w:r>
      <w:r w:rsidRPr="004F76F4">
        <w:rPr>
          <w:rFonts w:ascii="Arial" w:hAnsi="Arial" w:cs="Arial"/>
          <w:noProof/>
          <w:sz w:val="24"/>
          <w:szCs w:val="24"/>
          <w:lang w:val="ka-GE"/>
        </w:rPr>
        <w:t>:</w:t>
      </w:r>
      <w:r w:rsidRPr="004F76F4">
        <w:rPr>
          <w:rFonts w:ascii="Arial" w:hAnsi="Arial" w:cs="Arial"/>
          <w:noProof/>
          <w:sz w:val="24"/>
          <w:szCs w:val="24"/>
          <w:lang w:val="ka-GE"/>
        </w:rPr>
        <w:tab/>
      </w:r>
      <w:r w:rsidRPr="004F76F4">
        <w:rPr>
          <w:rFonts w:ascii="Sylfaen" w:hAnsi="Sylfaen" w:cs="Arial"/>
          <w:noProof/>
          <w:sz w:val="24"/>
          <w:szCs w:val="24"/>
          <w:lang w:val="ka-GE"/>
        </w:rPr>
        <w:t xml:space="preserve">  პრეჟელატინიზირებული მოდიფიცირებული სახამებელი</w:t>
      </w:r>
    </w:p>
    <w:p w14:paraId="376AB910" w14:textId="77777777" w:rsidR="004F76F4" w:rsidRPr="004F76F4" w:rsidRDefault="004F76F4" w:rsidP="004F76F4">
      <w:pPr>
        <w:rPr>
          <w:rFonts w:ascii="Sylfaen" w:hAnsi="Sylfaen" w:cs="Arial"/>
          <w:noProof/>
          <w:sz w:val="24"/>
          <w:szCs w:val="24"/>
          <w:lang w:val="ka-GE"/>
        </w:rPr>
      </w:pPr>
      <w:r w:rsidRPr="004F76F4">
        <w:rPr>
          <w:rFonts w:ascii="Sylfaen" w:hAnsi="Sylfaen" w:cs="Arial"/>
          <w:noProof/>
          <w:sz w:val="24"/>
          <w:szCs w:val="24"/>
          <w:lang w:val="ka-GE"/>
        </w:rPr>
        <w:t xml:space="preserve">                                      ნატრიუმის ციტრატი</w:t>
      </w:r>
    </w:p>
    <w:p w14:paraId="144A5E53" w14:textId="77777777" w:rsidR="004F76F4" w:rsidRPr="004F76F4" w:rsidRDefault="004F76F4" w:rsidP="004F76F4">
      <w:pPr>
        <w:rPr>
          <w:rFonts w:ascii="Sylfaen" w:hAnsi="Sylfaen" w:cs="Arial"/>
          <w:noProof/>
          <w:sz w:val="24"/>
          <w:szCs w:val="24"/>
          <w:lang w:val="ka-GE"/>
        </w:rPr>
      </w:pPr>
      <w:r w:rsidRPr="004F76F4">
        <w:rPr>
          <w:rFonts w:ascii="Sylfaen" w:hAnsi="Sylfaen" w:cs="Arial"/>
          <w:noProof/>
          <w:sz w:val="24"/>
          <w:szCs w:val="24"/>
          <w:lang w:val="ka-GE"/>
        </w:rPr>
        <w:t xml:space="preserve">                                      ლიმონმჟავას მონოჰიდრატი</w:t>
      </w:r>
    </w:p>
    <w:p w14:paraId="041162E2" w14:textId="77777777" w:rsidR="004F76F4" w:rsidRPr="004F76F4" w:rsidRDefault="004F76F4" w:rsidP="004F76F4">
      <w:pPr>
        <w:rPr>
          <w:rFonts w:ascii="Arial" w:hAnsi="Arial" w:cs="Arial"/>
          <w:noProof/>
          <w:sz w:val="24"/>
          <w:szCs w:val="24"/>
          <w:lang w:val="ka-GE"/>
        </w:rPr>
      </w:pPr>
      <w:r w:rsidRPr="004F76F4">
        <w:rPr>
          <w:rFonts w:ascii="Sylfaen" w:hAnsi="Sylfaen" w:cs="Arial"/>
          <w:noProof/>
          <w:sz w:val="24"/>
          <w:szCs w:val="24"/>
          <w:lang w:val="ka-GE"/>
        </w:rPr>
        <w:t xml:space="preserve">                                       სილიციუმი, კოლოიდური უწყლო</w:t>
      </w:r>
    </w:p>
    <w:p w14:paraId="2A0B2B94" w14:textId="77777777" w:rsidR="004F76F4" w:rsidRPr="004F76F4" w:rsidRDefault="004F76F4" w:rsidP="004F76F4">
      <w:pPr>
        <w:rPr>
          <w:rFonts w:ascii="Sylfaen" w:hAnsi="Sylfaen" w:cs="Arial"/>
          <w:noProof/>
          <w:sz w:val="24"/>
          <w:szCs w:val="24"/>
          <w:lang w:val="ka-GE"/>
        </w:rPr>
      </w:pPr>
      <w:r w:rsidRPr="004F76F4">
        <w:rPr>
          <w:rFonts w:ascii="Sylfaen" w:hAnsi="Sylfaen" w:cs="Arial"/>
          <w:noProof/>
          <w:sz w:val="24"/>
          <w:szCs w:val="24"/>
          <w:lang w:val="ka-GE"/>
        </w:rPr>
        <w:t xml:space="preserve">                                       მიკროკრისტალური ცელულოზა</w:t>
      </w:r>
    </w:p>
    <w:p w14:paraId="09939E71" w14:textId="77777777" w:rsidR="004F76F4" w:rsidRPr="004F76F4" w:rsidRDefault="004F76F4" w:rsidP="004F76F4">
      <w:pPr>
        <w:rPr>
          <w:rFonts w:ascii="Sylfaen" w:hAnsi="Sylfaen" w:cs="Arial"/>
          <w:noProof/>
          <w:sz w:val="24"/>
          <w:szCs w:val="24"/>
          <w:lang w:val="ka-GE"/>
        </w:rPr>
      </w:pPr>
      <w:r w:rsidRPr="004F76F4">
        <w:rPr>
          <w:rFonts w:ascii="Sylfaen" w:hAnsi="Sylfaen" w:cs="Arial"/>
          <w:noProof/>
          <w:sz w:val="24"/>
          <w:szCs w:val="24"/>
          <w:lang w:val="ka-GE"/>
        </w:rPr>
        <w:t xml:space="preserve">                                       მაგნიუმის სტეარატი</w:t>
      </w:r>
    </w:p>
    <w:p w14:paraId="7F320813" w14:textId="77777777" w:rsidR="004F76F4" w:rsidRPr="004F76F4" w:rsidRDefault="004F76F4" w:rsidP="004F76F4">
      <w:pPr>
        <w:rPr>
          <w:rFonts w:ascii="Sylfaen" w:hAnsi="Sylfaen" w:cs="Arial"/>
          <w:noProof/>
          <w:sz w:val="24"/>
          <w:szCs w:val="24"/>
          <w:lang w:val="ka-GE"/>
        </w:rPr>
      </w:pPr>
      <w:r w:rsidRPr="004F76F4">
        <w:rPr>
          <w:rFonts w:ascii="Sylfaen" w:hAnsi="Sylfaen" w:cs="Arial"/>
          <w:noProof/>
          <w:sz w:val="24"/>
          <w:szCs w:val="24"/>
          <w:lang w:val="ka-GE"/>
        </w:rPr>
        <w:t xml:space="preserve">                                       პოვიდონი</w:t>
      </w:r>
    </w:p>
    <w:p w14:paraId="3D6CB57E" w14:textId="77777777" w:rsidR="004F76F4" w:rsidRPr="004F76F4" w:rsidRDefault="004F76F4" w:rsidP="004F76F4">
      <w:pPr>
        <w:jc w:val="both"/>
        <w:rPr>
          <w:rFonts w:ascii="Arial" w:hAnsi="Arial" w:cs="Arial"/>
          <w:noProof/>
          <w:sz w:val="24"/>
          <w:szCs w:val="24"/>
          <w:lang w:val="ka-GE"/>
        </w:rPr>
      </w:pPr>
    </w:p>
    <w:p w14:paraId="0E7B6E87" w14:textId="77777777" w:rsidR="004F76F4" w:rsidRPr="004F76F4" w:rsidRDefault="004F76F4" w:rsidP="004F76F4">
      <w:pPr>
        <w:jc w:val="both"/>
        <w:rPr>
          <w:rFonts w:ascii="Arial" w:hAnsi="Arial" w:cs="Arial"/>
          <w:noProof/>
          <w:sz w:val="24"/>
          <w:szCs w:val="24"/>
          <w:lang w:val="ka-GE"/>
        </w:rPr>
      </w:pPr>
      <w:r w:rsidRPr="004F76F4">
        <w:rPr>
          <w:rFonts w:ascii="Sylfaen" w:hAnsi="Sylfaen" w:cs="Arial"/>
          <w:noProof/>
          <w:sz w:val="24"/>
          <w:szCs w:val="24"/>
          <w:u w:val="single"/>
          <w:lang w:val="ka-GE"/>
        </w:rPr>
        <w:t>ტაბლეტის აპკი</w:t>
      </w:r>
      <w:r w:rsidRPr="004F76F4">
        <w:rPr>
          <w:rFonts w:ascii="Arial" w:hAnsi="Arial" w:cs="Arial"/>
          <w:noProof/>
          <w:sz w:val="24"/>
          <w:szCs w:val="24"/>
          <w:lang w:val="ka-GE"/>
        </w:rPr>
        <w:t xml:space="preserve">: </w:t>
      </w:r>
      <w:r w:rsidRPr="004F76F4">
        <w:rPr>
          <w:rFonts w:ascii="Arial" w:hAnsi="Arial" w:cs="Arial"/>
          <w:noProof/>
          <w:sz w:val="24"/>
          <w:szCs w:val="24"/>
          <w:lang w:val="ka-GE"/>
        </w:rPr>
        <w:tab/>
      </w:r>
      <w:r w:rsidRPr="004F76F4">
        <w:rPr>
          <w:rFonts w:ascii="Sylfaen" w:hAnsi="Sylfaen" w:cs="Arial"/>
          <w:noProof/>
          <w:sz w:val="24"/>
          <w:szCs w:val="24"/>
          <w:lang w:val="ka-GE"/>
        </w:rPr>
        <w:t>მაკროგოლი</w:t>
      </w:r>
      <w:r w:rsidRPr="004F76F4">
        <w:rPr>
          <w:rFonts w:ascii="Arial" w:hAnsi="Arial" w:cs="Arial"/>
          <w:noProof/>
          <w:sz w:val="24"/>
          <w:szCs w:val="24"/>
          <w:lang w:val="ka-GE"/>
        </w:rPr>
        <w:t xml:space="preserve"> 6000</w:t>
      </w:r>
    </w:p>
    <w:p w14:paraId="304BFD06" w14:textId="77777777" w:rsidR="004F76F4" w:rsidRPr="004F76F4" w:rsidRDefault="004F76F4" w:rsidP="004F76F4">
      <w:pPr>
        <w:jc w:val="both"/>
        <w:rPr>
          <w:rFonts w:ascii="Arial" w:hAnsi="Arial" w:cs="Arial"/>
          <w:noProof/>
          <w:sz w:val="24"/>
          <w:szCs w:val="24"/>
          <w:lang w:val="ka-GE"/>
        </w:rPr>
      </w:pPr>
      <w:r w:rsidRPr="004F76F4">
        <w:rPr>
          <w:rFonts w:ascii="Sylfaen" w:hAnsi="Sylfaen" w:cs="Arial"/>
          <w:noProof/>
          <w:sz w:val="24"/>
          <w:szCs w:val="24"/>
          <w:lang w:val="ka-GE"/>
        </w:rPr>
        <w:t xml:space="preserve">                                    ტიტანის დიოქსიდი</w:t>
      </w:r>
      <w:r w:rsidRPr="004F76F4">
        <w:rPr>
          <w:rFonts w:ascii="Arial" w:hAnsi="Arial" w:cs="Arial"/>
          <w:noProof/>
          <w:sz w:val="24"/>
          <w:szCs w:val="24"/>
          <w:lang w:val="ka-GE"/>
        </w:rPr>
        <w:t xml:space="preserve"> (E 171)</w:t>
      </w:r>
    </w:p>
    <w:p w14:paraId="6E3689B2"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                                    ტალკი</w:t>
      </w:r>
    </w:p>
    <w:p w14:paraId="3D4D6C8C"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                                    ჰიპრომელოზა</w:t>
      </w:r>
    </w:p>
    <w:p w14:paraId="5E4A0C80" w14:textId="77777777" w:rsidR="004F76F4" w:rsidRPr="004F76F4" w:rsidRDefault="004F76F4" w:rsidP="004F76F4">
      <w:pPr>
        <w:jc w:val="both"/>
        <w:rPr>
          <w:rFonts w:ascii="Sylfaen" w:hAnsi="Sylfaen" w:cs="Arial"/>
          <w:noProof/>
          <w:sz w:val="24"/>
          <w:szCs w:val="24"/>
          <w:lang w:val="ka-GE"/>
        </w:rPr>
      </w:pPr>
      <w:r w:rsidRPr="004F76F4">
        <w:rPr>
          <w:rFonts w:ascii="Sylfaen" w:hAnsi="Sylfaen" w:cs="Arial"/>
          <w:noProof/>
          <w:sz w:val="24"/>
          <w:szCs w:val="24"/>
          <w:lang w:val="ka-GE"/>
        </w:rPr>
        <w:t xml:space="preserve">                                    პოლიაკრილატის დისპერსია</w:t>
      </w:r>
    </w:p>
    <w:p w14:paraId="59CE7BF1"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p>
    <w:p w14:paraId="6175A68A" w14:textId="77777777" w:rsidR="004F76F4" w:rsidRPr="004F76F4" w:rsidRDefault="004F76F4" w:rsidP="004F76F4">
      <w:pPr>
        <w:tabs>
          <w:tab w:val="left" w:pos="567"/>
          <w:tab w:val="left" w:pos="2520"/>
          <w:tab w:val="left" w:pos="3960"/>
          <w:tab w:val="left" w:pos="4920"/>
          <w:tab w:val="left" w:pos="7200"/>
        </w:tabs>
        <w:jc w:val="both"/>
        <w:rPr>
          <w:rFonts w:ascii="Arial" w:hAnsi="Arial" w:cs="Arial"/>
          <w:b/>
          <w:noProof/>
          <w:sz w:val="24"/>
          <w:szCs w:val="24"/>
          <w:lang w:val="ka-GE"/>
        </w:rPr>
      </w:pPr>
      <w:r w:rsidRPr="004F76F4">
        <w:rPr>
          <w:rFonts w:ascii="Arial" w:hAnsi="Arial" w:cs="Arial"/>
          <w:b/>
          <w:noProof/>
          <w:sz w:val="24"/>
          <w:szCs w:val="24"/>
          <w:lang w:val="ka-GE"/>
        </w:rPr>
        <w:t>6.2.</w:t>
      </w:r>
      <w:r w:rsidRPr="004F76F4">
        <w:rPr>
          <w:rFonts w:ascii="Arial" w:hAnsi="Arial" w:cs="Arial"/>
          <w:b/>
          <w:noProof/>
          <w:sz w:val="24"/>
          <w:szCs w:val="24"/>
          <w:lang w:val="ka-GE"/>
        </w:rPr>
        <w:tab/>
      </w:r>
      <w:r w:rsidRPr="004F76F4">
        <w:rPr>
          <w:rFonts w:ascii="Sylfaen" w:hAnsi="Sylfaen" w:cs="Arial"/>
          <w:b/>
          <w:noProof/>
          <w:sz w:val="24"/>
          <w:szCs w:val="24"/>
          <w:lang w:val="ka-GE"/>
        </w:rPr>
        <w:t>შეუთავსებლობა</w:t>
      </w:r>
    </w:p>
    <w:p w14:paraId="7982DBBD" w14:textId="77777777" w:rsidR="004F76F4" w:rsidRPr="004F76F4" w:rsidRDefault="004F76F4" w:rsidP="004F76F4">
      <w:pPr>
        <w:tabs>
          <w:tab w:val="left" w:pos="567"/>
          <w:tab w:val="left" w:pos="2520"/>
          <w:tab w:val="left" w:pos="3960"/>
          <w:tab w:val="left" w:pos="4920"/>
          <w:tab w:val="left" w:pos="7200"/>
        </w:tabs>
        <w:jc w:val="both"/>
        <w:rPr>
          <w:rFonts w:ascii="Sylfaen" w:hAnsi="Sylfaen"/>
          <w:noProof/>
          <w:sz w:val="24"/>
          <w:szCs w:val="24"/>
          <w:lang w:val="ka-GE"/>
        </w:rPr>
      </w:pPr>
      <w:r w:rsidRPr="004F76F4">
        <w:rPr>
          <w:rFonts w:ascii="Sylfaen" w:hAnsi="Sylfaen"/>
          <w:noProof/>
          <w:sz w:val="24"/>
          <w:szCs w:val="24"/>
          <w:lang w:val="ka-GE"/>
        </w:rPr>
        <w:t xml:space="preserve">არ აღინიშნება. </w:t>
      </w:r>
    </w:p>
    <w:p w14:paraId="2C34D92C"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u w:val="single"/>
          <w:lang w:val="ka-GE"/>
        </w:rPr>
      </w:pPr>
    </w:p>
    <w:p w14:paraId="027C3C0A"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b/>
          <w:noProof/>
          <w:sz w:val="24"/>
          <w:szCs w:val="24"/>
          <w:lang w:val="ka-GE"/>
        </w:rPr>
      </w:pPr>
      <w:r w:rsidRPr="004F76F4">
        <w:rPr>
          <w:rFonts w:ascii="Arial" w:hAnsi="Arial" w:cs="Arial"/>
          <w:b/>
          <w:noProof/>
          <w:sz w:val="24"/>
          <w:szCs w:val="24"/>
          <w:lang w:val="ka-GE"/>
        </w:rPr>
        <w:t>6.3.</w:t>
      </w:r>
      <w:r w:rsidRPr="004F76F4">
        <w:rPr>
          <w:rFonts w:ascii="Arial" w:hAnsi="Arial" w:cs="Arial"/>
          <w:b/>
          <w:noProof/>
          <w:sz w:val="24"/>
          <w:szCs w:val="24"/>
          <w:lang w:val="ka-GE"/>
        </w:rPr>
        <w:tab/>
      </w:r>
      <w:r w:rsidRPr="004F76F4">
        <w:rPr>
          <w:rFonts w:ascii="Sylfaen" w:hAnsi="Sylfaen" w:cs="Arial"/>
          <w:b/>
          <w:noProof/>
          <w:sz w:val="24"/>
          <w:szCs w:val="24"/>
          <w:lang w:val="ka-GE"/>
        </w:rPr>
        <w:t>ვარგისობა</w:t>
      </w:r>
    </w:p>
    <w:p w14:paraId="7317F0F2" w14:textId="77777777" w:rsidR="004F76F4" w:rsidRPr="004F76F4" w:rsidRDefault="004F76F4" w:rsidP="004F76F4">
      <w:pPr>
        <w:jc w:val="both"/>
        <w:rPr>
          <w:rFonts w:ascii="Sylfaen" w:hAnsi="Sylfaen"/>
          <w:noProof/>
          <w:sz w:val="24"/>
          <w:szCs w:val="24"/>
          <w:lang w:val="ka-GE"/>
        </w:rPr>
      </w:pPr>
      <w:r w:rsidRPr="004F76F4">
        <w:rPr>
          <w:rFonts w:ascii="Sylfaen" w:hAnsi="Sylfaen"/>
          <w:noProof/>
          <w:sz w:val="24"/>
          <w:szCs w:val="24"/>
          <w:lang w:val="ka-GE"/>
        </w:rPr>
        <w:t xml:space="preserve">3 წელი. </w:t>
      </w:r>
    </w:p>
    <w:p w14:paraId="78835F49"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p>
    <w:p w14:paraId="62EB6F86"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b/>
          <w:noProof/>
          <w:sz w:val="24"/>
          <w:szCs w:val="24"/>
          <w:lang w:val="ka-GE"/>
        </w:rPr>
      </w:pPr>
      <w:r w:rsidRPr="004F76F4">
        <w:rPr>
          <w:rFonts w:ascii="Arial" w:hAnsi="Arial" w:cs="Arial"/>
          <w:b/>
          <w:noProof/>
          <w:sz w:val="24"/>
          <w:szCs w:val="24"/>
          <w:lang w:val="ka-GE"/>
        </w:rPr>
        <w:t>6.4.</w:t>
      </w:r>
      <w:r w:rsidRPr="004F76F4">
        <w:rPr>
          <w:rFonts w:ascii="Arial" w:hAnsi="Arial" w:cs="Arial"/>
          <w:b/>
          <w:noProof/>
          <w:sz w:val="24"/>
          <w:szCs w:val="24"/>
          <w:lang w:val="ka-GE"/>
        </w:rPr>
        <w:tab/>
      </w:r>
      <w:r w:rsidRPr="004F76F4">
        <w:rPr>
          <w:rFonts w:ascii="Sylfaen" w:hAnsi="Sylfaen" w:cs="Arial"/>
          <w:b/>
          <w:noProof/>
          <w:sz w:val="24"/>
          <w:szCs w:val="24"/>
          <w:lang w:val="ka-GE"/>
        </w:rPr>
        <w:t>შენახვის განსაკუთრებული პირობები</w:t>
      </w:r>
    </w:p>
    <w:p w14:paraId="7D225931" w14:textId="77777777" w:rsidR="004F76F4" w:rsidRPr="004F76F4" w:rsidRDefault="004F76F4" w:rsidP="004F76F4">
      <w:pPr>
        <w:jc w:val="both"/>
        <w:rPr>
          <w:rFonts w:ascii="Arial" w:hAnsi="Arial"/>
          <w:noProof/>
          <w:sz w:val="24"/>
          <w:szCs w:val="24"/>
          <w:lang w:val="ka-GE"/>
        </w:rPr>
      </w:pPr>
      <w:r w:rsidRPr="004F76F4">
        <w:rPr>
          <w:rFonts w:ascii="Sylfaen" w:hAnsi="Sylfaen"/>
          <w:noProof/>
          <w:sz w:val="24"/>
          <w:szCs w:val="24"/>
          <w:lang w:val="ka-GE"/>
        </w:rPr>
        <w:t xml:space="preserve">სინათლისაგან დაცულ ადგილას, არა უმეტეს </w:t>
      </w:r>
      <w:r w:rsidRPr="004F76F4">
        <w:rPr>
          <w:rFonts w:ascii="Arial" w:hAnsi="Arial"/>
          <w:noProof/>
          <w:sz w:val="24"/>
          <w:szCs w:val="24"/>
          <w:lang w:val="ka-GE"/>
        </w:rPr>
        <w:t>25</w:t>
      </w:r>
      <w:r w:rsidRPr="004F76F4">
        <w:rPr>
          <w:rFonts w:ascii="Arial" w:hAnsi="Arial"/>
          <w:noProof/>
          <w:sz w:val="24"/>
          <w:szCs w:val="24"/>
          <w:lang w:val="ka-GE"/>
        </w:rPr>
        <w:sym w:font="Symbol" w:char="F0B0"/>
      </w:r>
      <w:r w:rsidRPr="004F76F4">
        <w:rPr>
          <w:rFonts w:ascii="Arial" w:hAnsi="Arial"/>
          <w:noProof/>
          <w:sz w:val="24"/>
          <w:szCs w:val="24"/>
          <w:lang w:val="ka-GE"/>
        </w:rPr>
        <w:t>С</w:t>
      </w:r>
      <w:r w:rsidRPr="004F76F4">
        <w:rPr>
          <w:rFonts w:ascii="Sylfaen" w:hAnsi="Sylfaen"/>
          <w:noProof/>
          <w:sz w:val="24"/>
          <w:szCs w:val="24"/>
          <w:lang w:val="ka-GE"/>
        </w:rPr>
        <w:t xml:space="preserve"> ტემპერატურის პირობებში</w:t>
      </w:r>
      <w:r w:rsidRPr="004F76F4">
        <w:rPr>
          <w:rFonts w:ascii="Arial" w:hAnsi="Arial"/>
          <w:noProof/>
          <w:sz w:val="24"/>
          <w:szCs w:val="24"/>
          <w:lang w:val="ka-GE"/>
        </w:rPr>
        <w:t>.</w:t>
      </w:r>
    </w:p>
    <w:p w14:paraId="29C4B41F" w14:textId="77777777" w:rsidR="004F76F4" w:rsidRPr="004F76F4" w:rsidRDefault="004F76F4" w:rsidP="004F76F4">
      <w:pPr>
        <w:jc w:val="both"/>
        <w:rPr>
          <w:rFonts w:ascii="Sylfaen" w:hAnsi="Sylfaen"/>
          <w:noProof/>
          <w:sz w:val="24"/>
          <w:szCs w:val="24"/>
          <w:lang w:val="ka-GE"/>
        </w:rPr>
      </w:pPr>
      <w:r w:rsidRPr="004F76F4">
        <w:rPr>
          <w:rFonts w:ascii="Sylfaen" w:hAnsi="Sylfaen"/>
          <w:noProof/>
          <w:sz w:val="24"/>
          <w:szCs w:val="24"/>
          <w:lang w:val="ka-GE"/>
        </w:rPr>
        <w:t>ინახება ბავშვებისათვის მიუწვდომელ ადგილას.</w:t>
      </w:r>
    </w:p>
    <w:p w14:paraId="23F3D0BF" w14:textId="77777777" w:rsidR="004F76F4" w:rsidRPr="004F76F4" w:rsidRDefault="004F76F4" w:rsidP="004F76F4">
      <w:pPr>
        <w:jc w:val="both"/>
        <w:rPr>
          <w:rFonts w:ascii="Arial" w:hAnsi="Arial"/>
          <w:noProof/>
          <w:sz w:val="24"/>
          <w:szCs w:val="24"/>
          <w:lang w:val="ka-GE"/>
        </w:rPr>
      </w:pPr>
    </w:p>
    <w:p w14:paraId="7A3EE4E5" w14:textId="77777777" w:rsidR="004F76F4" w:rsidRPr="004F76F4" w:rsidRDefault="004F76F4" w:rsidP="004F76F4">
      <w:pPr>
        <w:jc w:val="both"/>
        <w:rPr>
          <w:rFonts w:ascii="Arial" w:hAnsi="Arial"/>
          <w:noProof/>
          <w:sz w:val="24"/>
          <w:szCs w:val="24"/>
          <w:lang w:val="ka-GE"/>
        </w:rPr>
      </w:pPr>
    </w:p>
    <w:p w14:paraId="59E02B03"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b/>
          <w:noProof/>
          <w:sz w:val="24"/>
          <w:szCs w:val="24"/>
          <w:lang w:val="ka-GE"/>
        </w:rPr>
        <w:t>6.5. შეფუთვა</w:t>
      </w:r>
    </w:p>
    <w:p w14:paraId="07DEFBD1"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10 ტაბლეტი ალ/ალ/ბლისტერში. </w:t>
      </w:r>
    </w:p>
    <w:p w14:paraId="106F3FB8"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 xml:space="preserve">2 ბლისტერი მუყაოს კოლოფში ინსტრუქცისათან ერთად. </w:t>
      </w:r>
    </w:p>
    <w:p w14:paraId="16EC3190" w14:textId="77777777" w:rsidR="004F76F4" w:rsidRPr="004F76F4" w:rsidRDefault="004F76F4" w:rsidP="004F76F4">
      <w:pPr>
        <w:jc w:val="both"/>
        <w:rPr>
          <w:rFonts w:ascii="Sylfaen" w:hAnsi="Sylfaen"/>
          <w:noProof/>
          <w:sz w:val="24"/>
          <w:szCs w:val="24"/>
          <w:lang w:val="ka-GE"/>
        </w:rPr>
      </w:pPr>
    </w:p>
    <w:p w14:paraId="7E36323B" w14:textId="2CD4CE00" w:rsidR="004F76F4" w:rsidRPr="004F76F4" w:rsidRDefault="004F76F4" w:rsidP="004F76F4">
      <w:pPr>
        <w:jc w:val="both"/>
        <w:rPr>
          <w:rFonts w:ascii="Sylfaen" w:hAnsi="Sylfaen"/>
          <w:noProof/>
          <w:sz w:val="24"/>
          <w:szCs w:val="24"/>
          <w:lang w:val="ka-GE"/>
        </w:rPr>
      </w:pPr>
      <w:r w:rsidRPr="004F76F4">
        <w:rPr>
          <w:rFonts w:ascii="Sylfaen" w:hAnsi="Sylfaen"/>
          <w:noProof/>
          <w:sz w:val="24"/>
          <w:szCs w:val="24"/>
          <w:lang w:val="ka-GE"/>
        </w:rPr>
        <w:t xml:space="preserve">შეფუთვის ყველა ზომა შეიძლება არ იყოს დარეგისტრირებული. </w:t>
      </w:r>
    </w:p>
    <w:p w14:paraId="0032083C" w14:textId="77777777" w:rsidR="004F76F4" w:rsidRPr="004F76F4" w:rsidRDefault="004F76F4" w:rsidP="004F76F4">
      <w:pPr>
        <w:jc w:val="both"/>
        <w:rPr>
          <w:rFonts w:ascii="Sylfaen" w:hAnsi="Sylfaen"/>
          <w:noProof/>
          <w:sz w:val="24"/>
          <w:szCs w:val="24"/>
          <w:lang w:val="ka-GE"/>
        </w:rPr>
      </w:pPr>
    </w:p>
    <w:p w14:paraId="1A729095" w14:textId="77777777" w:rsidR="004F76F4" w:rsidRPr="004F76F4" w:rsidRDefault="004F76F4" w:rsidP="004F76F4">
      <w:pPr>
        <w:jc w:val="both"/>
        <w:rPr>
          <w:rFonts w:ascii="Sylfaen" w:hAnsi="Sylfaen"/>
          <w:b/>
          <w:noProof/>
          <w:sz w:val="24"/>
          <w:szCs w:val="24"/>
          <w:lang w:val="ka-GE"/>
        </w:rPr>
      </w:pPr>
      <w:r w:rsidRPr="004F76F4">
        <w:rPr>
          <w:rFonts w:ascii="Sylfaen" w:hAnsi="Sylfaen"/>
          <w:b/>
          <w:noProof/>
          <w:sz w:val="24"/>
          <w:szCs w:val="24"/>
          <w:lang w:val="ka-GE"/>
        </w:rPr>
        <w:t>6.6. უტილიზაციისა და სხვა მოხმარების განსაკუთრებული პირობები</w:t>
      </w:r>
    </w:p>
    <w:p w14:paraId="3821731B" w14:textId="77777777" w:rsidR="004F76F4" w:rsidRPr="004F76F4" w:rsidRDefault="004F76F4" w:rsidP="004F76F4">
      <w:pPr>
        <w:jc w:val="both"/>
        <w:rPr>
          <w:rFonts w:ascii="Sylfaen" w:hAnsi="Sylfaen"/>
          <w:b/>
          <w:noProof/>
          <w:sz w:val="24"/>
          <w:szCs w:val="24"/>
          <w:lang w:val="ka-GE"/>
        </w:rPr>
      </w:pPr>
      <w:r w:rsidRPr="004F76F4">
        <w:rPr>
          <w:rFonts w:ascii="Sylfaen" w:hAnsi="Sylfaen"/>
          <w:b/>
          <w:noProof/>
          <w:sz w:val="24"/>
          <w:szCs w:val="24"/>
          <w:lang w:val="ka-GE"/>
        </w:rPr>
        <w:t>-</w:t>
      </w:r>
    </w:p>
    <w:p w14:paraId="7649A5E2" w14:textId="77777777" w:rsidR="004F76F4" w:rsidRPr="004F76F4" w:rsidRDefault="004F76F4" w:rsidP="004F76F4">
      <w:pPr>
        <w:pStyle w:val="ListParagraph"/>
        <w:numPr>
          <w:ilvl w:val="0"/>
          <w:numId w:val="1"/>
        </w:numPr>
        <w:ind w:left="0" w:firstLine="0"/>
        <w:contextualSpacing w:val="0"/>
        <w:jc w:val="both"/>
        <w:rPr>
          <w:rFonts w:ascii="Sylfaen" w:hAnsi="Sylfaen"/>
          <w:b/>
          <w:noProof/>
          <w:sz w:val="24"/>
          <w:szCs w:val="24"/>
          <w:lang w:val="ka-GE"/>
        </w:rPr>
      </w:pPr>
      <w:r w:rsidRPr="004F76F4">
        <w:rPr>
          <w:rFonts w:ascii="Sylfaen" w:hAnsi="Sylfaen"/>
          <w:b/>
          <w:noProof/>
          <w:sz w:val="24"/>
          <w:szCs w:val="24"/>
          <w:lang w:val="ka-GE"/>
        </w:rPr>
        <w:t xml:space="preserve">სავაჭრო უფლებამოსილების მფლობელი </w:t>
      </w:r>
    </w:p>
    <w:p w14:paraId="026DC1AC"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ბაუშ ჰელს ირლანდია ლიმიტედ</w:t>
      </w:r>
    </w:p>
    <w:p w14:paraId="47AB8C9F"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r w:rsidRPr="004F76F4">
        <w:rPr>
          <w:rFonts w:ascii="Sylfaen" w:hAnsi="Sylfaen" w:cs="Arial"/>
          <w:noProof/>
          <w:sz w:val="24"/>
          <w:szCs w:val="24"/>
          <w:lang w:val="ka-GE"/>
        </w:rPr>
        <w:t>3013 ლეიკ დრაივ, სითივესთ ბიზნეს კამპუს, დუბლინი 24, ირლანდია D24 PPT3</w:t>
      </w:r>
    </w:p>
    <w:p w14:paraId="1B3E7EE4" w14:textId="77777777" w:rsidR="004F76F4" w:rsidRPr="004F76F4" w:rsidRDefault="004F76F4" w:rsidP="004F76F4">
      <w:pPr>
        <w:pStyle w:val="ListParagraph"/>
        <w:numPr>
          <w:ilvl w:val="0"/>
          <w:numId w:val="1"/>
        </w:numPr>
        <w:tabs>
          <w:tab w:val="clear" w:pos="570"/>
          <w:tab w:val="left" w:pos="567"/>
          <w:tab w:val="left" w:pos="2520"/>
          <w:tab w:val="left" w:pos="3960"/>
          <w:tab w:val="left" w:pos="4920"/>
          <w:tab w:val="left" w:pos="7200"/>
        </w:tabs>
        <w:ind w:left="0" w:firstLine="0"/>
        <w:contextualSpacing w:val="0"/>
        <w:jc w:val="both"/>
        <w:rPr>
          <w:rFonts w:ascii="Sylfaen" w:hAnsi="Sylfaen" w:cs="Arial"/>
          <w:b/>
          <w:noProof/>
          <w:sz w:val="24"/>
          <w:szCs w:val="24"/>
          <w:lang w:val="ka-GE"/>
        </w:rPr>
      </w:pPr>
      <w:r w:rsidRPr="004F76F4">
        <w:rPr>
          <w:rFonts w:ascii="Sylfaen" w:hAnsi="Sylfaen"/>
          <w:b/>
          <w:noProof/>
          <w:sz w:val="24"/>
          <w:szCs w:val="24"/>
          <w:lang w:val="ka-GE"/>
        </w:rPr>
        <w:t>სავაჭრო უფლებამოსილების ნომერი</w:t>
      </w:r>
    </w:p>
    <w:p w14:paraId="4796B41D"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r w:rsidRPr="004F76F4">
        <w:rPr>
          <w:rFonts w:ascii="Sylfaen" w:hAnsi="Sylfaen" w:cs="Arial"/>
          <w:noProof/>
          <w:sz w:val="24"/>
          <w:szCs w:val="24"/>
          <w:lang w:val="ka-GE"/>
        </w:rPr>
        <w:t>საქართველო</w:t>
      </w:r>
      <w:r w:rsidRPr="004F76F4">
        <w:rPr>
          <w:rFonts w:ascii="Arial" w:hAnsi="Arial" w:cs="Arial"/>
          <w:noProof/>
          <w:sz w:val="24"/>
          <w:szCs w:val="24"/>
          <w:lang w:val="ka-GE"/>
        </w:rPr>
        <w:t>: № R-033251</w:t>
      </w:r>
    </w:p>
    <w:p w14:paraId="7B889AB7"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noProof/>
          <w:sz w:val="24"/>
          <w:szCs w:val="24"/>
          <w:lang w:val="ka-GE"/>
        </w:rPr>
      </w:pPr>
    </w:p>
    <w:p w14:paraId="42A46B0C" w14:textId="77777777" w:rsidR="004F76F4" w:rsidRPr="004F76F4" w:rsidRDefault="004F76F4" w:rsidP="004F76F4">
      <w:pPr>
        <w:tabs>
          <w:tab w:val="left" w:pos="567"/>
          <w:tab w:val="left" w:pos="2520"/>
          <w:tab w:val="left" w:pos="3960"/>
          <w:tab w:val="left" w:pos="4920"/>
          <w:tab w:val="left" w:pos="7200"/>
        </w:tabs>
        <w:jc w:val="both"/>
        <w:rPr>
          <w:rFonts w:ascii="Sylfaen" w:hAnsi="Sylfaen" w:cs="Arial"/>
          <w:b/>
          <w:noProof/>
          <w:sz w:val="24"/>
          <w:szCs w:val="24"/>
          <w:lang w:val="ka-GE"/>
        </w:rPr>
      </w:pPr>
      <w:r w:rsidRPr="004F76F4">
        <w:rPr>
          <w:rFonts w:ascii="Arial" w:hAnsi="Arial" w:cs="Arial"/>
          <w:b/>
          <w:noProof/>
          <w:sz w:val="24"/>
          <w:szCs w:val="24"/>
          <w:lang w:val="ka-GE"/>
        </w:rPr>
        <w:t xml:space="preserve">9. </w:t>
      </w:r>
      <w:r w:rsidRPr="004F76F4">
        <w:rPr>
          <w:rFonts w:ascii="Arial" w:hAnsi="Arial" w:cs="Arial"/>
          <w:b/>
          <w:noProof/>
          <w:sz w:val="24"/>
          <w:szCs w:val="24"/>
          <w:lang w:val="ka-GE"/>
        </w:rPr>
        <w:tab/>
      </w:r>
      <w:r w:rsidRPr="004F76F4">
        <w:rPr>
          <w:rFonts w:ascii="Sylfaen" w:hAnsi="Sylfaen" w:cs="Arial"/>
          <w:b/>
          <w:noProof/>
          <w:sz w:val="24"/>
          <w:szCs w:val="24"/>
          <w:lang w:val="ka-GE"/>
        </w:rPr>
        <w:t>პირველი ავტორიზაციის/ავტორიზაციის განახლების თარიღი (ავსტრია)</w:t>
      </w:r>
    </w:p>
    <w:p w14:paraId="38AB7BE8"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r w:rsidRPr="004F76F4">
        <w:rPr>
          <w:rFonts w:ascii="Arial" w:hAnsi="Arial" w:cs="Arial"/>
          <w:noProof/>
          <w:sz w:val="24"/>
          <w:szCs w:val="24"/>
          <w:lang w:val="ka-GE"/>
        </w:rPr>
        <w:t>11.05.2016</w:t>
      </w:r>
    </w:p>
    <w:p w14:paraId="25BD573D"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p>
    <w:p w14:paraId="6BC87E79"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r w:rsidRPr="004F76F4">
        <w:rPr>
          <w:rFonts w:ascii="Arial" w:hAnsi="Arial" w:cs="Arial"/>
          <w:b/>
          <w:noProof/>
          <w:sz w:val="24"/>
          <w:szCs w:val="24"/>
          <w:lang w:val="ka-GE"/>
        </w:rPr>
        <w:t>10.</w:t>
      </w:r>
      <w:r w:rsidRPr="004F76F4">
        <w:rPr>
          <w:rFonts w:ascii="Arial" w:hAnsi="Arial" w:cs="Arial"/>
          <w:b/>
          <w:noProof/>
          <w:sz w:val="24"/>
          <w:szCs w:val="24"/>
          <w:lang w:val="ka-GE"/>
        </w:rPr>
        <w:tab/>
      </w:r>
      <w:r w:rsidRPr="004F76F4">
        <w:rPr>
          <w:rFonts w:ascii="Sylfaen" w:hAnsi="Sylfaen" w:cs="Arial"/>
          <w:b/>
          <w:noProof/>
          <w:sz w:val="24"/>
          <w:szCs w:val="24"/>
          <w:lang w:val="ka-GE"/>
        </w:rPr>
        <w:t>ტექსტის გადახედვის თარიღი</w:t>
      </w:r>
    </w:p>
    <w:p w14:paraId="05A8D475"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r w:rsidRPr="004F76F4">
        <w:rPr>
          <w:rFonts w:ascii="Arial" w:hAnsi="Arial" w:cs="Arial"/>
          <w:noProof/>
          <w:sz w:val="24"/>
          <w:szCs w:val="24"/>
          <w:lang w:val="ka-GE"/>
        </w:rPr>
        <w:t>13.03.2025</w:t>
      </w:r>
    </w:p>
    <w:p w14:paraId="38EB4094"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p>
    <w:p w14:paraId="341950D2" w14:textId="77777777" w:rsidR="004F76F4" w:rsidRPr="004F76F4" w:rsidRDefault="004F76F4" w:rsidP="004F76F4">
      <w:pPr>
        <w:tabs>
          <w:tab w:val="left" w:pos="567"/>
          <w:tab w:val="left" w:pos="2520"/>
          <w:tab w:val="left" w:pos="3960"/>
          <w:tab w:val="left" w:pos="4920"/>
          <w:tab w:val="left" w:pos="7200"/>
        </w:tabs>
        <w:jc w:val="both"/>
        <w:rPr>
          <w:rFonts w:ascii="Arial" w:hAnsi="Arial" w:cs="Arial"/>
          <w:noProof/>
          <w:sz w:val="24"/>
          <w:szCs w:val="24"/>
          <w:lang w:val="ka-GE"/>
        </w:rPr>
      </w:pPr>
    </w:p>
    <w:p w14:paraId="04DC3A7E" w14:textId="77777777" w:rsidR="004908F0" w:rsidRPr="004908F0" w:rsidRDefault="004908F0" w:rsidP="004908F0">
      <w:pPr>
        <w:rPr>
          <w:b/>
          <w:noProof/>
          <w:sz w:val="24"/>
          <w:szCs w:val="24"/>
          <w:lang w:val="ka-GE"/>
        </w:rPr>
      </w:pPr>
      <w:r w:rsidRPr="004908F0">
        <w:rPr>
          <w:rFonts w:ascii="Sylfaen" w:hAnsi="Sylfaen" w:cs="Sylfaen"/>
          <w:b/>
          <w:noProof/>
          <w:sz w:val="24"/>
          <w:szCs w:val="24"/>
          <w:lang w:val="ka-GE"/>
        </w:rPr>
        <w:t>გაცემის</w:t>
      </w:r>
      <w:r w:rsidRPr="004908F0">
        <w:rPr>
          <w:b/>
          <w:noProof/>
          <w:sz w:val="24"/>
          <w:szCs w:val="24"/>
          <w:lang w:val="ka-GE"/>
        </w:rPr>
        <w:t xml:space="preserve"> </w:t>
      </w:r>
      <w:r w:rsidRPr="004908F0">
        <w:rPr>
          <w:rFonts w:ascii="Sylfaen" w:hAnsi="Sylfaen" w:cs="Sylfaen"/>
          <w:b/>
          <w:noProof/>
          <w:sz w:val="24"/>
          <w:szCs w:val="24"/>
          <w:lang w:val="ka-GE"/>
        </w:rPr>
        <w:t>წესი</w:t>
      </w:r>
      <w:r w:rsidRPr="004908F0">
        <w:rPr>
          <w:b/>
          <w:noProof/>
          <w:sz w:val="24"/>
          <w:szCs w:val="24"/>
          <w:lang w:val="ka-GE"/>
        </w:rPr>
        <w:t>:</w:t>
      </w:r>
      <w:r w:rsidRPr="004908F0">
        <w:rPr>
          <w:b/>
          <w:noProof/>
          <w:sz w:val="24"/>
          <w:szCs w:val="24"/>
          <w:lang w:val="ka-GE"/>
        </w:rPr>
        <w:tab/>
      </w:r>
      <w:r w:rsidRPr="004908F0">
        <w:rPr>
          <w:b/>
          <w:noProof/>
          <w:sz w:val="24"/>
          <w:szCs w:val="24"/>
          <w:lang w:val="ka-GE"/>
        </w:rPr>
        <w:tab/>
      </w:r>
      <w:r w:rsidRPr="004908F0">
        <w:rPr>
          <w:b/>
          <w:noProof/>
          <w:sz w:val="24"/>
          <w:szCs w:val="24"/>
          <w:lang w:val="ka-GE"/>
        </w:rPr>
        <w:tab/>
      </w:r>
    </w:p>
    <w:p w14:paraId="0FBCA335" w14:textId="77777777" w:rsidR="004908F0" w:rsidRPr="004908F0" w:rsidRDefault="004908F0" w:rsidP="004908F0">
      <w:pPr>
        <w:rPr>
          <w:b/>
          <w:noProof/>
          <w:sz w:val="24"/>
          <w:szCs w:val="24"/>
          <w:lang w:val="ka-GE"/>
        </w:rPr>
      </w:pPr>
      <w:r w:rsidRPr="004908F0">
        <w:rPr>
          <w:rFonts w:ascii="Sylfaen" w:hAnsi="Sylfaen" w:cs="Sylfaen"/>
          <w:b/>
          <w:noProof/>
          <w:sz w:val="24"/>
          <w:szCs w:val="24"/>
          <w:lang w:val="ka-GE"/>
        </w:rPr>
        <w:t>ფარმაცევტული</w:t>
      </w:r>
      <w:r w:rsidRPr="004908F0">
        <w:rPr>
          <w:b/>
          <w:noProof/>
          <w:sz w:val="24"/>
          <w:szCs w:val="24"/>
          <w:lang w:val="ka-GE"/>
        </w:rPr>
        <w:t xml:space="preserve"> </w:t>
      </w:r>
      <w:r w:rsidRPr="004908F0">
        <w:rPr>
          <w:rFonts w:ascii="Sylfaen" w:hAnsi="Sylfaen" w:cs="Sylfaen"/>
          <w:b/>
          <w:noProof/>
          <w:sz w:val="24"/>
          <w:szCs w:val="24"/>
          <w:lang w:val="ka-GE"/>
        </w:rPr>
        <w:t>პროდუქტის</w:t>
      </w:r>
      <w:r w:rsidRPr="004908F0">
        <w:rPr>
          <w:b/>
          <w:noProof/>
          <w:sz w:val="24"/>
          <w:szCs w:val="24"/>
          <w:lang w:val="ka-GE"/>
        </w:rPr>
        <w:t xml:space="preserve"> </w:t>
      </w:r>
      <w:r w:rsidRPr="004908F0">
        <w:rPr>
          <w:rFonts w:ascii="Sylfaen" w:hAnsi="Sylfaen" w:cs="Sylfaen"/>
          <w:b/>
          <w:noProof/>
          <w:sz w:val="24"/>
          <w:szCs w:val="24"/>
          <w:lang w:val="ka-GE"/>
        </w:rPr>
        <w:t>ჯგუფი</w:t>
      </w:r>
      <w:r w:rsidRPr="004908F0">
        <w:rPr>
          <w:b/>
          <w:noProof/>
          <w:sz w:val="24"/>
          <w:szCs w:val="24"/>
          <w:lang w:val="ka-GE"/>
        </w:rPr>
        <w:t xml:space="preserve"> III, </w:t>
      </w:r>
      <w:r w:rsidRPr="004908F0">
        <w:rPr>
          <w:rFonts w:ascii="Sylfaen" w:hAnsi="Sylfaen" w:cs="Sylfaen"/>
          <w:b/>
          <w:noProof/>
          <w:sz w:val="24"/>
          <w:szCs w:val="24"/>
          <w:lang w:val="ka-GE"/>
        </w:rPr>
        <w:t>გაიცემა</w:t>
      </w:r>
      <w:r w:rsidRPr="004908F0">
        <w:rPr>
          <w:b/>
          <w:noProof/>
          <w:sz w:val="24"/>
          <w:szCs w:val="24"/>
          <w:lang w:val="ka-GE"/>
        </w:rPr>
        <w:t xml:space="preserve"> </w:t>
      </w:r>
      <w:r w:rsidRPr="004908F0">
        <w:rPr>
          <w:rFonts w:ascii="Sylfaen" w:hAnsi="Sylfaen" w:cs="Sylfaen"/>
          <w:b/>
          <w:noProof/>
          <w:sz w:val="24"/>
          <w:szCs w:val="24"/>
          <w:lang w:val="ka-GE"/>
        </w:rPr>
        <w:t>რეცეპტის</w:t>
      </w:r>
      <w:r w:rsidRPr="004908F0">
        <w:rPr>
          <w:b/>
          <w:noProof/>
          <w:sz w:val="24"/>
          <w:szCs w:val="24"/>
          <w:lang w:val="ka-GE"/>
        </w:rPr>
        <w:t xml:space="preserve"> </w:t>
      </w:r>
      <w:r w:rsidRPr="004908F0">
        <w:rPr>
          <w:rFonts w:ascii="Sylfaen" w:hAnsi="Sylfaen" w:cs="Sylfaen"/>
          <w:b/>
          <w:noProof/>
          <w:sz w:val="24"/>
          <w:szCs w:val="24"/>
          <w:lang w:val="ka-GE"/>
        </w:rPr>
        <w:t>გარეშე</w:t>
      </w:r>
    </w:p>
    <w:p w14:paraId="169CA184" w14:textId="77777777" w:rsidR="00BE0156" w:rsidRPr="004F76F4" w:rsidRDefault="00BE0156">
      <w:pPr>
        <w:rPr>
          <w:noProof/>
          <w:sz w:val="24"/>
          <w:szCs w:val="24"/>
          <w:lang w:val="ka-GE"/>
        </w:rPr>
      </w:pPr>
    </w:p>
    <w:sectPr w:rsidR="00BE0156" w:rsidRPr="004F76F4" w:rsidSect="004F76F4">
      <w:footerReference w:type="default" r:id="rId7"/>
      <w:headerReference w:type="first" r:id="rId8"/>
      <w:pgSz w:w="11907" w:h="16840" w:code="9"/>
      <w:pgMar w:top="0" w:right="837" w:bottom="270" w:left="1080"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6846F" w14:textId="77777777" w:rsidR="0004481F" w:rsidRDefault="0004481F">
      <w:r>
        <w:separator/>
      </w:r>
    </w:p>
  </w:endnote>
  <w:endnote w:type="continuationSeparator" w:id="0">
    <w:p w14:paraId="35DE2B61" w14:textId="77777777" w:rsidR="0004481F" w:rsidRDefault="00044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411360"/>
      <w:docPartObj>
        <w:docPartGallery w:val="Page Numbers (Bottom of Page)"/>
        <w:docPartUnique/>
      </w:docPartObj>
    </w:sdtPr>
    <w:sdtEndPr>
      <w:rPr>
        <w:noProof/>
      </w:rPr>
    </w:sdtEndPr>
    <w:sdtContent>
      <w:p w14:paraId="4A3E6713" w14:textId="77777777" w:rsidR="00156C0F" w:rsidRDefault="00CA5B6A">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57051520" w14:textId="77777777" w:rsidR="00156C0F" w:rsidRPr="00B76D69" w:rsidRDefault="00156C0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2270E" w14:textId="77777777" w:rsidR="0004481F" w:rsidRDefault="0004481F">
      <w:r>
        <w:separator/>
      </w:r>
    </w:p>
  </w:footnote>
  <w:footnote w:type="continuationSeparator" w:id="0">
    <w:p w14:paraId="0EEE2944" w14:textId="77777777" w:rsidR="0004481F" w:rsidRDefault="00044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9BA0" w14:textId="77777777" w:rsidR="00156C0F" w:rsidRPr="00B76D69" w:rsidRDefault="00000000">
    <w:pPr>
      <w:pStyle w:val="Header"/>
      <w:rPr>
        <w:sz w:val="18"/>
        <w:lang w:val="en-GB"/>
      </w:rPr>
    </w:pPr>
    <w:fldSimple w:instr=" FILENAME  \* MERGEFORMAT ">
      <w:r w:rsidR="00CA5B6A" w:rsidRPr="00F318B9">
        <w:rPr>
          <w:noProof/>
          <w:sz w:val="18"/>
          <w:lang w:val="en-GB"/>
        </w:rPr>
        <w:t>SmPC</w:t>
      </w:r>
    </w:fldSimple>
    <w:r w:rsidR="00CA5B6A" w:rsidRPr="00B76D69">
      <w:rPr>
        <w:sz w:val="18"/>
        <w:lang w:val="en-GB"/>
      </w:rPr>
      <w:tab/>
    </w:r>
    <w:r w:rsidR="00CA5B6A" w:rsidRPr="00B76D69">
      <w:rPr>
        <w:sz w:val="18"/>
        <w:lang w:val="en-GB"/>
      </w:rPr>
      <w:tab/>
    </w:r>
    <w:r w:rsidR="00CA5B6A">
      <w:rPr>
        <w:sz w:val="18"/>
      </w:rPr>
      <w:fldChar w:fldCharType="begin"/>
    </w:r>
    <w:r w:rsidR="00CA5B6A" w:rsidRPr="00B76D69">
      <w:rPr>
        <w:sz w:val="18"/>
        <w:lang w:val="en-GB"/>
      </w:rPr>
      <w:instrText xml:space="preserve"> PAGE  \* MERGEFORMAT </w:instrText>
    </w:r>
    <w:r w:rsidR="00CA5B6A">
      <w:rPr>
        <w:sz w:val="18"/>
      </w:rPr>
      <w:fldChar w:fldCharType="separate"/>
    </w:r>
    <w:r w:rsidR="00CA5B6A" w:rsidRPr="00B76D69">
      <w:rPr>
        <w:noProof/>
        <w:sz w:val="18"/>
        <w:lang w:val="en-GB"/>
      </w:rPr>
      <w:t>1</w:t>
    </w:r>
    <w:r w:rsidR="00CA5B6A">
      <w:rPr>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374D7"/>
    <w:multiLevelType w:val="hybridMultilevel"/>
    <w:tmpl w:val="6E1A3E6E"/>
    <w:lvl w:ilvl="0" w:tplc="C3182010">
      <w:start w:val="4"/>
      <w:numFmt w:val="bullet"/>
      <w:lvlText w:val="-"/>
      <w:lvlJc w:val="left"/>
      <w:pPr>
        <w:ind w:left="720" w:hanging="360"/>
      </w:pPr>
      <w:rPr>
        <w:rFonts w:ascii="Sylfaen" w:eastAsia="Times New Roman" w:hAnsi="Sylfaen"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7F4521D"/>
    <w:multiLevelType w:val="multilevel"/>
    <w:tmpl w:val="84BCA236"/>
    <w:lvl w:ilvl="0">
      <w:start w:val="5"/>
      <w:numFmt w:val="decimal"/>
      <w:lvlText w:val="%1."/>
      <w:lvlJc w:val="left"/>
      <w:pPr>
        <w:tabs>
          <w:tab w:val="num" w:pos="570"/>
        </w:tabs>
        <w:ind w:left="570" w:hanging="570"/>
      </w:pPr>
      <w:rPr>
        <w:rFonts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72724856"/>
    <w:multiLevelType w:val="multilevel"/>
    <w:tmpl w:val="06F408F2"/>
    <w:lvl w:ilvl="0">
      <w:start w:val="1"/>
      <w:numFmt w:val="decimal"/>
      <w:lvlText w:val="%1."/>
      <w:lvlJc w:val="left"/>
      <w:pPr>
        <w:ind w:left="360" w:hanging="360"/>
      </w:pPr>
      <w:rPr>
        <w:rFonts w:ascii="Sylfaen" w:hAnsi="Sylfae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39100782">
    <w:abstractNumId w:val="1"/>
  </w:num>
  <w:num w:numId="2" w16cid:durableId="2037075941">
    <w:abstractNumId w:val="2"/>
  </w:num>
  <w:num w:numId="3" w16cid:durableId="1076323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21"/>
    <w:rsid w:val="0004481F"/>
    <w:rsid w:val="00156C0F"/>
    <w:rsid w:val="00206631"/>
    <w:rsid w:val="00213FC6"/>
    <w:rsid w:val="0048776C"/>
    <w:rsid w:val="004908F0"/>
    <w:rsid w:val="004F76F4"/>
    <w:rsid w:val="00574D0F"/>
    <w:rsid w:val="0062233C"/>
    <w:rsid w:val="00700DFF"/>
    <w:rsid w:val="00B366D0"/>
    <w:rsid w:val="00BE0156"/>
    <w:rsid w:val="00CA5B6A"/>
    <w:rsid w:val="00EC4F21"/>
    <w:rsid w:val="00F158F3"/>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EBF0"/>
  <w15:chartTrackingRefBased/>
  <w15:docId w15:val="{95B51E52-D682-4AFE-AEAF-81BAE1C5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ka-G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6F4"/>
    <w:pPr>
      <w:spacing w:after="0" w:line="240" w:lineRule="auto"/>
    </w:pPr>
    <w:rPr>
      <w:rFonts w:ascii="Times New Roman" w:eastAsia="Times New Roman" w:hAnsi="Times New Roman" w:cs="Times New Roman"/>
      <w:kern w:val="0"/>
      <w:sz w:val="20"/>
      <w:szCs w:val="20"/>
      <w:lang w:val="de-DE" w:eastAsia="de-DE"/>
      <w14:ligatures w14:val="none"/>
    </w:rPr>
  </w:style>
  <w:style w:type="paragraph" w:styleId="Heading1">
    <w:name w:val="heading 1"/>
    <w:basedOn w:val="Normal"/>
    <w:next w:val="Normal"/>
    <w:link w:val="Heading1Char"/>
    <w:uiPriority w:val="9"/>
    <w:qFormat/>
    <w:rsid w:val="00EC4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21"/>
    <w:rPr>
      <w:rFonts w:eastAsiaTheme="majorEastAsia" w:cstheme="majorBidi"/>
      <w:color w:val="272727" w:themeColor="text1" w:themeTint="D8"/>
    </w:rPr>
  </w:style>
  <w:style w:type="paragraph" w:styleId="Title">
    <w:name w:val="Title"/>
    <w:basedOn w:val="Normal"/>
    <w:next w:val="Normal"/>
    <w:link w:val="TitleChar"/>
    <w:uiPriority w:val="10"/>
    <w:qFormat/>
    <w:rsid w:val="00EC4F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21"/>
    <w:pPr>
      <w:spacing w:before="160"/>
      <w:jc w:val="center"/>
    </w:pPr>
    <w:rPr>
      <w:i/>
      <w:iCs/>
      <w:color w:val="404040" w:themeColor="text1" w:themeTint="BF"/>
    </w:rPr>
  </w:style>
  <w:style w:type="character" w:customStyle="1" w:styleId="QuoteChar">
    <w:name w:val="Quote Char"/>
    <w:basedOn w:val="DefaultParagraphFont"/>
    <w:link w:val="Quote"/>
    <w:uiPriority w:val="29"/>
    <w:rsid w:val="00EC4F21"/>
    <w:rPr>
      <w:i/>
      <w:iCs/>
      <w:color w:val="404040" w:themeColor="text1" w:themeTint="BF"/>
    </w:rPr>
  </w:style>
  <w:style w:type="paragraph" w:styleId="ListParagraph">
    <w:name w:val="List Paragraph"/>
    <w:basedOn w:val="Normal"/>
    <w:uiPriority w:val="34"/>
    <w:qFormat/>
    <w:rsid w:val="00EC4F21"/>
    <w:pPr>
      <w:ind w:left="720"/>
      <w:contextualSpacing/>
    </w:pPr>
  </w:style>
  <w:style w:type="character" w:styleId="IntenseEmphasis">
    <w:name w:val="Intense Emphasis"/>
    <w:basedOn w:val="DefaultParagraphFont"/>
    <w:uiPriority w:val="21"/>
    <w:qFormat/>
    <w:rsid w:val="00EC4F21"/>
    <w:rPr>
      <w:i/>
      <w:iCs/>
      <w:color w:val="0F4761" w:themeColor="accent1" w:themeShade="BF"/>
    </w:rPr>
  </w:style>
  <w:style w:type="paragraph" w:styleId="IntenseQuote">
    <w:name w:val="Intense Quote"/>
    <w:basedOn w:val="Normal"/>
    <w:next w:val="Normal"/>
    <w:link w:val="IntenseQuoteChar"/>
    <w:uiPriority w:val="30"/>
    <w:qFormat/>
    <w:rsid w:val="00EC4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21"/>
    <w:rPr>
      <w:i/>
      <w:iCs/>
      <w:color w:val="0F4761" w:themeColor="accent1" w:themeShade="BF"/>
    </w:rPr>
  </w:style>
  <w:style w:type="character" w:styleId="IntenseReference">
    <w:name w:val="Intense Reference"/>
    <w:basedOn w:val="DefaultParagraphFont"/>
    <w:uiPriority w:val="32"/>
    <w:qFormat/>
    <w:rsid w:val="00EC4F21"/>
    <w:rPr>
      <w:b/>
      <w:bCs/>
      <w:smallCaps/>
      <w:color w:val="0F4761" w:themeColor="accent1" w:themeShade="BF"/>
      <w:spacing w:val="5"/>
    </w:rPr>
  </w:style>
  <w:style w:type="paragraph" w:styleId="Header">
    <w:name w:val="header"/>
    <w:basedOn w:val="Normal"/>
    <w:link w:val="HeaderChar"/>
    <w:rsid w:val="004F76F4"/>
    <w:pPr>
      <w:tabs>
        <w:tab w:val="center" w:pos="4536"/>
        <w:tab w:val="right" w:pos="9072"/>
      </w:tabs>
    </w:pPr>
  </w:style>
  <w:style w:type="character" w:customStyle="1" w:styleId="HeaderChar">
    <w:name w:val="Header Char"/>
    <w:basedOn w:val="DefaultParagraphFont"/>
    <w:link w:val="Header"/>
    <w:rsid w:val="004F76F4"/>
    <w:rPr>
      <w:rFonts w:ascii="Times New Roman" w:eastAsia="Times New Roman" w:hAnsi="Times New Roman" w:cs="Times New Roman"/>
      <w:kern w:val="0"/>
      <w:sz w:val="20"/>
      <w:szCs w:val="20"/>
      <w:lang w:val="de-DE" w:eastAsia="de-DE"/>
      <w14:ligatures w14:val="none"/>
    </w:rPr>
  </w:style>
  <w:style w:type="paragraph" w:styleId="Footer">
    <w:name w:val="footer"/>
    <w:basedOn w:val="Normal"/>
    <w:link w:val="FooterChar"/>
    <w:uiPriority w:val="99"/>
    <w:rsid w:val="004F76F4"/>
    <w:pPr>
      <w:tabs>
        <w:tab w:val="center" w:pos="4536"/>
        <w:tab w:val="right" w:pos="9072"/>
      </w:tabs>
    </w:pPr>
  </w:style>
  <w:style w:type="character" w:customStyle="1" w:styleId="FooterChar">
    <w:name w:val="Footer Char"/>
    <w:basedOn w:val="DefaultParagraphFont"/>
    <w:link w:val="Footer"/>
    <w:uiPriority w:val="99"/>
    <w:rsid w:val="004F76F4"/>
    <w:rPr>
      <w:rFonts w:ascii="Times New Roman" w:eastAsia="Times New Roman" w:hAnsi="Times New Roman" w:cs="Times New Roman"/>
      <w:kern w:val="0"/>
      <w:sz w:val="20"/>
      <w:szCs w:val="2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188560">
      <w:bodyDiv w:val="1"/>
      <w:marLeft w:val="0"/>
      <w:marRight w:val="0"/>
      <w:marTop w:val="0"/>
      <w:marBottom w:val="0"/>
      <w:divBdr>
        <w:top w:val="none" w:sz="0" w:space="0" w:color="auto"/>
        <w:left w:val="none" w:sz="0" w:space="0" w:color="auto"/>
        <w:bottom w:val="none" w:sz="0" w:space="0" w:color="auto"/>
        <w:right w:val="none" w:sz="0" w:space="0" w:color="auto"/>
      </w:divBdr>
    </w:div>
    <w:div w:id="155877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1794</Words>
  <Characters>10228</Characters>
  <Application>Microsoft Office Word</Application>
  <DocSecurity>0</DocSecurity>
  <Lines>85</Lines>
  <Paragraphs>23</Paragraphs>
  <ScaleCrop>false</ScaleCrop>
  <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Nanuli Janiashvili</dc:creator>
  <cp:keywords/>
  <dc:description/>
  <cp:lastModifiedBy>Tsitsino Kobakhidze</cp:lastModifiedBy>
  <cp:revision>7</cp:revision>
  <dcterms:created xsi:type="dcterms:W3CDTF">2025-07-29T06:35:00Z</dcterms:created>
  <dcterms:modified xsi:type="dcterms:W3CDTF">2026-04-07T05:32:00Z</dcterms:modified>
</cp:coreProperties>
</file>