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6A2E4" w14:textId="77777777" w:rsidR="00B80BE0" w:rsidRDefault="00B80BE0" w:rsidP="00B80BE0">
      <w:pPr>
        <w:spacing w:after="0" w:line="240" w:lineRule="auto"/>
        <w:jc w:val="center"/>
        <w:rPr>
          <w:rFonts w:ascii="Sylfaen" w:hAnsi="Sylfaen"/>
          <w:b/>
          <w:bCs/>
          <w:sz w:val="24"/>
          <w:szCs w:val="24"/>
          <w:lang w:val="ka-GE"/>
        </w:rPr>
      </w:pPr>
    </w:p>
    <w:p w14:paraId="5F1784E1" w14:textId="7230E318" w:rsidR="006802A8" w:rsidRDefault="006802A8" w:rsidP="006802A8">
      <w:pPr>
        <w:spacing w:after="0" w:line="240" w:lineRule="auto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1. სამკურნალო საშუალების დასახელება</w:t>
      </w:r>
    </w:p>
    <w:p w14:paraId="245183DB" w14:textId="5B7D3B9C" w:rsidR="006802A8" w:rsidRPr="00AF2FD5" w:rsidRDefault="00AF2FD5" w:rsidP="006802A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/>
          <w:bCs/>
          <w:sz w:val="24"/>
          <w:szCs w:val="24"/>
          <w:lang w:val="ka-GE"/>
        </w:rPr>
        <w:t>ინესტომი პედიატრიული 30% პერორალური ხსნარი</w:t>
      </w:r>
    </w:p>
    <w:p w14:paraId="2E8D2E98" w14:textId="77777777" w:rsidR="006802A8" w:rsidRDefault="006802A8" w:rsidP="006802A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</w:p>
    <w:p w14:paraId="57AD8F0A" w14:textId="5F559372" w:rsidR="006802A8" w:rsidRPr="006802A8" w:rsidRDefault="006802A8" w:rsidP="006802A8">
      <w:pPr>
        <w:spacing w:after="0" w:line="240" w:lineRule="auto"/>
        <w:rPr>
          <w:rFonts w:ascii="Sylfaen" w:hAnsi="Sylfaen"/>
          <w:b/>
          <w:bCs/>
          <w:sz w:val="24"/>
          <w:szCs w:val="24"/>
          <w:lang w:val="ka-GE"/>
        </w:rPr>
      </w:pPr>
      <w:r w:rsidRPr="006802A8">
        <w:rPr>
          <w:rFonts w:ascii="Sylfaen" w:hAnsi="Sylfaen"/>
          <w:b/>
          <w:bCs/>
          <w:sz w:val="24"/>
          <w:szCs w:val="24"/>
          <w:lang w:val="ka-GE"/>
        </w:rPr>
        <w:t>2. თვისობრივი და რაოდენობრივი შემადგენ</w:t>
      </w:r>
      <w:r w:rsidR="00D02CF9">
        <w:rPr>
          <w:rFonts w:ascii="Sylfaen" w:hAnsi="Sylfaen"/>
          <w:b/>
          <w:bCs/>
          <w:sz w:val="24"/>
          <w:szCs w:val="24"/>
          <w:lang w:val="ka-GE"/>
        </w:rPr>
        <w:t>ლ</w:t>
      </w:r>
      <w:r w:rsidRPr="006802A8">
        <w:rPr>
          <w:rFonts w:ascii="Sylfaen" w:hAnsi="Sylfaen"/>
          <w:b/>
          <w:bCs/>
          <w:sz w:val="24"/>
          <w:szCs w:val="24"/>
          <w:lang w:val="ka-GE"/>
        </w:rPr>
        <w:t>ობა</w:t>
      </w:r>
    </w:p>
    <w:p w14:paraId="38554C2C" w14:textId="27B104DE" w:rsidR="006802A8" w:rsidRPr="009A7FEC" w:rsidRDefault="00B059E8" w:rsidP="006802A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/>
          <w:bCs/>
          <w:sz w:val="24"/>
          <w:szCs w:val="24"/>
          <w:lang w:val="ka-GE"/>
        </w:rPr>
        <w:t xml:space="preserve">ლევოკარნიტინი 30% </w:t>
      </w:r>
      <w:r w:rsidRPr="009A7FEC">
        <w:rPr>
          <w:rFonts w:ascii="Sylfaen" w:hAnsi="Sylfaen"/>
          <w:bCs/>
          <w:sz w:val="24"/>
          <w:szCs w:val="24"/>
          <w:lang w:val="ka-GE"/>
        </w:rPr>
        <w:t xml:space="preserve">w/v (300 </w:t>
      </w:r>
      <w:r>
        <w:rPr>
          <w:rFonts w:ascii="Sylfaen" w:hAnsi="Sylfaen"/>
          <w:bCs/>
          <w:sz w:val="24"/>
          <w:szCs w:val="24"/>
          <w:lang w:val="ka-GE"/>
        </w:rPr>
        <w:t>მგ/მლ</w:t>
      </w:r>
      <w:r w:rsidRPr="009A7FEC">
        <w:rPr>
          <w:rFonts w:ascii="Sylfaen" w:hAnsi="Sylfaen"/>
          <w:bCs/>
          <w:sz w:val="24"/>
          <w:szCs w:val="24"/>
          <w:lang w:val="ka-GE"/>
        </w:rPr>
        <w:t>)</w:t>
      </w:r>
    </w:p>
    <w:p w14:paraId="4D1481B4" w14:textId="77777777" w:rsidR="00B059E8" w:rsidRPr="009A7FEC" w:rsidRDefault="00B059E8" w:rsidP="006802A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</w:p>
    <w:p w14:paraId="26C0B40E" w14:textId="204692A0" w:rsidR="00B059E8" w:rsidRDefault="00B059E8" w:rsidP="006802A8">
      <w:pPr>
        <w:spacing w:after="0" w:line="240" w:lineRule="auto"/>
        <w:rPr>
          <w:rFonts w:ascii="Sylfaen" w:hAnsi="Sylfaen"/>
          <w:bCs/>
          <w:sz w:val="24"/>
          <w:szCs w:val="24"/>
          <w:u w:val="single"/>
          <w:lang w:val="ka-GE"/>
        </w:rPr>
      </w:pPr>
      <w:r>
        <w:rPr>
          <w:rFonts w:ascii="Sylfaen" w:hAnsi="Sylfaen"/>
          <w:bCs/>
          <w:sz w:val="24"/>
          <w:szCs w:val="24"/>
          <w:u w:val="single"/>
          <w:lang w:val="ka-GE"/>
        </w:rPr>
        <w:t>დამხმარე ნივთიერებები ცნობილი მოქმედებით</w:t>
      </w:r>
    </w:p>
    <w:p w14:paraId="49C83282" w14:textId="02C04A54" w:rsidR="00B059E8" w:rsidRDefault="00B059E8" w:rsidP="006802A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/>
          <w:bCs/>
          <w:sz w:val="24"/>
          <w:szCs w:val="24"/>
          <w:lang w:val="ka-GE"/>
        </w:rPr>
        <w:t>სორბიტოლის ხსნარი (70%)</w:t>
      </w:r>
    </w:p>
    <w:p w14:paraId="25F02939" w14:textId="10F7F838" w:rsidR="00B059E8" w:rsidRDefault="00B059E8" w:rsidP="006802A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/>
          <w:bCs/>
          <w:sz w:val="24"/>
          <w:szCs w:val="24"/>
          <w:lang w:val="ka-GE"/>
        </w:rPr>
        <w:t>ნატრიუმის პროპილჰიდროქსიბენზოატი</w:t>
      </w:r>
    </w:p>
    <w:p w14:paraId="096A25BD" w14:textId="13FA313F" w:rsidR="00B059E8" w:rsidRDefault="00B059E8" w:rsidP="006802A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/>
          <w:bCs/>
          <w:sz w:val="24"/>
          <w:szCs w:val="24"/>
          <w:lang w:val="ka-GE"/>
        </w:rPr>
        <w:t>ნატრიუმის მეთილჰიდროქსიბენზოატი</w:t>
      </w:r>
    </w:p>
    <w:p w14:paraId="003FFA82" w14:textId="302C2E8F" w:rsidR="00B059E8" w:rsidRDefault="00B059E8" w:rsidP="006802A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/>
          <w:bCs/>
          <w:sz w:val="24"/>
          <w:szCs w:val="24"/>
          <w:lang w:val="ka-GE"/>
        </w:rPr>
        <w:t>საქაროზა</w:t>
      </w:r>
    </w:p>
    <w:p w14:paraId="365EFFD2" w14:textId="200BBD5D" w:rsidR="00B059E8" w:rsidRDefault="00B059E8" w:rsidP="006802A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/>
          <w:bCs/>
          <w:sz w:val="24"/>
          <w:szCs w:val="24"/>
          <w:lang w:val="ka-GE"/>
        </w:rPr>
        <w:t>ჰიდროქლორმჟავა კონცენტრირებული</w:t>
      </w:r>
    </w:p>
    <w:p w14:paraId="7588E6D0" w14:textId="7D6C5FBD" w:rsidR="00B059E8" w:rsidRDefault="00B059E8" w:rsidP="006802A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/>
          <w:bCs/>
          <w:sz w:val="24"/>
          <w:szCs w:val="24"/>
          <w:lang w:val="ka-GE"/>
        </w:rPr>
        <w:t>გასუფთავებული წყალი</w:t>
      </w:r>
    </w:p>
    <w:p w14:paraId="3CCFD662" w14:textId="0C60311E" w:rsidR="006802A8" w:rsidRDefault="006802A8" w:rsidP="006802A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/>
          <w:bCs/>
          <w:sz w:val="24"/>
          <w:szCs w:val="24"/>
          <w:lang w:val="ka-GE"/>
        </w:rPr>
        <w:t xml:space="preserve">დამხმარე ნივთიერებების სრული ჩამონათვალი იხილეთ პარაგრაფში 6.1 </w:t>
      </w:r>
    </w:p>
    <w:p w14:paraId="6148F243" w14:textId="77777777" w:rsidR="006802A8" w:rsidRDefault="006802A8" w:rsidP="006802A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</w:p>
    <w:p w14:paraId="4682CE2E" w14:textId="78AA7033" w:rsidR="006802A8" w:rsidRDefault="00B059E8" w:rsidP="006802A8">
      <w:pPr>
        <w:spacing w:after="0" w:line="240" w:lineRule="auto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3</w:t>
      </w:r>
      <w:r w:rsidR="006802A8" w:rsidRPr="006802A8">
        <w:rPr>
          <w:rFonts w:ascii="Sylfaen" w:hAnsi="Sylfaen"/>
          <w:b/>
          <w:bCs/>
          <w:sz w:val="24"/>
          <w:szCs w:val="24"/>
          <w:lang w:val="ka-GE"/>
        </w:rPr>
        <w:t>. ფარმაცევტული ფორმა</w:t>
      </w:r>
    </w:p>
    <w:p w14:paraId="7F1264FD" w14:textId="69A416DA" w:rsidR="006802A8" w:rsidRDefault="00B059E8" w:rsidP="006802A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პერორალური ხსნარი</w:t>
      </w:r>
    </w:p>
    <w:p w14:paraId="118ED50C" w14:textId="3346792E" w:rsidR="00B059E8" w:rsidRDefault="00B059E8" w:rsidP="006802A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უფეროდან მოყვითალო შეფერილობის გამჭვირვალე ხსნარი</w:t>
      </w:r>
    </w:p>
    <w:p w14:paraId="2C442D10" w14:textId="6BE4CB2A" w:rsidR="006802A8" w:rsidRDefault="00B059E8" w:rsidP="006802A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4E818039" w14:textId="4353073D" w:rsidR="006802A8" w:rsidRPr="006802A8" w:rsidRDefault="00B059E8" w:rsidP="006802A8">
      <w:pPr>
        <w:spacing w:after="0" w:line="240" w:lineRule="auto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4. </w:t>
      </w:r>
      <w:r w:rsidR="006802A8" w:rsidRPr="006802A8">
        <w:rPr>
          <w:rFonts w:ascii="Sylfaen" w:hAnsi="Sylfaen"/>
          <w:b/>
          <w:sz w:val="24"/>
          <w:szCs w:val="24"/>
          <w:lang w:val="ka-GE"/>
        </w:rPr>
        <w:t>კლინიკური მახასიათებლები</w:t>
      </w:r>
    </w:p>
    <w:p w14:paraId="0C3B3487" w14:textId="0B4B9246" w:rsidR="00F8713C" w:rsidRDefault="006802A8" w:rsidP="00F8713C">
      <w:pPr>
        <w:spacing w:after="0" w:line="240" w:lineRule="auto"/>
        <w:rPr>
          <w:rFonts w:ascii="Sylfaen" w:hAnsi="Sylfaen"/>
          <w:b/>
          <w:bCs/>
          <w:sz w:val="24"/>
          <w:szCs w:val="24"/>
          <w:lang w:val="ka-GE"/>
        </w:rPr>
      </w:pPr>
      <w:r w:rsidRPr="006802A8">
        <w:rPr>
          <w:rFonts w:ascii="Sylfaen" w:hAnsi="Sylfaen"/>
          <w:b/>
          <w:bCs/>
          <w:sz w:val="24"/>
          <w:szCs w:val="24"/>
          <w:lang w:val="ka-GE"/>
        </w:rPr>
        <w:t>4.1 თერაპიული ჩვენებ</w:t>
      </w:r>
      <w:r w:rsidR="00186077">
        <w:rPr>
          <w:rFonts w:ascii="Sylfaen" w:hAnsi="Sylfaen"/>
          <w:b/>
          <w:bCs/>
          <w:sz w:val="24"/>
          <w:szCs w:val="24"/>
          <w:lang w:val="ka-GE"/>
        </w:rPr>
        <w:t>ები</w:t>
      </w:r>
    </w:p>
    <w:p w14:paraId="728D2CD6" w14:textId="0F89DF16" w:rsidR="006802A8" w:rsidRPr="00F8713C" w:rsidRDefault="00F8713C" w:rsidP="00F8713C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F8713C">
        <w:rPr>
          <w:rFonts w:ascii="Sylfaen" w:hAnsi="Sylfaen" w:cs="Sylfaen"/>
          <w:sz w:val="24"/>
          <w:szCs w:val="24"/>
          <w:lang w:val="ka-GE"/>
        </w:rPr>
        <w:t>ინე</w:t>
      </w:r>
      <w:r>
        <w:rPr>
          <w:rFonts w:ascii="Sylfaen" w:hAnsi="Sylfaen" w:cs="Sylfaen"/>
          <w:sz w:val="24"/>
          <w:szCs w:val="24"/>
          <w:lang w:val="ka-GE"/>
        </w:rPr>
        <w:t xml:space="preserve">სტომი პედიატრიული 30% </w:t>
      </w:r>
      <w:r>
        <w:rPr>
          <w:rFonts w:ascii="Sylfaen" w:hAnsi="Sylfaen"/>
          <w:bCs/>
          <w:sz w:val="24"/>
          <w:szCs w:val="24"/>
          <w:lang w:val="ka-GE"/>
        </w:rPr>
        <w:t xml:space="preserve">პერორალური ხსნარი ინიშნება კარნიტინის პირველადი და მეორადი უკმარისობის სამკურნალოდ 12 წლამდე ასაკის ბავშვებში, ჩვილებსა და ახალშობილებში. </w:t>
      </w:r>
    </w:p>
    <w:p w14:paraId="66A2CE4C" w14:textId="77777777" w:rsidR="006802A8" w:rsidRDefault="006802A8" w:rsidP="006802A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01FA712A" w14:textId="57445DDA" w:rsidR="006802A8" w:rsidRDefault="006802A8" w:rsidP="006802A8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6802A8">
        <w:rPr>
          <w:rFonts w:ascii="Sylfaen" w:hAnsi="Sylfaen"/>
          <w:b/>
          <w:sz w:val="24"/>
          <w:szCs w:val="24"/>
          <w:lang w:val="ka-GE"/>
        </w:rPr>
        <w:t xml:space="preserve">4.2 დოზირება და </w:t>
      </w:r>
      <w:r w:rsidR="006E3A55">
        <w:rPr>
          <w:rFonts w:ascii="Sylfaen" w:hAnsi="Sylfaen"/>
          <w:b/>
          <w:sz w:val="24"/>
          <w:szCs w:val="24"/>
          <w:lang w:val="ka-GE"/>
        </w:rPr>
        <w:t>გამოყენების</w:t>
      </w:r>
      <w:r w:rsidRPr="006802A8">
        <w:rPr>
          <w:rFonts w:ascii="Sylfaen" w:hAnsi="Sylfaen"/>
          <w:b/>
          <w:sz w:val="24"/>
          <w:szCs w:val="24"/>
          <w:lang w:val="ka-GE"/>
        </w:rPr>
        <w:t xml:space="preserve"> წესი </w:t>
      </w:r>
    </w:p>
    <w:p w14:paraId="0630D3AE" w14:textId="1B1037C8" w:rsidR="00E25458" w:rsidRDefault="00F8713C" w:rsidP="00BF2874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 w:rsidRPr="00F8713C">
        <w:rPr>
          <w:rFonts w:ascii="Sylfaen" w:hAnsi="Sylfaen"/>
          <w:b/>
          <w:sz w:val="24"/>
          <w:szCs w:val="24"/>
          <w:u w:val="single"/>
          <w:lang w:val="ka-GE"/>
        </w:rPr>
        <w:t>დოზირება</w:t>
      </w:r>
    </w:p>
    <w:p w14:paraId="5838AF99" w14:textId="77269E36" w:rsidR="00F8713C" w:rsidRDefault="00F8713C" w:rsidP="00BF2874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12 წლამდე ასაკის ბავშვები, ჩვილები და ახალშობილები</w:t>
      </w:r>
    </w:p>
    <w:p w14:paraId="1F90762E" w14:textId="3724D755" w:rsidR="00F8713C" w:rsidRDefault="00F8713C" w:rsidP="00BF2874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 w:rsidRPr="00F8713C">
        <w:rPr>
          <w:rFonts w:ascii="Sylfaen" w:hAnsi="Sylfaen"/>
          <w:sz w:val="24"/>
          <w:szCs w:val="24"/>
          <w:lang w:val="ka-GE"/>
        </w:rPr>
        <w:t>რეკო</w:t>
      </w:r>
      <w:r>
        <w:rPr>
          <w:rFonts w:ascii="Sylfaen" w:hAnsi="Sylfaen"/>
          <w:sz w:val="24"/>
          <w:szCs w:val="24"/>
          <w:lang w:val="ka-GE"/>
        </w:rPr>
        <w:t xml:space="preserve">მენდებულია თერაპიის მონიტორინგი პლაზმაში და შარდში თავისუფალი და აცილკარნიტინის დონის განსაზღვრის გზით. </w:t>
      </w:r>
    </w:p>
    <w:p w14:paraId="3A6105B6" w14:textId="77777777" w:rsidR="00F8713C" w:rsidRDefault="00F8713C" w:rsidP="00BF2874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1B65B34B" w14:textId="279C0ECD" w:rsidR="00F8713C" w:rsidRDefault="00F8713C" w:rsidP="00BF2874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F8713C">
        <w:rPr>
          <w:rFonts w:ascii="Sylfaen" w:hAnsi="Sylfaen"/>
          <w:b/>
          <w:sz w:val="24"/>
          <w:szCs w:val="24"/>
          <w:lang w:val="ka-GE"/>
        </w:rPr>
        <w:t>მეტაბოლიზმის თანდაყოლილი დარღვევების მკურნალობა</w:t>
      </w:r>
    </w:p>
    <w:p w14:paraId="28F09E0C" w14:textId="0A20AEA6" w:rsidR="00F8713C" w:rsidRDefault="00F8713C" w:rsidP="00BF2874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 w:rsidRPr="00F8713C">
        <w:rPr>
          <w:rFonts w:ascii="Sylfaen" w:hAnsi="Sylfaen"/>
          <w:sz w:val="24"/>
          <w:szCs w:val="24"/>
          <w:lang w:val="ka-GE"/>
        </w:rPr>
        <w:t>საჭირო დოზა</w:t>
      </w:r>
      <w:r w:rsidRPr="009A7FEC">
        <w:rPr>
          <w:rFonts w:ascii="Sylfaen" w:hAnsi="Sylfaen"/>
          <w:sz w:val="24"/>
          <w:szCs w:val="24"/>
          <w:lang w:val="ka-GE"/>
        </w:rPr>
        <w:t xml:space="preserve"> </w:t>
      </w:r>
      <w:r w:rsidRPr="00F8713C">
        <w:rPr>
          <w:rFonts w:ascii="Sylfaen" w:hAnsi="Sylfaen"/>
          <w:sz w:val="24"/>
          <w:szCs w:val="24"/>
          <w:lang w:val="ka-GE"/>
        </w:rPr>
        <w:t xml:space="preserve">დამოკიდებულია მეტაბოლიზმის </w:t>
      </w:r>
      <w:r>
        <w:rPr>
          <w:rFonts w:ascii="Sylfaen" w:hAnsi="Sylfaen"/>
          <w:sz w:val="24"/>
          <w:szCs w:val="24"/>
          <w:lang w:val="ka-GE"/>
        </w:rPr>
        <w:t>თანდაყოლილ კონკრეტულ</w:t>
      </w:r>
      <w:r w:rsidRPr="00F8713C">
        <w:rPr>
          <w:rFonts w:ascii="Sylfaen" w:hAnsi="Sylfaen"/>
          <w:sz w:val="24"/>
          <w:szCs w:val="24"/>
          <w:lang w:val="ka-GE"/>
        </w:rPr>
        <w:t xml:space="preserve"> დარღვევ</w:t>
      </w:r>
      <w:r>
        <w:rPr>
          <w:rFonts w:ascii="Sylfaen" w:hAnsi="Sylfaen"/>
          <w:sz w:val="24"/>
          <w:szCs w:val="24"/>
          <w:lang w:val="ka-GE"/>
        </w:rPr>
        <w:t xml:space="preserve">აზე და მკურნალობის პერიოდში გამოვლენის სიმძიმეზე. თუმცა, შემდეგი ინფორმაცია გასათვალისწინებელია ზოგადი სახელმძღვანელოს სახით. </w:t>
      </w:r>
    </w:p>
    <w:p w14:paraId="1006B0E7" w14:textId="77777777" w:rsidR="00F8713C" w:rsidRDefault="00F8713C" w:rsidP="00BF2874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6BBD52A0" w14:textId="4C47412D" w:rsidR="00F8713C" w:rsidRDefault="00EC0DCC" w:rsidP="00BF2874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გარკვეული დაავადებების შემთხვევაში </w:t>
      </w:r>
      <w:r w:rsidR="004E2555">
        <w:rPr>
          <w:rFonts w:ascii="Sylfaen" w:hAnsi="Sylfaen"/>
          <w:sz w:val="24"/>
          <w:szCs w:val="24"/>
          <w:lang w:val="ka-GE"/>
        </w:rPr>
        <w:t>რეკომენდებ</w:t>
      </w:r>
      <w:r>
        <w:rPr>
          <w:rFonts w:ascii="Sylfaen" w:hAnsi="Sylfaen"/>
          <w:sz w:val="24"/>
          <w:szCs w:val="24"/>
          <w:lang w:val="ka-GE"/>
        </w:rPr>
        <w:t xml:space="preserve">ულია </w:t>
      </w:r>
      <w:r w:rsidRPr="00262E39">
        <w:rPr>
          <w:rFonts w:ascii="Sylfaen" w:hAnsi="Sylfaen"/>
          <w:sz w:val="24"/>
          <w:szCs w:val="24"/>
          <w:lang w:val="ka-GE"/>
        </w:rPr>
        <w:t xml:space="preserve">ქრონიკული გამოყენება </w:t>
      </w:r>
      <w:r w:rsidR="004E2555" w:rsidRPr="00262E39">
        <w:rPr>
          <w:rFonts w:ascii="Sylfaen" w:hAnsi="Sylfaen"/>
          <w:sz w:val="24"/>
          <w:szCs w:val="24"/>
          <w:lang w:val="ka-GE"/>
        </w:rPr>
        <w:t xml:space="preserve">პერორალური </w:t>
      </w:r>
      <w:r w:rsidRPr="00262E39">
        <w:rPr>
          <w:rFonts w:ascii="Sylfaen" w:hAnsi="Sylfaen"/>
          <w:sz w:val="24"/>
          <w:szCs w:val="24"/>
          <w:lang w:val="ka-GE"/>
        </w:rPr>
        <w:t>დოზით 200 მგ-მდე/კგ დღეში განაწილებული 2-4 მი</w:t>
      </w:r>
      <w:r>
        <w:rPr>
          <w:rFonts w:ascii="Sylfaen" w:hAnsi="Sylfaen"/>
          <w:sz w:val="24"/>
          <w:szCs w:val="24"/>
          <w:lang w:val="ka-GE"/>
        </w:rPr>
        <w:t>ღებაზე, სხვა მდგომარეობების დროს საკმარისია უფრო მცირე დოზები. თუ არ აღინიშნა კლინიკური და ბიოქიმიური სიმპტომების გაუმჯობესება, დოზ</w:t>
      </w:r>
      <w:r w:rsidR="005844BD">
        <w:rPr>
          <w:rFonts w:ascii="Sylfaen" w:hAnsi="Sylfaen"/>
          <w:sz w:val="24"/>
          <w:szCs w:val="24"/>
          <w:lang w:val="ka-GE"/>
        </w:rPr>
        <w:t>ა</w:t>
      </w:r>
      <w:r>
        <w:rPr>
          <w:rFonts w:ascii="Sylfaen" w:hAnsi="Sylfaen"/>
          <w:sz w:val="24"/>
          <w:szCs w:val="24"/>
          <w:lang w:val="ka-GE"/>
        </w:rPr>
        <w:t xml:space="preserve"> შეიძლება გაიზარდოს ხანმოკლე პერიოდის განმავლობაში. მწვავე მეტაბოლური დეკომპენსაციის შემთხვევაში შეიძ</w:t>
      </w:r>
      <w:r w:rsidR="005844BD">
        <w:rPr>
          <w:rFonts w:ascii="Sylfaen" w:hAnsi="Sylfaen"/>
          <w:sz w:val="24"/>
          <w:szCs w:val="24"/>
          <w:lang w:val="ka-GE"/>
        </w:rPr>
        <w:t>ლ</w:t>
      </w:r>
      <w:r>
        <w:rPr>
          <w:rFonts w:ascii="Sylfaen" w:hAnsi="Sylfaen"/>
          <w:sz w:val="24"/>
          <w:szCs w:val="24"/>
          <w:lang w:val="ka-GE"/>
        </w:rPr>
        <w:t xml:space="preserve">ება </w:t>
      </w:r>
      <w:r>
        <w:rPr>
          <w:rFonts w:ascii="Sylfaen" w:hAnsi="Sylfaen"/>
          <w:sz w:val="24"/>
          <w:szCs w:val="24"/>
          <w:lang w:val="ka-GE"/>
        </w:rPr>
        <w:lastRenderedPageBreak/>
        <w:t>საჭირო იყოს პრეპარატის უფრო მაღალი დოზები, 400 მგ-მდე/კგ დღეში</w:t>
      </w:r>
      <w:r w:rsidR="005844BD">
        <w:rPr>
          <w:rFonts w:ascii="Sylfaen" w:hAnsi="Sylfaen"/>
          <w:sz w:val="24"/>
          <w:szCs w:val="24"/>
          <w:lang w:val="ka-GE"/>
        </w:rPr>
        <w:t>,</w:t>
      </w:r>
      <w:r>
        <w:rPr>
          <w:rFonts w:ascii="Sylfaen" w:hAnsi="Sylfaen"/>
          <w:sz w:val="24"/>
          <w:szCs w:val="24"/>
          <w:lang w:val="ka-GE"/>
        </w:rPr>
        <w:t xml:space="preserve"> ან პრეპარატის ინტრავენური გზით შეყვანა. </w:t>
      </w:r>
    </w:p>
    <w:p w14:paraId="3E76053D" w14:textId="77777777" w:rsidR="00EC0DCC" w:rsidRDefault="00EC0DCC" w:rsidP="00BF2874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1ADA1E8A" w14:textId="6CC99E0B" w:rsidR="00EC0DCC" w:rsidRDefault="00EC0DCC" w:rsidP="00BF2874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ჰემოდიალიზი - შემანარჩუნებელი თერაპია</w:t>
      </w:r>
    </w:p>
    <w:p w14:paraId="3CD259BE" w14:textId="52CA0B40" w:rsidR="00EC0DCC" w:rsidRDefault="00A23A28" w:rsidP="00BF2874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თუ ინტრავენური ლევოკარნიტინის თერაპიის პირველი კურსის შედეგად მიღწეულია მნიშვნელოვანი კლინიკური </w:t>
      </w:r>
      <w:r w:rsidR="005844BD">
        <w:rPr>
          <w:rFonts w:ascii="Sylfaen" w:hAnsi="Sylfaen"/>
          <w:sz w:val="24"/>
          <w:szCs w:val="24"/>
          <w:lang w:val="ka-GE"/>
        </w:rPr>
        <w:t>სარგებელი</w:t>
      </w:r>
      <w:r>
        <w:rPr>
          <w:rFonts w:ascii="Sylfaen" w:hAnsi="Sylfaen"/>
          <w:sz w:val="24"/>
          <w:szCs w:val="24"/>
          <w:lang w:val="ka-GE"/>
        </w:rPr>
        <w:t xml:space="preserve">, </w:t>
      </w:r>
      <w:r w:rsidR="00AF37FE">
        <w:rPr>
          <w:rFonts w:ascii="Sylfaen" w:hAnsi="Sylfaen"/>
          <w:sz w:val="24"/>
          <w:szCs w:val="24"/>
          <w:lang w:val="ka-GE"/>
        </w:rPr>
        <w:t xml:space="preserve">შეიძლება განხილული იქნას შემანარჩუნებელი თერაპია დღეში 1 გ ლევოკარნიტინის პერორალურად გამოყენების გზით. დიალიზის ჩატარების დღეს ლევოკარნიტინი პერორალურად მიიღება </w:t>
      </w:r>
      <w:r w:rsidR="005844BD">
        <w:rPr>
          <w:rFonts w:ascii="Sylfaen" w:hAnsi="Sylfaen"/>
          <w:sz w:val="24"/>
          <w:szCs w:val="24"/>
          <w:lang w:val="ka-GE"/>
        </w:rPr>
        <w:t>სეა</w:t>
      </w:r>
      <w:r w:rsidR="00AF37FE">
        <w:rPr>
          <w:rFonts w:ascii="Sylfaen" w:hAnsi="Sylfaen"/>
          <w:sz w:val="24"/>
          <w:szCs w:val="24"/>
          <w:lang w:val="ka-GE"/>
        </w:rPr>
        <w:t xml:space="preserve">ნსის დასრულებისას. </w:t>
      </w:r>
    </w:p>
    <w:p w14:paraId="35554150" w14:textId="2A8623BB" w:rsidR="00AF37FE" w:rsidRDefault="00AF37FE" w:rsidP="00BF2874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ბავშვებისთვის მაქსიმალური დოზა შეადგენს 1 გ-ს დღეში, მეორადი უკმარისობის შემანარჩუნებელი თერაპიის სახით გამოყენებისას პაციენტებში, რომლებსაც უტარდებათ დიალიზი. </w:t>
      </w:r>
    </w:p>
    <w:p w14:paraId="5CEA7B39" w14:textId="77777777" w:rsidR="00AF37FE" w:rsidRDefault="00AF37FE" w:rsidP="00BF2874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77159798" w14:textId="5ED8A935" w:rsidR="00AF37FE" w:rsidRPr="00AF37FE" w:rsidRDefault="00AF37FE" w:rsidP="00BF2874">
      <w:pPr>
        <w:spacing w:after="0" w:line="360" w:lineRule="atLeast"/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r w:rsidRPr="00AF37FE">
        <w:rPr>
          <w:rFonts w:ascii="Sylfaen" w:hAnsi="Sylfaen"/>
          <w:b/>
          <w:sz w:val="24"/>
          <w:szCs w:val="24"/>
          <w:u w:val="single"/>
          <w:lang w:val="ka-GE"/>
        </w:rPr>
        <w:t>მიღების წესი</w:t>
      </w:r>
    </w:p>
    <w:p w14:paraId="414C0189" w14:textId="28AEFE0B" w:rsidR="00EC0DCC" w:rsidRPr="00AF37FE" w:rsidRDefault="00AF37FE" w:rsidP="00BF2874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მხოლოდ პერორალური მიღებისთვის. პედიატრიული ხსნარის მიღება შეიძლება პირდაპირ, ასევე წყალში ან ხილის წვენში გახსნის შემდეგ. </w:t>
      </w:r>
    </w:p>
    <w:p w14:paraId="2456D773" w14:textId="77777777" w:rsidR="00E25458" w:rsidRDefault="00E25458" w:rsidP="00BF2874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32940FCD" w14:textId="237C32D2" w:rsidR="00E25458" w:rsidRDefault="00E25458" w:rsidP="00BF2874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25458">
        <w:rPr>
          <w:rFonts w:ascii="Sylfaen" w:hAnsi="Sylfaen"/>
          <w:b/>
          <w:sz w:val="24"/>
          <w:szCs w:val="24"/>
          <w:lang w:val="ka-GE"/>
        </w:rPr>
        <w:t>4.3</w:t>
      </w:r>
      <w:r>
        <w:rPr>
          <w:rFonts w:ascii="Sylfaen" w:hAnsi="Sylfaen"/>
          <w:b/>
          <w:sz w:val="24"/>
          <w:szCs w:val="24"/>
          <w:lang w:val="ka-GE"/>
        </w:rPr>
        <w:t xml:space="preserve"> უკუჩვენება</w:t>
      </w:r>
    </w:p>
    <w:p w14:paraId="6EB665F2" w14:textId="46FA03EF" w:rsidR="00E25458" w:rsidRPr="00AF37FE" w:rsidRDefault="00E25458" w:rsidP="00AF37FE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 w:rsidRPr="00AF37FE">
        <w:rPr>
          <w:rFonts w:ascii="Sylfaen" w:hAnsi="Sylfaen" w:cs="Sylfaen"/>
          <w:sz w:val="24"/>
          <w:szCs w:val="24"/>
          <w:lang w:val="ka-GE"/>
        </w:rPr>
        <w:t>ჰიპერმგრძნობელობა</w:t>
      </w:r>
      <w:r w:rsidRPr="00AF37FE">
        <w:rPr>
          <w:rFonts w:ascii="Sylfaen" w:hAnsi="Sylfaen"/>
          <w:sz w:val="24"/>
          <w:szCs w:val="24"/>
          <w:lang w:val="ka-GE"/>
        </w:rPr>
        <w:t xml:space="preserve"> მოქმედი ნივთიერების ან ნებისმიერი დამხმარე ნივთიერების მიმართ, რომლებიც ჩამოთვლილია პარაგრაფში 6.1. </w:t>
      </w:r>
    </w:p>
    <w:p w14:paraId="5CAF262C" w14:textId="77777777" w:rsidR="00913846" w:rsidRDefault="00913846" w:rsidP="00913846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375B15BB" w14:textId="77777777" w:rsidR="0083634A" w:rsidRDefault="00913846" w:rsidP="00913846">
      <w:pPr>
        <w:spacing w:after="0" w:line="360" w:lineRule="atLeast"/>
        <w:jc w:val="both"/>
        <w:rPr>
          <w:rFonts w:ascii="Sylfaen" w:hAnsi="Sylfaen"/>
          <w:b/>
          <w:bCs/>
          <w:color w:val="000000"/>
          <w:sz w:val="24"/>
          <w:szCs w:val="24"/>
          <w:lang w:val="ka-GE"/>
        </w:rPr>
      </w:pPr>
      <w:r w:rsidRPr="002E0CCB">
        <w:rPr>
          <w:rFonts w:ascii="Sylfaen" w:hAnsi="Sylfaen"/>
          <w:b/>
          <w:sz w:val="24"/>
          <w:szCs w:val="24"/>
          <w:lang w:val="ka-GE"/>
        </w:rPr>
        <w:t xml:space="preserve">4.4  </w:t>
      </w:r>
      <w:r w:rsidR="00E25458" w:rsidRPr="002E0CCB">
        <w:rPr>
          <w:rFonts w:ascii="Sylfaen" w:hAnsi="Sylfaen"/>
          <w:b/>
          <w:sz w:val="24"/>
          <w:szCs w:val="24"/>
          <w:lang w:val="ka-GE"/>
        </w:rPr>
        <w:t xml:space="preserve">  </w:t>
      </w:r>
      <w:r w:rsidRPr="002E0CCB">
        <w:rPr>
          <w:rFonts w:ascii="Sylfaen" w:hAnsi="Sylfaen"/>
          <w:b/>
          <w:bCs/>
          <w:color w:val="000000"/>
          <w:sz w:val="24"/>
          <w:szCs w:val="24"/>
          <w:lang w:val="ka-GE"/>
        </w:rPr>
        <w:t>სპეციალური გაფრთხილება და სიფრთხილის ზომები გამოყენებისას</w:t>
      </w:r>
    </w:p>
    <w:p w14:paraId="1748187C" w14:textId="394ED6AA" w:rsidR="00E25458" w:rsidRDefault="0083634A" w:rsidP="00913846">
      <w:pPr>
        <w:spacing w:after="0" w:line="360" w:lineRule="atLeast"/>
        <w:jc w:val="both"/>
        <w:rPr>
          <w:rFonts w:ascii="Sylfaen" w:hAnsi="Sylfaen"/>
          <w:bCs/>
          <w:color w:val="000000"/>
          <w:sz w:val="24"/>
          <w:szCs w:val="24"/>
          <w:lang w:val="ka-GE"/>
        </w:rPr>
      </w:pPr>
      <w:r w:rsidRPr="0083634A">
        <w:rPr>
          <w:rFonts w:ascii="Sylfaen" w:hAnsi="Sylfaen"/>
          <w:bCs/>
          <w:color w:val="000000"/>
          <w:sz w:val="24"/>
          <w:szCs w:val="24"/>
          <w:lang w:val="ka-GE"/>
        </w:rPr>
        <w:t>გლ</w:t>
      </w:r>
      <w:r w:rsidR="002634E9">
        <w:rPr>
          <w:rFonts w:ascii="Sylfaen" w:hAnsi="Sylfaen"/>
          <w:bCs/>
          <w:color w:val="000000"/>
          <w:sz w:val="24"/>
          <w:szCs w:val="24"/>
          <w:lang w:val="ka-GE"/>
        </w:rPr>
        <w:t xml:space="preserve">უკოზის </w:t>
      </w:r>
      <w:r w:rsidR="005844BD">
        <w:rPr>
          <w:rFonts w:ascii="Sylfaen" w:hAnsi="Sylfaen"/>
          <w:bCs/>
          <w:color w:val="000000"/>
          <w:sz w:val="24"/>
          <w:szCs w:val="24"/>
          <w:lang w:val="ka-GE"/>
        </w:rPr>
        <w:t>ათვისების</w:t>
      </w:r>
      <w:r w:rsidR="002634E9">
        <w:rPr>
          <w:rFonts w:ascii="Sylfaen" w:hAnsi="Sylfaen"/>
          <w:bCs/>
          <w:color w:val="000000"/>
          <w:sz w:val="24"/>
          <w:szCs w:val="24"/>
          <w:lang w:val="ka-GE"/>
        </w:rPr>
        <w:t xml:space="preserve"> გაუმჯობესებისას დიაბეტის მქონე პაციენტებში, რომლებიც იღებენ ინსულინს ან პერორალურ ჰიპოგლიკემიურ პრეპარატებს, ლევოკარნიტინმა შეიძლება გამოიწვიოს ჰიპოგლიკემია. ამ ჯგუფში მყოფ პაციენტებშ</w:t>
      </w:r>
      <w:r w:rsidR="005844BD">
        <w:rPr>
          <w:rFonts w:ascii="Sylfaen" w:hAnsi="Sylfaen"/>
          <w:bCs/>
          <w:color w:val="000000"/>
          <w:sz w:val="24"/>
          <w:szCs w:val="24"/>
          <w:lang w:val="ka-GE"/>
        </w:rPr>
        <w:t>ი</w:t>
      </w:r>
      <w:r w:rsidR="002634E9">
        <w:rPr>
          <w:rFonts w:ascii="Sylfaen" w:hAnsi="Sylfaen"/>
          <w:bCs/>
          <w:color w:val="000000"/>
          <w:sz w:val="24"/>
          <w:szCs w:val="24"/>
          <w:lang w:val="ka-GE"/>
        </w:rPr>
        <w:t xml:space="preserve"> პლაზმაში გლუკოზის დონის მონიტორინგი უნდა განხორციელდეს რეგულარულად, საჭიროების შემთხვევაში, ჰიპოგლიკემიური პრეპარატების დოზის დაუყოვნებლივ კორექციის მიზნით. </w:t>
      </w:r>
    </w:p>
    <w:p w14:paraId="4B33122C" w14:textId="77777777" w:rsidR="002634E9" w:rsidRDefault="002634E9" w:rsidP="00913846">
      <w:pPr>
        <w:spacing w:after="0" w:line="360" w:lineRule="atLeast"/>
        <w:jc w:val="both"/>
        <w:rPr>
          <w:rFonts w:ascii="Sylfaen" w:hAnsi="Sylfaen"/>
          <w:bCs/>
          <w:color w:val="000000"/>
          <w:sz w:val="24"/>
          <w:szCs w:val="24"/>
          <w:lang w:val="ka-GE"/>
        </w:rPr>
      </w:pPr>
    </w:p>
    <w:p w14:paraId="026E136E" w14:textId="2F52F62B" w:rsidR="002634E9" w:rsidRDefault="002634E9" w:rsidP="00913846">
      <w:pPr>
        <w:spacing w:after="0" w:line="360" w:lineRule="atLeast"/>
        <w:jc w:val="both"/>
        <w:rPr>
          <w:rFonts w:ascii="Sylfaen" w:hAnsi="Sylfaen"/>
          <w:bCs/>
          <w:color w:val="000000"/>
          <w:sz w:val="24"/>
          <w:szCs w:val="24"/>
          <w:lang w:val="ka-GE"/>
        </w:rPr>
      </w:pPr>
      <w:r>
        <w:rPr>
          <w:rFonts w:ascii="Sylfaen" w:hAnsi="Sylfaen"/>
          <w:bCs/>
          <w:color w:val="000000"/>
          <w:sz w:val="24"/>
          <w:szCs w:val="24"/>
          <w:lang w:val="ka-GE"/>
        </w:rPr>
        <w:t>თირკმელების უკმარისობის მქონე პაციენტებში პერორალური ლევოკარნიტინის უსაფრთხოება და ეფექტიანობა არ არის შეფასებული</w:t>
      </w:r>
      <w:r w:rsidR="00B54244">
        <w:rPr>
          <w:rFonts w:ascii="Sylfaen" w:hAnsi="Sylfaen"/>
          <w:bCs/>
          <w:color w:val="000000"/>
          <w:sz w:val="24"/>
          <w:szCs w:val="24"/>
          <w:lang w:val="ka-GE"/>
        </w:rPr>
        <w:t>. თირკმელების ფუნქციის მძიმე  დარღვევების მქონე პაციენტებში ან თირკმელების</w:t>
      </w:r>
      <w:r w:rsidR="00B54244" w:rsidRPr="009A7FEC">
        <w:rPr>
          <w:rFonts w:ascii="Sylfaen" w:hAnsi="Sylfaen"/>
          <w:bCs/>
          <w:color w:val="000000"/>
          <w:sz w:val="24"/>
          <w:szCs w:val="24"/>
          <w:lang w:val="ka-GE"/>
        </w:rPr>
        <w:t xml:space="preserve"> </w:t>
      </w:r>
      <w:r w:rsidR="00B54244">
        <w:rPr>
          <w:rFonts w:ascii="Sylfaen" w:hAnsi="Sylfaen"/>
          <w:bCs/>
          <w:color w:val="000000"/>
          <w:sz w:val="24"/>
          <w:szCs w:val="24"/>
          <w:lang w:val="ka-GE"/>
        </w:rPr>
        <w:t>დაავადების ტერმინალური სტადიის დროს, როდესაც პაციენტს უტარდება დიალიზი, პერორალური ლევოკარნიტინის მაღალი დოზების ქრონიკული გამოყენება შეიძლება იწვევდეს პოტენციურად ტოქსიური მეტაბოლიტების, ტრიმეთილამინის და ტრიმეთილამინი-</w:t>
      </w:r>
      <w:r w:rsidR="00B54244" w:rsidRPr="009A7FEC">
        <w:rPr>
          <w:rFonts w:ascii="Sylfaen" w:hAnsi="Sylfaen"/>
          <w:bCs/>
          <w:color w:val="000000"/>
          <w:sz w:val="24"/>
          <w:szCs w:val="24"/>
          <w:lang w:val="ka-GE"/>
        </w:rPr>
        <w:t>N-</w:t>
      </w:r>
      <w:r w:rsidR="00B54244">
        <w:rPr>
          <w:rFonts w:ascii="Sylfaen" w:hAnsi="Sylfaen"/>
          <w:bCs/>
          <w:color w:val="000000"/>
          <w:sz w:val="24"/>
          <w:szCs w:val="24"/>
          <w:lang w:val="ka-GE"/>
        </w:rPr>
        <w:t xml:space="preserve">ოქსიდის, დაგროვებას, რადგან ჩვეულებრივ ეს მეტაბოლიტები შარდში გამოიყოფა. ეს </w:t>
      </w:r>
      <w:r w:rsidR="002F08FB">
        <w:rPr>
          <w:rFonts w:ascii="Sylfaen" w:hAnsi="Sylfaen"/>
          <w:bCs/>
          <w:color w:val="000000"/>
          <w:sz w:val="24"/>
          <w:szCs w:val="24"/>
          <w:lang w:val="ka-GE"/>
        </w:rPr>
        <w:t xml:space="preserve">სიტუაცია არ აღინიშნა ლევოკარნიტინის ინტრავენური შეყვანისას. </w:t>
      </w:r>
    </w:p>
    <w:p w14:paraId="6ADCAFD9" w14:textId="77777777" w:rsidR="002F08FB" w:rsidRDefault="002F08FB" w:rsidP="00913846">
      <w:pPr>
        <w:spacing w:after="0" w:line="360" w:lineRule="atLeast"/>
        <w:jc w:val="both"/>
        <w:rPr>
          <w:rFonts w:ascii="Sylfaen" w:hAnsi="Sylfaen"/>
          <w:bCs/>
          <w:color w:val="000000"/>
          <w:sz w:val="24"/>
          <w:szCs w:val="24"/>
          <w:lang w:val="ka-GE"/>
        </w:rPr>
      </w:pPr>
    </w:p>
    <w:p w14:paraId="1CBA9D79" w14:textId="5BBE485D" w:rsidR="002F08FB" w:rsidRDefault="002F08FB" w:rsidP="00913846">
      <w:pPr>
        <w:spacing w:after="0" w:line="360" w:lineRule="atLeast"/>
        <w:jc w:val="both"/>
        <w:rPr>
          <w:rFonts w:ascii="Sylfaen" w:hAnsi="Sylfaen"/>
          <w:bCs/>
          <w:color w:val="000000"/>
          <w:sz w:val="24"/>
          <w:szCs w:val="24"/>
          <w:lang w:val="ka-GE"/>
        </w:rPr>
      </w:pPr>
      <w:r>
        <w:rPr>
          <w:rFonts w:ascii="Sylfaen" w:hAnsi="Sylfaen"/>
          <w:bCs/>
          <w:color w:val="000000"/>
          <w:sz w:val="24"/>
          <w:szCs w:val="24"/>
          <w:lang w:val="ka-GE"/>
        </w:rPr>
        <w:t>ლევოკარნიტინის და კუმარინული პრეპარატების ერთდროულად მიღებისას აღინიშნა საერთაშორისო ნორმალიზებული თანაფარდობის (სნთ) მნიშვნელობის მომატების</w:t>
      </w:r>
      <w:r w:rsidRPr="009A7FEC">
        <w:rPr>
          <w:rFonts w:ascii="Sylfaen" w:hAnsi="Sylfaen"/>
          <w:bCs/>
          <w:color w:val="000000"/>
          <w:sz w:val="24"/>
          <w:szCs w:val="24"/>
          <w:lang w:val="ka-GE"/>
        </w:rPr>
        <w:t xml:space="preserve"> </w:t>
      </w:r>
      <w:r>
        <w:rPr>
          <w:rFonts w:ascii="Sylfaen" w:hAnsi="Sylfaen"/>
          <w:bCs/>
          <w:color w:val="000000"/>
          <w:sz w:val="24"/>
          <w:szCs w:val="24"/>
          <w:lang w:val="ka-GE"/>
        </w:rPr>
        <w:t xml:space="preserve"> </w:t>
      </w:r>
      <w:r>
        <w:rPr>
          <w:rFonts w:ascii="Sylfaen" w:hAnsi="Sylfaen"/>
          <w:bCs/>
          <w:color w:val="000000"/>
          <w:sz w:val="24"/>
          <w:szCs w:val="24"/>
          <w:lang w:val="ka-GE"/>
        </w:rPr>
        <w:lastRenderedPageBreak/>
        <w:t>ძალიან იშვიათი შემთხვევები. იხ. პარაგრაფი 4.5 “ურთიერთქმედება“ და პარაგრაფი 4.8 “არასასურველი მოვლენები“.</w:t>
      </w:r>
    </w:p>
    <w:p w14:paraId="3AFECAFE" w14:textId="77777777" w:rsidR="002F08FB" w:rsidRDefault="002F08FB" w:rsidP="00913846">
      <w:pPr>
        <w:spacing w:after="0" w:line="360" w:lineRule="atLeast"/>
        <w:jc w:val="both"/>
        <w:rPr>
          <w:rFonts w:ascii="Sylfaen" w:hAnsi="Sylfaen"/>
          <w:bCs/>
          <w:color w:val="000000"/>
          <w:sz w:val="24"/>
          <w:szCs w:val="24"/>
          <w:lang w:val="ka-GE"/>
        </w:rPr>
      </w:pPr>
    </w:p>
    <w:p w14:paraId="2DEB0CAD" w14:textId="2D520A1D" w:rsidR="002F08FB" w:rsidRDefault="002F08FB" w:rsidP="00913846">
      <w:pPr>
        <w:spacing w:after="0" w:line="360" w:lineRule="atLeast"/>
        <w:jc w:val="both"/>
        <w:rPr>
          <w:rFonts w:ascii="Sylfaen" w:hAnsi="Sylfaen"/>
          <w:bCs/>
          <w:color w:val="000000"/>
          <w:sz w:val="24"/>
          <w:szCs w:val="24"/>
          <w:lang w:val="ka-GE"/>
        </w:rPr>
      </w:pPr>
      <w:r>
        <w:rPr>
          <w:rFonts w:ascii="Sylfaen" w:hAnsi="Sylfaen"/>
          <w:bCs/>
          <w:color w:val="000000"/>
          <w:sz w:val="24"/>
          <w:szCs w:val="24"/>
          <w:u w:val="single"/>
          <w:lang w:val="ka-GE"/>
        </w:rPr>
        <w:t>დამხმარე ნივთიერებები</w:t>
      </w:r>
    </w:p>
    <w:p w14:paraId="3F5AB607" w14:textId="688D33F0" w:rsidR="002F08FB" w:rsidRDefault="002F08FB" w:rsidP="00913846">
      <w:pPr>
        <w:spacing w:after="0" w:line="360" w:lineRule="atLeast"/>
        <w:jc w:val="both"/>
        <w:rPr>
          <w:rFonts w:ascii="Sylfaen" w:hAnsi="Sylfaen"/>
          <w:bCs/>
          <w:color w:val="000000"/>
          <w:sz w:val="24"/>
          <w:szCs w:val="24"/>
          <w:lang w:val="ka-GE"/>
        </w:rPr>
      </w:pPr>
      <w:r>
        <w:rPr>
          <w:rFonts w:ascii="Sylfaen" w:hAnsi="Sylfaen"/>
          <w:bCs/>
          <w:color w:val="000000"/>
          <w:sz w:val="24"/>
          <w:szCs w:val="24"/>
          <w:lang w:val="ka-GE"/>
        </w:rPr>
        <w:t xml:space="preserve">30% პერორალური ხსნარი შეიცავს საქაროზას და სორბიტოლს. ეს გასათვალისწინებელია დიაბეტის მქონე პაციენტების და იმ პაციენტების მკურნალობისას, რომლებიც იცავენ დიეტას კალორიების შემცირებული მიღებით. </w:t>
      </w:r>
      <w:r w:rsidR="00E07C3D">
        <w:rPr>
          <w:rFonts w:ascii="Sylfaen" w:hAnsi="Sylfaen"/>
          <w:bCs/>
          <w:color w:val="000000"/>
          <w:sz w:val="24"/>
          <w:szCs w:val="24"/>
          <w:lang w:val="ka-GE"/>
        </w:rPr>
        <w:t>ეს პრეპარატი</w:t>
      </w:r>
      <w:r w:rsidR="00E07C3D" w:rsidRPr="009A7FEC">
        <w:rPr>
          <w:rFonts w:ascii="Sylfaen" w:hAnsi="Sylfaen"/>
          <w:bCs/>
          <w:color w:val="000000"/>
          <w:sz w:val="24"/>
          <w:szCs w:val="24"/>
          <w:lang w:val="ka-GE"/>
        </w:rPr>
        <w:t xml:space="preserve"> </w:t>
      </w:r>
      <w:r w:rsidR="00E07C3D">
        <w:rPr>
          <w:rFonts w:ascii="Sylfaen" w:hAnsi="Sylfaen"/>
          <w:bCs/>
          <w:color w:val="000000"/>
          <w:sz w:val="24"/>
          <w:szCs w:val="24"/>
          <w:lang w:val="ka-GE"/>
        </w:rPr>
        <w:t>არ უნდა მიიღონ</w:t>
      </w:r>
      <w:r w:rsidR="00E07C3D" w:rsidRPr="009A7FEC">
        <w:rPr>
          <w:rFonts w:ascii="Sylfaen" w:hAnsi="Sylfaen"/>
          <w:bCs/>
          <w:color w:val="000000"/>
          <w:sz w:val="24"/>
          <w:szCs w:val="24"/>
          <w:lang w:val="ka-GE"/>
        </w:rPr>
        <w:t xml:space="preserve"> </w:t>
      </w:r>
      <w:r>
        <w:rPr>
          <w:rFonts w:ascii="Sylfaen" w:hAnsi="Sylfaen"/>
          <w:bCs/>
          <w:color w:val="000000"/>
          <w:sz w:val="24"/>
          <w:szCs w:val="24"/>
          <w:lang w:val="ka-GE"/>
        </w:rPr>
        <w:t>პაციენტებ</w:t>
      </w:r>
      <w:r w:rsidR="00E07C3D">
        <w:rPr>
          <w:rFonts w:ascii="Sylfaen" w:hAnsi="Sylfaen"/>
          <w:bCs/>
          <w:color w:val="000000"/>
          <w:sz w:val="24"/>
          <w:szCs w:val="24"/>
          <w:lang w:val="ka-GE"/>
        </w:rPr>
        <w:t>მა</w:t>
      </w:r>
      <w:r>
        <w:rPr>
          <w:rFonts w:ascii="Sylfaen" w:hAnsi="Sylfaen"/>
          <w:bCs/>
          <w:color w:val="000000"/>
          <w:sz w:val="24"/>
          <w:szCs w:val="24"/>
          <w:lang w:val="ka-GE"/>
        </w:rPr>
        <w:t xml:space="preserve"> ფრუქტოზის აუტანლობის იშვიათი მემკვიდრეობითი პრობლემებით, გლუკოზა-გალაქტოზის მალაბსორბციით ან საქაროზა-იზომალტაზის უკმარისობით</w:t>
      </w:r>
      <w:r w:rsidR="00E07C3D">
        <w:rPr>
          <w:rFonts w:ascii="Sylfaen" w:hAnsi="Sylfaen"/>
          <w:bCs/>
          <w:color w:val="000000"/>
          <w:sz w:val="24"/>
          <w:szCs w:val="24"/>
          <w:lang w:val="ka-GE"/>
        </w:rPr>
        <w:t xml:space="preserve">. </w:t>
      </w:r>
    </w:p>
    <w:p w14:paraId="2848EB74" w14:textId="77777777" w:rsidR="00E07C3D" w:rsidRDefault="00E07C3D" w:rsidP="00913846">
      <w:pPr>
        <w:spacing w:after="0" w:line="360" w:lineRule="atLeast"/>
        <w:jc w:val="both"/>
        <w:rPr>
          <w:rFonts w:ascii="Sylfaen" w:hAnsi="Sylfaen"/>
          <w:bCs/>
          <w:color w:val="000000"/>
          <w:sz w:val="24"/>
          <w:szCs w:val="24"/>
          <w:lang w:val="ka-GE"/>
        </w:rPr>
      </w:pPr>
    </w:p>
    <w:p w14:paraId="107D91D7" w14:textId="1EE8CAA5" w:rsidR="00E07C3D" w:rsidRDefault="00E07C3D" w:rsidP="00913846">
      <w:pPr>
        <w:spacing w:after="0" w:line="360" w:lineRule="atLeast"/>
        <w:jc w:val="both"/>
        <w:rPr>
          <w:rFonts w:ascii="Sylfaen" w:hAnsi="Sylfaen"/>
          <w:bCs/>
          <w:color w:val="000000"/>
          <w:sz w:val="24"/>
          <w:szCs w:val="24"/>
          <w:lang w:val="ka-GE"/>
        </w:rPr>
      </w:pPr>
      <w:r>
        <w:rPr>
          <w:rFonts w:ascii="Sylfaen" w:hAnsi="Sylfaen"/>
          <w:bCs/>
          <w:color w:val="000000"/>
          <w:sz w:val="24"/>
          <w:szCs w:val="24"/>
          <w:lang w:val="ka-GE"/>
        </w:rPr>
        <w:t>30% პერორალური ხსნარი</w:t>
      </w:r>
      <w:r w:rsidRPr="009A7FEC">
        <w:rPr>
          <w:rFonts w:ascii="Sylfaen" w:hAnsi="Sylfaen"/>
          <w:bCs/>
          <w:color w:val="000000"/>
          <w:sz w:val="24"/>
          <w:szCs w:val="24"/>
          <w:lang w:val="ka-GE"/>
        </w:rPr>
        <w:t xml:space="preserve"> </w:t>
      </w:r>
      <w:r>
        <w:rPr>
          <w:rFonts w:ascii="Sylfaen" w:hAnsi="Sylfaen"/>
          <w:bCs/>
          <w:color w:val="000000"/>
          <w:sz w:val="24"/>
          <w:szCs w:val="24"/>
          <w:lang w:val="ka-GE"/>
        </w:rPr>
        <w:t>შეიცავს ნატრიუმის პროპილჰიდროქსიბენზოატს (</w:t>
      </w:r>
      <w:r w:rsidRPr="009A7FEC">
        <w:rPr>
          <w:rFonts w:ascii="Sylfaen" w:hAnsi="Sylfaen"/>
          <w:bCs/>
          <w:color w:val="000000"/>
          <w:sz w:val="24"/>
          <w:szCs w:val="24"/>
          <w:lang w:val="ka-GE"/>
        </w:rPr>
        <w:t>E217</w:t>
      </w:r>
      <w:r>
        <w:rPr>
          <w:rFonts w:ascii="Sylfaen" w:hAnsi="Sylfaen"/>
          <w:bCs/>
          <w:color w:val="000000"/>
          <w:sz w:val="24"/>
          <w:szCs w:val="24"/>
          <w:lang w:val="ka-GE"/>
        </w:rPr>
        <w:t>)</w:t>
      </w:r>
      <w:r w:rsidRPr="009A7FEC">
        <w:rPr>
          <w:rFonts w:ascii="Sylfaen" w:hAnsi="Sylfaen"/>
          <w:bCs/>
          <w:color w:val="000000"/>
          <w:sz w:val="24"/>
          <w:szCs w:val="24"/>
          <w:lang w:val="ka-GE"/>
        </w:rPr>
        <w:t xml:space="preserve"> </w:t>
      </w:r>
      <w:r>
        <w:rPr>
          <w:rFonts w:ascii="Sylfaen" w:hAnsi="Sylfaen"/>
          <w:bCs/>
          <w:color w:val="000000"/>
          <w:sz w:val="24"/>
          <w:szCs w:val="24"/>
          <w:lang w:val="ka-GE"/>
        </w:rPr>
        <w:t>და ნატრიუმის მეთილჰიდროქსიბენზოატს (</w:t>
      </w:r>
      <w:r w:rsidRPr="009A7FEC">
        <w:rPr>
          <w:rFonts w:ascii="Sylfaen" w:hAnsi="Sylfaen"/>
          <w:bCs/>
          <w:color w:val="000000"/>
          <w:sz w:val="24"/>
          <w:szCs w:val="24"/>
          <w:lang w:val="ka-GE"/>
        </w:rPr>
        <w:t>E219</w:t>
      </w:r>
      <w:r>
        <w:rPr>
          <w:rFonts w:ascii="Sylfaen" w:hAnsi="Sylfaen"/>
          <w:bCs/>
          <w:color w:val="000000"/>
          <w:sz w:val="24"/>
          <w:szCs w:val="24"/>
          <w:lang w:val="ka-GE"/>
        </w:rPr>
        <w:t xml:space="preserve">), რომლებმაც შეიძლება გამოიწვიოს ალერგიული რეაქციები (შესაძლოა, დაგვიანებული). </w:t>
      </w:r>
    </w:p>
    <w:p w14:paraId="3311D568" w14:textId="77777777" w:rsidR="00E07C3D" w:rsidRDefault="00E07C3D" w:rsidP="00913846">
      <w:pPr>
        <w:spacing w:after="0" w:line="360" w:lineRule="atLeast"/>
        <w:jc w:val="both"/>
        <w:rPr>
          <w:rFonts w:ascii="Sylfaen" w:hAnsi="Sylfaen"/>
          <w:bCs/>
          <w:color w:val="000000"/>
          <w:sz w:val="24"/>
          <w:szCs w:val="24"/>
          <w:lang w:val="ka-GE"/>
        </w:rPr>
      </w:pPr>
    </w:p>
    <w:p w14:paraId="4E34C5FB" w14:textId="6D1FD6C6" w:rsidR="00E07C3D" w:rsidRDefault="00E07C3D" w:rsidP="00913846">
      <w:pPr>
        <w:spacing w:after="0" w:line="360" w:lineRule="atLeast"/>
        <w:jc w:val="both"/>
        <w:rPr>
          <w:rFonts w:ascii="Sylfaen" w:hAnsi="Sylfaen"/>
          <w:bCs/>
          <w:color w:val="000000"/>
          <w:sz w:val="24"/>
          <w:szCs w:val="24"/>
          <w:lang w:val="ka-GE"/>
        </w:rPr>
      </w:pPr>
      <w:r w:rsidRPr="00E07C3D">
        <w:rPr>
          <w:rFonts w:ascii="Sylfaen" w:hAnsi="Sylfaen"/>
          <w:bCs/>
          <w:color w:val="000000"/>
          <w:sz w:val="24"/>
          <w:szCs w:val="24"/>
          <w:lang w:val="ka-GE"/>
        </w:rPr>
        <w:t xml:space="preserve">მოცემული პრეპარატის ერთი ფლაკონი შეიცავს 1 მმოლზე ნაკლებ ნატრიუმს (23 მგ), ესე იგი შეიძლება ჩავთვალოთ, რომ პრეპარატი პრაქტიკულად </w:t>
      </w:r>
      <w:r>
        <w:rPr>
          <w:rFonts w:ascii="Sylfaen" w:hAnsi="Sylfaen"/>
          <w:bCs/>
          <w:color w:val="000000"/>
          <w:sz w:val="24"/>
          <w:szCs w:val="24"/>
          <w:lang w:val="ka-GE"/>
        </w:rPr>
        <w:t>“</w:t>
      </w:r>
      <w:r w:rsidRPr="00E07C3D">
        <w:rPr>
          <w:rFonts w:ascii="Sylfaen" w:hAnsi="Sylfaen"/>
          <w:bCs/>
          <w:color w:val="000000"/>
          <w:sz w:val="24"/>
          <w:szCs w:val="24"/>
          <w:lang w:val="ka-GE"/>
        </w:rPr>
        <w:t>არ შეიცავს ნატრიუმს</w:t>
      </w:r>
      <w:r>
        <w:rPr>
          <w:rFonts w:ascii="Sylfaen" w:hAnsi="Sylfaen"/>
          <w:bCs/>
          <w:color w:val="000000"/>
          <w:sz w:val="24"/>
          <w:szCs w:val="24"/>
          <w:lang w:val="ka-GE"/>
        </w:rPr>
        <w:t>“</w:t>
      </w:r>
      <w:r w:rsidRPr="00E07C3D">
        <w:rPr>
          <w:rFonts w:ascii="Sylfaen" w:hAnsi="Sylfaen"/>
          <w:bCs/>
          <w:color w:val="000000"/>
          <w:sz w:val="24"/>
          <w:szCs w:val="24"/>
          <w:lang w:val="ka-GE"/>
        </w:rPr>
        <w:t>.</w:t>
      </w:r>
    </w:p>
    <w:p w14:paraId="01BAFAAC" w14:textId="77777777" w:rsidR="00FF5742" w:rsidRDefault="00FF5742" w:rsidP="0042317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7D2F521A" w14:textId="317DAF1E" w:rsidR="00FF5742" w:rsidRDefault="00FF5742" w:rsidP="00423178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FF5742">
        <w:rPr>
          <w:rFonts w:ascii="Sylfaen" w:hAnsi="Sylfaen"/>
          <w:b/>
          <w:sz w:val="24"/>
          <w:szCs w:val="24"/>
          <w:lang w:val="ka-GE"/>
        </w:rPr>
        <w:t>4.5</w:t>
      </w:r>
      <w:r>
        <w:rPr>
          <w:rFonts w:ascii="Sylfaen" w:hAnsi="Sylfaen"/>
          <w:b/>
          <w:sz w:val="24"/>
          <w:szCs w:val="24"/>
          <w:lang w:val="ka-GE"/>
        </w:rPr>
        <w:t xml:space="preserve"> ურთიერთქმედება სხვა სამკურნალო საშუალებებთან და ურთიერთქმედების სხვა ფორმები</w:t>
      </w:r>
    </w:p>
    <w:p w14:paraId="2CC597BB" w14:textId="36E7ED13" w:rsidR="00FF5742" w:rsidRDefault="00E07C3D" w:rsidP="0042317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Cs/>
          <w:color w:val="000000"/>
          <w:sz w:val="24"/>
          <w:szCs w:val="24"/>
          <w:lang w:val="ka-GE"/>
        </w:rPr>
        <w:t>ლევოკარნიტინის და კუმარინული პრეპარატების ერთდროულად მიღებისას აღინიშნა საერთაშორისო ნორმალიზებული თანაფარდობის (სნთ) მნიშვნელობის მომატების</w:t>
      </w:r>
      <w:r w:rsidRPr="009A7FEC">
        <w:rPr>
          <w:rFonts w:ascii="Sylfaen" w:hAnsi="Sylfaen"/>
          <w:bCs/>
          <w:color w:val="000000"/>
          <w:sz w:val="24"/>
          <w:szCs w:val="24"/>
          <w:lang w:val="ka-GE"/>
        </w:rPr>
        <w:t xml:space="preserve"> </w:t>
      </w:r>
      <w:r>
        <w:rPr>
          <w:rFonts w:ascii="Sylfaen" w:hAnsi="Sylfaen"/>
          <w:bCs/>
          <w:color w:val="000000"/>
          <w:sz w:val="24"/>
          <w:szCs w:val="24"/>
          <w:lang w:val="ka-GE"/>
        </w:rPr>
        <w:t xml:space="preserve"> ძალიან იშვიათი შემთხვევები (იხ. პარაგრაფი 4.</w:t>
      </w:r>
      <w:r w:rsidR="0089026F">
        <w:rPr>
          <w:rFonts w:ascii="Sylfaen" w:hAnsi="Sylfaen"/>
          <w:bCs/>
          <w:color w:val="000000"/>
          <w:sz w:val="24"/>
          <w:szCs w:val="24"/>
          <w:lang w:val="ka-GE"/>
        </w:rPr>
        <w:t>4</w:t>
      </w:r>
      <w:r>
        <w:rPr>
          <w:rFonts w:ascii="Sylfaen" w:hAnsi="Sylfaen"/>
          <w:bCs/>
          <w:color w:val="000000"/>
          <w:sz w:val="24"/>
          <w:szCs w:val="24"/>
          <w:lang w:val="ka-GE"/>
        </w:rPr>
        <w:t xml:space="preserve"> “</w:t>
      </w:r>
      <w:r w:rsidR="0089026F" w:rsidRPr="0089026F">
        <w:rPr>
          <w:rFonts w:ascii="Sylfaen" w:hAnsi="Sylfaen"/>
          <w:bCs/>
          <w:color w:val="000000"/>
          <w:sz w:val="24"/>
          <w:szCs w:val="24"/>
          <w:lang w:val="ka-GE"/>
        </w:rPr>
        <w:t>სპეციალური გაფრთხილება და სიფრთხილის ზომები</w:t>
      </w:r>
      <w:r>
        <w:rPr>
          <w:rFonts w:ascii="Sylfaen" w:hAnsi="Sylfaen"/>
          <w:bCs/>
          <w:color w:val="000000"/>
          <w:sz w:val="24"/>
          <w:szCs w:val="24"/>
          <w:lang w:val="ka-GE"/>
        </w:rPr>
        <w:t>“ და პარაგრაფი 4.8 “არასასურველი მოვლენები“).</w:t>
      </w:r>
      <w:r w:rsidR="0089026F">
        <w:rPr>
          <w:rFonts w:ascii="Sylfaen" w:hAnsi="Sylfaen"/>
          <w:bCs/>
          <w:color w:val="000000"/>
          <w:sz w:val="24"/>
          <w:szCs w:val="24"/>
          <w:lang w:val="ka-GE"/>
        </w:rPr>
        <w:t xml:space="preserve"> სნთ ან კოაგულაციის განმსაზღვრელი სხვა შესაბამისი ტესტი </w:t>
      </w:r>
      <w:r w:rsidR="0089026F">
        <w:rPr>
          <w:rFonts w:ascii="Sylfaen" w:hAnsi="Sylfaen"/>
          <w:sz w:val="24"/>
          <w:szCs w:val="24"/>
          <w:lang w:val="ka-GE"/>
        </w:rPr>
        <w:t xml:space="preserve">უნდა ჩატარტეს ყოველკვირეულად მათი მნიშვნელობების დასტაბილურებამდე, შემდეგ კი ყოველთვიურად, პაციენტებში, რომლებიც იღებენ ასეთ ანტიკოაგულანტებს ლევოკარნიტინთან კომბინაციაში. </w:t>
      </w:r>
    </w:p>
    <w:p w14:paraId="531D232A" w14:textId="77777777" w:rsidR="0089026F" w:rsidRDefault="0089026F" w:rsidP="0042317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588946BD" w14:textId="2D82E19F" w:rsidR="00FF5742" w:rsidRDefault="00FF5742" w:rsidP="00423178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FF5742">
        <w:rPr>
          <w:rFonts w:ascii="Sylfaen" w:hAnsi="Sylfaen"/>
          <w:b/>
          <w:sz w:val="24"/>
          <w:szCs w:val="24"/>
          <w:lang w:val="ka-GE"/>
        </w:rPr>
        <w:t>4.6 ფერტილობა, ორსულობა და ლაქტაცია</w:t>
      </w:r>
    </w:p>
    <w:p w14:paraId="6722A777" w14:textId="377F65E9" w:rsidR="0016207E" w:rsidRPr="0016207E" w:rsidRDefault="0016207E" w:rsidP="0016207E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u w:val="single"/>
          <w:lang w:val="ka-GE"/>
        </w:rPr>
        <w:t>ორსულობა</w:t>
      </w:r>
    </w:p>
    <w:p w14:paraId="746EBD98" w14:textId="14628AC6" w:rsidR="000C2156" w:rsidRDefault="0089026F" w:rsidP="000C2156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რეპროდუქციული კვლევები ჩატარდა ვირთაგვებსა და </w:t>
      </w:r>
      <w:r w:rsidR="004E5D64">
        <w:rPr>
          <w:rFonts w:ascii="Sylfaen" w:hAnsi="Sylfaen"/>
          <w:sz w:val="24"/>
          <w:szCs w:val="24"/>
          <w:lang w:val="ka-GE"/>
        </w:rPr>
        <w:t>ბოცვ</w:t>
      </w:r>
      <w:r>
        <w:rPr>
          <w:rFonts w:ascii="Sylfaen" w:hAnsi="Sylfaen"/>
          <w:sz w:val="24"/>
          <w:szCs w:val="24"/>
          <w:lang w:val="ka-GE"/>
        </w:rPr>
        <w:t xml:space="preserve">რებში. </w:t>
      </w:r>
      <w:r w:rsidR="004E5D64">
        <w:rPr>
          <w:rFonts w:ascii="Sylfaen" w:hAnsi="Sylfaen"/>
          <w:sz w:val="24"/>
          <w:szCs w:val="24"/>
          <w:lang w:val="ka-GE"/>
        </w:rPr>
        <w:t xml:space="preserve">ამ ჯიშებში ტერატოგენული მოქმედების მტკიცებულება არ არსებობს. ბოცვრებში, მაგრამ არა ვირთაგვებში, აღინიშნა პოსტიმპლანტაციური დანაკარგების რაოდენობის სტატისტიკურად უმნიშვნელოდ უფრო მაღალი მაჩვენებელი კვლევაში გამოყენებული მაქსიმალური დოზების მიღებისას (600 მგ/კგ დღე-ღამეში), საკონტროლო ცხოველებთან შედარებით. ადამიანში ამ მაჩვენებლების მნიშვნელობა უცნობია. კარნიტინის პირველადი სისტემური უკმარისობის მქონე ორსულებში გამოყენების გამოცდილება არ არსებობს. </w:t>
      </w:r>
    </w:p>
    <w:p w14:paraId="2DF47513" w14:textId="77777777" w:rsidR="00E91A74" w:rsidRDefault="00E91A74" w:rsidP="000C2156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4E67291B" w14:textId="521B20E6" w:rsidR="00E91A74" w:rsidRDefault="00E91A74" w:rsidP="000C2156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lastRenderedPageBreak/>
        <w:t xml:space="preserve">კარნიტინის პირველადი სისტემური უკმარისობის მქონე ორსულებში მკურნალობის შეწყვეტის მძიმე შედეგების გათვალისწინებით, როგორც ჩანს დედისთვის მკურნალობის შეწყვეტის რისკი უფრო მაღალია, ვიდრე თეორიული რისკი ნაყოფისთვის მკურნალობის გაგრძელების შემთხვევაში. </w:t>
      </w:r>
    </w:p>
    <w:p w14:paraId="2F105ED9" w14:textId="77777777" w:rsidR="00881A92" w:rsidRDefault="00881A92" w:rsidP="000C2156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5D074382" w14:textId="205E749C" w:rsidR="00881A92" w:rsidRDefault="00E91A74" w:rsidP="000C2156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u w:val="single"/>
          <w:lang w:val="ka-GE"/>
        </w:rPr>
        <w:t>ძუძუთი კვება</w:t>
      </w:r>
    </w:p>
    <w:p w14:paraId="7AB5AAB7" w14:textId="5BB847D0" w:rsidR="00881A92" w:rsidRDefault="00E91A74" w:rsidP="000C2156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ლევოკარნიტინი არის დედის რძის სტანდარტული კომპონენტი. მეძუძურ დედებში ლევოკარნიტინის დანამატის გამოყენება შესწავლილი არ არის. </w:t>
      </w:r>
      <w:r w:rsidR="0089026F">
        <w:rPr>
          <w:rFonts w:ascii="Sylfaen" w:hAnsi="Sylfaen"/>
          <w:sz w:val="24"/>
          <w:szCs w:val="24"/>
          <w:lang w:val="ka-GE"/>
        </w:rPr>
        <w:t xml:space="preserve"> </w:t>
      </w:r>
    </w:p>
    <w:p w14:paraId="0CCC3C49" w14:textId="77777777" w:rsidR="00881A92" w:rsidRDefault="00881A92" w:rsidP="000C2156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0F46086E" w14:textId="0CBE2321" w:rsidR="00881A92" w:rsidRDefault="00881A92" w:rsidP="000C2156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881A92">
        <w:rPr>
          <w:rFonts w:ascii="Sylfaen" w:hAnsi="Sylfaen"/>
          <w:b/>
          <w:sz w:val="24"/>
          <w:szCs w:val="24"/>
          <w:lang w:val="ka-GE"/>
        </w:rPr>
        <w:t>4.7 ზემოქმედება სატრანსპორტო საშუალებების მართვის და მექანიზმებთან მუშაობის უნარზე</w:t>
      </w:r>
    </w:p>
    <w:p w14:paraId="7556612E" w14:textId="0DDB2AC2" w:rsidR="00881A92" w:rsidRDefault="00881A92" w:rsidP="000C2156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 w:rsidRPr="00881A92">
        <w:rPr>
          <w:rFonts w:ascii="Sylfaen" w:hAnsi="Sylfaen"/>
          <w:sz w:val="24"/>
          <w:szCs w:val="24"/>
          <w:lang w:val="ka-GE"/>
        </w:rPr>
        <w:t>ცნობილი არ არის.</w:t>
      </w:r>
    </w:p>
    <w:p w14:paraId="2C04107F" w14:textId="77777777" w:rsidR="00881A92" w:rsidRDefault="00881A92" w:rsidP="000C2156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32F99E92" w14:textId="2D4516FD" w:rsidR="00881A92" w:rsidRDefault="00881A92" w:rsidP="000C2156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881A92">
        <w:rPr>
          <w:rFonts w:ascii="Sylfaen" w:hAnsi="Sylfaen"/>
          <w:b/>
          <w:sz w:val="24"/>
          <w:szCs w:val="24"/>
          <w:lang w:val="ka-GE"/>
        </w:rPr>
        <w:t>4.8 არასასურველი მოვლენები</w:t>
      </w:r>
    </w:p>
    <w:p w14:paraId="4E8FBA7B" w14:textId="4386F3E6" w:rsidR="00881A92" w:rsidRDefault="00E91A74" w:rsidP="000C2156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ნებისმიერი წყაროდან მიღებული არასასურველი რეაქციები მითითებულია ქვემოთ წარმოდგენილ ცხრილში </w:t>
      </w:r>
      <w:r w:rsidRPr="009A7FEC">
        <w:rPr>
          <w:rFonts w:ascii="Sylfaen" w:hAnsi="Sylfaen"/>
          <w:sz w:val="24"/>
          <w:szCs w:val="24"/>
          <w:lang w:val="ka-GE"/>
        </w:rPr>
        <w:t>MedRA-ს სისტემათა და ორგანოთა კლასიფიკაციის მიხედვით. სისტემათა დ</w:t>
      </w:r>
      <w:r>
        <w:rPr>
          <w:rFonts w:ascii="Sylfaen" w:hAnsi="Sylfaen"/>
          <w:sz w:val="24"/>
          <w:szCs w:val="24"/>
          <w:lang w:val="ka-GE"/>
        </w:rPr>
        <w:t xml:space="preserve">ა ორგანოთა თითოეული კლასის ფარგლებში </w:t>
      </w:r>
      <w:r w:rsidR="00FA3FB4">
        <w:rPr>
          <w:rFonts w:ascii="Sylfaen" w:hAnsi="Sylfaen"/>
          <w:sz w:val="24"/>
          <w:szCs w:val="24"/>
          <w:lang w:val="ka-GE"/>
        </w:rPr>
        <w:t>არასასურველი სამკურნალწამლო რეაქციები მოცემულია სიხშირის მიხედვით. სიხშირის თითოეულ ჯგუფში გვერდითი რეაქციები მოცემულია მათი სიმძიმის კლების მიხედვით. გარდა ამისა, თითოეული არასასურველი სამკურნალწამლო რეაქციის სიხშირის შესაბამისი კატეგორიები მოცემულია შემდეგი კლასიფიკაციის მიხედვით:</w:t>
      </w:r>
      <w:r w:rsidRPr="009A7FEC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881A92" w:rsidRPr="00881A92">
        <w:rPr>
          <w:rFonts w:ascii="Sylfaen" w:hAnsi="Sylfaen"/>
          <w:sz w:val="24"/>
          <w:szCs w:val="24"/>
          <w:lang w:val="ka-GE"/>
        </w:rPr>
        <w:t>ძალიან ხშირად</w:t>
      </w:r>
      <w:r w:rsidR="00881A92">
        <w:rPr>
          <w:rFonts w:ascii="Sylfaen" w:hAnsi="Sylfaen"/>
          <w:sz w:val="24"/>
          <w:szCs w:val="24"/>
          <w:lang w:val="ka-GE"/>
        </w:rPr>
        <w:t xml:space="preserve"> (</w:t>
      </w:r>
      <w:r w:rsidR="00881A92">
        <w:rPr>
          <w:rFonts w:ascii="Sylfaen" w:hAnsi="Sylfaen"/>
          <w:sz w:val="24"/>
          <w:szCs w:val="24"/>
          <w:u w:val="single"/>
          <w:lang w:val="ka-GE"/>
        </w:rPr>
        <w:t>&gt;</w:t>
      </w:r>
      <w:r w:rsidR="00881A92">
        <w:rPr>
          <w:rFonts w:ascii="Sylfaen" w:hAnsi="Sylfaen"/>
          <w:sz w:val="24"/>
          <w:szCs w:val="24"/>
          <w:lang w:val="ka-GE"/>
        </w:rPr>
        <w:t>1/10), ხშირად (</w:t>
      </w:r>
      <w:r w:rsidR="00881A92">
        <w:rPr>
          <w:rFonts w:ascii="Sylfaen" w:hAnsi="Sylfaen"/>
          <w:sz w:val="24"/>
          <w:szCs w:val="24"/>
          <w:u w:val="single"/>
          <w:lang w:val="ka-GE"/>
        </w:rPr>
        <w:t>&gt;</w:t>
      </w:r>
      <w:r w:rsidR="00881A92">
        <w:rPr>
          <w:rFonts w:ascii="Sylfaen" w:hAnsi="Sylfaen"/>
          <w:sz w:val="24"/>
          <w:szCs w:val="24"/>
          <w:lang w:val="ka-GE"/>
        </w:rPr>
        <w:t>1/100-&lt;1/10), არც ისე ხშირად (</w:t>
      </w:r>
      <w:r w:rsidR="00881A92">
        <w:rPr>
          <w:rFonts w:ascii="Sylfaen" w:hAnsi="Sylfaen"/>
          <w:sz w:val="24"/>
          <w:szCs w:val="24"/>
          <w:u w:val="single"/>
          <w:lang w:val="ka-GE"/>
        </w:rPr>
        <w:t>&gt;</w:t>
      </w:r>
      <w:r w:rsidR="00881A92">
        <w:rPr>
          <w:rFonts w:ascii="Sylfaen" w:hAnsi="Sylfaen"/>
          <w:sz w:val="24"/>
          <w:szCs w:val="24"/>
          <w:lang w:val="ka-GE"/>
        </w:rPr>
        <w:t>1/1000-&lt;1/100), იშვიათად (</w:t>
      </w:r>
      <w:r w:rsidR="00881A92">
        <w:rPr>
          <w:rFonts w:ascii="Sylfaen" w:hAnsi="Sylfaen"/>
          <w:sz w:val="24"/>
          <w:szCs w:val="24"/>
          <w:u w:val="single"/>
          <w:lang w:val="ka-GE"/>
        </w:rPr>
        <w:t>&gt;</w:t>
      </w:r>
      <w:r w:rsidR="00881A92">
        <w:rPr>
          <w:rFonts w:ascii="Sylfaen" w:hAnsi="Sylfaen"/>
          <w:sz w:val="24"/>
          <w:szCs w:val="24"/>
          <w:lang w:val="ka-GE"/>
        </w:rPr>
        <w:t>1/10000-&lt;1/1000), ძალიან იშვიათად (&lt;1/10000)</w:t>
      </w:r>
      <w:r w:rsidR="00FA3FB4">
        <w:rPr>
          <w:rFonts w:ascii="Sylfaen" w:hAnsi="Sylfaen"/>
          <w:sz w:val="24"/>
          <w:szCs w:val="24"/>
          <w:lang w:val="ka-GE"/>
        </w:rPr>
        <w:t xml:space="preserve">. </w:t>
      </w:r>
    </w:p>
    <w:p w14:paraId="66B6CC1A" w14:textId="77777777" w:rsidR="00881A92" w:rsidRDefault="00881A92" w:rsidP="000C2156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256"/>
        <w:gridCol w:w="2409"/>
        <w:gridCol w:w="3969"/>
      </w:tblGrid>
      <w:tr w:rsidR="00FA3FB4" w14:paraId="34C7D0BF" w14:textId="77777777" w:rsidTr="006F5E29">
        <w:trPr>
          <w:trHeight w:val="728"/>
        </w:trPr>
        <w:tc>
          <w:tcPr>
            <w:tcW w:w="3256" w:type="dxa"/>
          </w:tcPr>
          <w:p w14:paraId="422EFD2C" w14:textId="709FF358" w:rsidR="00FA3FB4" w:rsidRPr="00881A92" w:rsidRDefault="00FA3FB4" w:rsidP="00FA3FB4">
            <w:pPr>
              <w:spacing w:line="360" w:lineRule="atLeast"/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881A92">
              <w:rPr>
                <w:rFonts w:ascii="Sylfaen" w:hAnsi="Sylfaen"/>
                <w:b/>
                <w:sz w:val="24"/>
                <w:szCs w:val="24"/>
                <w:lang w:val="ka-GE"/>
              </w:rPr>
              <w:t>სისტემათა და ორგანოთა კლასი</w:t>
            </w:r>
          </w:p>
        </w:tc>
        <w:tc>
          <w:tcPr>
            <w:tcW w:w="2409" w:type="dxa"/>
          </w:tcPr>
          <w:p w14:paraId="1FB345C5" w14:textId="58CE2A92" w:rsidR="00FA3FB4" w:rsidRPr="00881A92" w:rsidRDefault="00FA3FB4" w:rsidP="00FA3FB4">
            <w:pPr>
              <w:spacing w:line="360" w:lineRule="atLeast"/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სიხშირე</w:t>
            </w:r>
          </w:p>
        </w:tc>
        <w:tc>
          <w:tcPr>
            <w:tcW w:w="3969" w:type="dxa"/>
          </w:tcPr>
          <w:p w14:paraId="3B8866AA" w14:textId="0937A76B" w:rsidR="00FA3FB4" w:rsidRPr="00881A92" w:rsidRDefault="00FA3FB4" w:rsidP="00FA3FB4">
            <w:pPr>
              <w:spacing w:line="360" w:lineRule="atLeast"/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არასასურველი რეაქცია</w:t>
            </w:r>
          </w:p>
        </w:tc>
      </w:tr>
      <w:tr w:rsidR="00FA3FB4" w14:paraId="08828A91" w14:textId="77777777" w:rsidTr="006F5E29">
        <w:trPr>
          <w:trHeight w:val="1448"/>
        </w:trPr>
        <w:tc>
          <w:tcPr>
            <w:tcW w:w="3256" w:type="dxa"/>
          </w:tcPr>
          <w:p w14:paraId="0CDCF6FF" w14:textId="130A9493" w:rsidR="00FA3FB4" w:rsidRPr="006F5E29" w:rsidRDefault="00FA3FB4" w:rsidP="000C2156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6F5E29">
              <w:rPr>
                <w:rFonts w:ascii="Sylfaen" w:hAnsi="Sylfaen"/>
                <w:sz w:val="24"/>
                <w:szCs w:val="24"/>
                <w:lang w:val="ka-GE"/>
              </w:rPr>
              <w:t>დარღვევები კუჭ-ნაწლავის ტრაქტის მხრივ</w:t>
            </w:r>
          </w:p>
        </w:tc>
        <w:tc>
          <w:tcPr>
            <w:tcW w:w="2409" w:type="dxa"/>
          </w:tcPr>
          <w:p w14:paraId="13FC4D6F" w14:textId="31423389" w:rsidR="00FA3FB4" w:rsidRDefault="00FA3FB4" w:rsidP="00021418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იშვიათად</w:t>
            </w:r>
          </w:p>
        </w:tc>
        <w:tc>
          <w:tcPr>
            <w:tcW w:w="3969" w:type="dxa"/>
          </w:tcPr>
          <w:p w14:paraId="7E46BF72" w14:textId="77777777" w:rsidR="00FA3FB4" w:rsidRDefault="00FA3FB4" w:rsidP="000C2156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გულისრევა</w:t>
            </w:r>
          </w:p>
          <w:p w14:paraId="53BFE310" w14:textId="77777777" w:rsidR="00FA3FB4" w:rsidRDefault="00FA3FB4" w:rsidP="000C2156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ღებინება</w:t>
            </w:r>
          </w:p>
          <w:p w14:paraId="4D99B8E7" w14:textId="77777777" w:rsidR="00FA3FB4" w:rsidRDefault="00FA3FB4" w:rsidP="000C2156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დიარეა</w:t>
            </w:r>
          </w:p>
          <w:p w14:paraId="51336906" w14:textId="1EE5DFE8" w:rsidR="00FA3FB4" w:rsidRPr="00881A92" w:rsidRDefault="00FA3FB4" w:rsidP="000C2156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სპაზმები მუცლის არეში</w:t>
            </w:r>
          </w:p>
        </w:tc>
      </w:tr>
      <w:tr w:rsidR="00FA3FB4" w14:paraId="3809D831" w14:textId="77777777" w:rsidTr="006F5E29">
        <w:trPr>
          <w:trHeight w:val="1068"/>
        </w:trPr>
        <w:tc>
          <w:tcPr>
            <w:tcW w:w="3256" w:type="dxa"/>
          </w:tcPr>
          <w:p w14:paraId="5D7777CD" w14:textId="71CE2F63" w:rsidR="00FA3FB4" w:rsidRPr="006F5E29" w:rsidRDefault="00FA3FB4" w:rsidP="000C2156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6F5E29">
              <w:rPr>
                <w:rFonts w:ascii="Sylfaen" w:hAnsi="Sylfaen"/>
                <w:sz w:val="24"/>
                <w:szCs w:val="24"/>
                <w:lang w:val="ka-GE"/>
              </w:rPr>
              <w:t>ზოგადი დარღვევები და მდგომარეობები შეყვანის ადგილზე</w:t>
            </w:r>
          </w:p>
        </w:tc>
        <w:tc>
          <w:tcPr>
            <w:tcW w:w="2409" w:type="dxa"/>
          </w:tcPr>
          <w:p w14:paraId="4B3BEE94" w14:textId="1F7A294B" w:rsidR="00FA3FB4" w:rsidRDefault="00FA3FB4" w:rsidP="000C2156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იშვიათად</w:t>
            </w:r>
          </w:p>
        </w:tc>
        <w:tc>
          <w:tcPr>
            <w:tcW w:w="3969" w:type="dxa"/>
          </w:tcPr>
          <w:p w14:paraId="553C8E50" w14:textId="6F39326D" w:rsidR="00FA3FB4" w:rsidRPr="00FA3FB4" w:rsidRDefault="00FA3FB4" w:rsidP="000C2156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სხეულის სუნი</w:t>
            </w:r>
          </w:p>
        </w:tc>
      </w:tr>
      <w:tr w:rsidR="00FA3FB4" w14:paraId="2B68E12A" w14:textId="77777777" w:rsidTr="006F5E29">
        <w:trPr>
          <w:trHeight w:val="545"/>
        </w:trPr>
        <w:tc>
          <w:tcPr>
            <w:tcW w:w="3256" w:type="dxa"/>
          </w:tcPr>
          <w:p w14:paraId="687C001D" w14:textId="7192C58C" w:rsidR="00FA3FB4" w:rsidRPr="006F5E29" w:rsidRDefault="00FA3FB4" w:rsidP="000C2156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6F5E29">
              <w:rPr>
                <w:rFonts w:ascii="Sylfaen" w:hAnsi="Sylfaen"/>
                <w:sz w:val="24"/>
                <w:szCs w:val="24"/>
                <w:lang w:val="ka-GE"/>
              </w:rPr>
              <w:t>გამოკვლევები</w:t>
            </w:r>
          </w:p>
        </w:tc>
        <w:tc>
          <w:tcPr>
            <w:tcW w:w="2409" w:type="dxa"/>
          </w:tcPr>
          <w:p w14:paraId="781D4ABA" w14:textId="55BAC1FA" w:rsidR="00FA3FB4" w:rsidRDefault="00FA3FB4" w:rsidP="000C2156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იშვიათად</w:t>
            </w:r>
          </w:p>
        </w:tc>
        <w:tc>
          <w:tcPr>
            <w:tcW w:w="3969" w:type="dxa"/>
          </w:tcPr>
          <w:p w14:paraId="16C8AB86" w14:textId="72087D6F" w:rsidR="00FA3FB4" w:rsidRDefault="00FA3FB4" w:rsidP="00FA3FB4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Cs/>
                <w:color w:val="000000"/>
                <w:sz w:val="24"/>
                <w:szCs w:val="24"/>
                <w:lang w:val="ka-GE"/>
              </w:rPr>
              <w:t>საერთაშორისო ნორმალიზებული თანაფარდობის  მნიშვნელობის მომატება *</w:t>
            </w:r>
          </w:p>
        </w:tc>
      </w:tr>
    </w:tbl>
    <w:p w14:paraId="0DC0FBBB" w14:textId="25BF9889" w:rsidR="00881A92" w:rsidRPr="00C04A69" w:rsidRDefault="00FA3FB4" w:rsidP="00FA3FB4">
      <w:pPr>
        <w:spacing w:after="0" w:line="240" w:lineRule="auto"/>
        <w:jc w:val="both"/>
        <w:rPr>
          <w:rFonts w:ascii="Sylfaen" w:hAnsi="Sylfaen"/>
          <w:bCs/>
          <w:color w:val="000000"/>
          <w:sz w:val="18"/>
          <w:szCs w:val="24"/>
          <w:lang w:val="ka-GE"/>
        </w:rPr>
      </w:pPr>
      <w:r w:rsidRPr="00C04A69">
        <w:rPr>
          <w:rFonts w:ascii="Sylfaen" w:hAnsi="Sylfaen"/>
          <w:bCs/>
          <w:color w:val="000000"/>
          <w:sz w:val="18"/>
          <w:szCs w:val="24"/>
          <w:lang w:val="ka-GE"/>
        </w:rPr>
        <w:t>* ლევოკარნიტინის და კუმარინული პრეპარატების</w:t>
      </w:r>
      <w:r w:rsidR="00C04A69" w:rsidRPr="00C04A69">
        <w:rPr>
          <w:rFonts w:ascii="Sylfaen" w:hAnsi="Sylfaen"/>
          <w:bCs/>
          <w:color w:val="000000"/>
          <w:sz w:val="18"/>
          <w:szCs w:val="24"/>
          <w:lang w:val="ka-GE"/>
        </w:rPr>
        <w:t xml:space="preserve"> (აცენოკუმაროლი და ვარფარინი)</w:t>
      </w:r>
      <w:r w:rsidRPr="00C04A69">
        <w:rPr>
          <w:rFonts w:ascii="Sylfaen" w:hAnsi="Sylfaen"/>
          <w:bCs/>
          <w:color w:val="000000"/>
          <w:sz w:val="18"/>
          <w:szCs w:val="24"/>
          <w:lang w:val="ka-GE"/>
        </w:rPr>
        <w:t xml:space="preserve"> ერთდროულად მიღებისას აღინიშნა საერთაშორისო ნორმალიზებული თანაფარდობის (სნთ) მნიშვნელობის მომატების</w:t>
      </w:r>
      <w:r w:rsidRPr="00C04A69">
        <w:rPr>
          <w:rFonts w:ascii="Sylfaen" w:hAnsi="Sylfaen"/>
          <w:bCs/>
          <w:color w:val="000000"/>
          <w:sz w:val="18"/>
          <w:szCs w:val="24"/>
          <w:lang w:val="en-US"/>
        </w:rPr>
        <w:t xml:space="preserve"> </w:t>
      </w:r>
      <w:r w:rsidRPr="00C04A69">
        <w:rPr>
          <w:rFonts w:ascii="Sylfaen" w:hAnsi="Sylfaen"/>
          <w:bCs/>
          <w:color w:val="000000"/>
          <w:sz w:val="18"/>
          <w:szCs w:val="24"/>
          <w:lang w:val="ka-GE"/>
        </w:rPr>
        <w:t xml:space="preserve">ძალიან იშვიათი შემთხვევები </w:t>
      </w:r>
      <w:r w:rsidR="00C04A69" w:rsidRPr="00C04A69">
        <w:rPr>
          <w:rFonts w:ascii="Sylfaen" w:hAnsi="Sylfaen"/>
          <w:bCs/>
          <w:color w:val="000000"/>
          <w:sz w:val="18"/>
          <w:szCs w:val="24"/>
          <w:lang w:val="ka-GE"/>
        </w:rPr>
        <w:t xml:space="preserve">- </w:t>
      </w:r>
      <w:r w:rsidRPr="00C04A69">
        <w:rPr>
          <w:rFonts w:ascii="Sylfaen" w:hAnsi="Sylfaen"/>
          <w:bCs/>
          <w:color w:val="000000"/>
          <w:sz w:val="18"/>
          <w:szCs w:val="24"/>
          <w:lang w:val="ka-GE"/>
        </w:rPr>
        <w:t>იხ. პარაგრაფი 4.4 “სპეციალური გაფრთხილება“ და პარაგრაფი 4.</w:t>
      </w:r>
      <w:r w:rsidR="00C04A69" w:rsidRPr="00C04A69">
        <w:rPr>
          <w:rFonts w:ascii="Sylfaen" w:hAnsi="Sylfaen"/>
          <w:bCs/>
          <w:color w:val="000000"/>
          <w:sz w:val="18"/>
          <w:szCs w:val="24"/>
          <w:lang w:val="ka-GE"/>
        </w:rPr>
        <w:t>5</w:t>
      </w:r>
      <w:r w:rsidRPr="00C04A69">
        <w:rPr>
          <w:rFonts w:ascii="Sylfaen" w:hAnsi="Sylfaen"/>
          <w:bCs/>
          <w:color w:val="000000"/>
          <w:sz w:val="18"/>
          <w:szCs w:val="24"/>
          <w:lang w:val="ka-GE"/>
        </w:rPr>
        <w:t xml:space="preserve"> “</w:t>
      </w:r>
      <w:r w:rsidR="00C04A69" w:rsidRPr="00C04A69">
        <w:rPr>
          <w:rFonts w:ascii="Sylfaen" w:hAnsi="Sylfaen"/>
          <w:bCs/>
          <w:color w:val="000000"/>
          <w:sz w:val="18"/>
          <w:szCs w:val="24"/>
          <w:lang w:val="ka-GE"/>
        </w:rPr>
        <w:t>ურთიერთქმედება</w:t>
      </w:r>
      <w:r w:rsidR="006F5E29">
        <w:rPr>
          <w:rFonts w:ascii="Sylfaen" w:hAnsi="Sylfaen"/>
          <w:bCs/>
          <w:color w:val="000000"/>
          <w:sz w:val="18"/>
          <w:szCs w:val="24"/>
          <w:lang w:val="ka-GE"/>
        </w:rPr>
        <w:t>“</w:t>
      </w:r>
      <w:r w:rsidRPr="00C04A69">
        <w:rPr>
          <w:rFonts w:ascii="Sylfaen" w:hAnsi="Sylfaen"/>
          <w:bCs/>
          <w:color w:val="000000"/>
          <w:sz w:val="18"/>
          <w:szCs w:val="24"/>
          <w:lang w:val="ka-GE"/>
        </w:rPr>
        <w:t>.</w:t>
      </w:r>
    </w:p>
    <w:p w14:paraId="2363A679" w14:textId="77777777" w:rsidR="00C04A69" w:rsidRDefault="00C04A69" w:rsidP="00FA3FB4">
      <w:pPr>
        <w:spacing w:after="0" w:line="240" w:lineRule="auto"/>
        <w:jc w:val="both"/>
        <w:rPr>
          <w:rFonts w:ascii="Sylfaen" w:hAnsi="Sylfaen"/>
          <w:bCs/>
          <w:color w:val="000000"/>
          <w:sz w:val="24"/>
          <w:szCs w:val="24"/>
          <w:lang w:val="ka-GE"/>
        </w:rPr>
      </w:pPr>
    </w:p>
    <w:p w14:paraId="40CDC790" w14:textId="61D11231" w:rsidR="00C04A69" w:rsidRDefault="00C04A69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lastRenderedPageBreak/>
        <w:t>დოზის შემცირება ხშირად ამცირებს ან აქრობს პრეპარატებით გამოწვეულ სხეულის სუნს ან არსებულ სიმპტომებს კუჭ-ნაწლავის ტრაქტის მხრივ. მკურნალობის დაწყებიდან პირველი კვირის განმავლობაში და დოზის ნებისმიერი გაზრდის შემდეგ საჭიროა ასატანობის ძალიან მკაცრი მონიტორინგი.</w:t>
      </w:r>
    </w:p>
    <w:p w14:paraId="19875869" w14:textId="77777777" w:rsidR="00C04A69" w:rsidRPr="00C04A69" w:rsidRDefault="00C04A69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2A830A1A" w14:textId="316DA812" w:rsidR="00F05185" w:rsidRPr="00C04A69" w:rsidRDefault="00F05185" w:rsidP="006A08C8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C04A69">
        <w:rPr>
          <w:rFonts w:ascii="Sylfaen" w:hAnsi="Sylfaen"/>
          <w:b/>
          <w:sz w:val="24"/>
          <w:szCs w:val="24"/>
          <w:lang w:val="ka-GE"/>
        </w:rPr>
        <w:t>შეტყობინება შესაძლო არასასურველი რეაქციების შესახებ</w:t>
      </w:r>
    </w:p>
    <w:p w14:paraId="2F33FC24" w14:textId="1DD0AF30" w:rsidR="00F05185" w:rsidRDefault="00C04A69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სამედიცინო პროდუქტის</w:t>
      </w:r>
      <w:r w:rsidR="00F05185" w:rsidRPr="00F05185">
        <w:rPr>
          <w:rFonts w:ascii="Sylfaen" w:hAnsi="Sylfaen"/>
          <w:sz w:val="24"/>
          <w:szCs w:val="24"/>
          <w:lang w:val="ka-GE"/>
        </w:rPr>
        <w:t xml:space="preserve"> რეგისტრაციის შემდეგ შესაძლო არასასურველი რეაქციების შესახებ შეტყობინება ასრულებს მნიშვნელოვან როლს. ეს გვაძლევს შესაძლებლობას, გავაგრძელოთ დაკვირვება </w:t>
      </w:r>
      <w:r w:rsidR="00844B61">
        <w:rPr>
          <w:rFonts w:ascii="Sylfaen" w:hAnsi="Sylfaen"/>
          <w:sz w:val="24"/>
          <w:szCs w:val="24"/>
          <w:lang w:val="ka-GE"/>
        </w:rPr>
        <w:t>“</w:t>
      </w:r>
      <w:r w:rsidR="00F05185" w:rsidRPr="00F05185">
        <w:rPr>
          <w:rFonts w:ascii="Sylfaen" w:hAnsi="Sylfaen"/>
          <w:sz w:val="24"/>
          <w:szCs w:val="24"/>
          <w:lang w:val="ka-GE"/>
        </w:rPr>
        <w:t>სარგებელი/რისკის</w:t>
      </w:r>
      <w:r w:rsidR="00844B61">
        <w:rPr>
          <w:rFonts w:ascii="Sylfaen" w:hAnsi="Sylfaen"/>
          <w:sz w:val="24"/>
          <w:szCs w:val="24"/>
          <w:lang w:val="ka-GE"/>
        </w:rPr>
        <w:t>“</w:t>
      </w:r>
      <w:r w:rsidR="00F05185" w:rsidRPr="00F05185">
        <w:rPr>
          <w:rFonts w:ascii="Sylfaen" w:hAnsi="Sylfaen"/>
          <w:sz w:val="24"/>
          <w:szCs w:val="24"/>
          <w:lang w:val="ka-GE"/>
        </w:rPr>
        <w:t xml:space="preserve"> თანაფარდობაზე ამ </w:t>
      </w:r>
      <w:r>
        <w:rPr>
          <w:rFonts w:ascii="Sylfaen" w:hAnsi="Sylfaen"/>
          <w:sz w:val="24"/>
          <w:szCs w:val="24"/>
          <w:lang w:val="ka-GE"/>
        </w:rPr>
        <w:t>სამედიცინო პროდუქტ</w:t>
      </w:r>
      <w:r w:rsidR="00F05185" w:rsidRPr="00F05185">
        <w:rPr>
          <w:rFonts w:ascii="Sylfaen" w:hAnsi="Sylfaen"/>
          <w:sz w:val="24"/>
          <w:szCs w:val="24"/>
          <w:lang w:val="ka-GE"/>
        </w:rPr>
        <w:t>თან დაკავშირებით. ჯანდაცვის სისტემის მუშაკებს მოეთხოვებათ შეტყობინების გაგზავნა ნებისმიერი შესაძლო არასასურველი რეაქციის შესახებ.</w:t>
      </w:r>
    </w:p>
    <w:p w14:paraId="54048ECF" w14:textId="77777777" w:rsidR="00844B61" w:rsidRDefault="00844B61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4DE78333" w14:textId="45A119DD" w:rsidR="00844B61" w:rsidRDefault="00844B61" w:rsidP="006A08C8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844B61">
        <w:rPr>
          <w:rFonts w:ascii="Sylfaen" w:hAnsi="Sylfaen"/>
          <w:b/>
          <w:sz w:val="24"/>
          <w:szCs w:val="24"/>
          <w:lang w:val="ka-GE"/>
        </w:rPr>
        <w:t>4.9 ჭარბი დოზა</w:t>
      </w:r>
    </w:p>
    <w:p w14:paraId="506A010F" w14:textId="75ED25AD" w:rsidR="00844B61" w:rsidRDefault="00607175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ლევოკარნიტინის დოზის გადაჭარბების შედეგად ტო</w:t>
      </w:r>
      <w:r w:rsidR="001E581D">
        <w:rPr>
          <w:rFonts w:ascii="Sylfaen" w:hAnsi="Sylfaen"/>
          <w:sz w:val="24"/>
          <w:szCs w:val="24"/>
          <w:lang w:val="ka-GE"/>
        </w:rPr>
        <w:t>ქ</w:t>
      </w:r>
      <w:r>
        <w:rPr>
          <w:rFonts w:ascii="Sylfaen" w:hAnsi="Sylfaen"/>
          <w:sz w:val="24"/>
          <w:szCs w:val="24"/>
          <w:lang w:val="ka-GE"/>
        </w:rPr>
        <w:t>სიურობის შეტყობინება მიღებული არ არის. დოზის გადაჭარბების</w:t>
      </w:r>
      <w:r w:rsidR="001E581D">
        <w:rPr>
          <w:rFonts w:ascii="Sylfaen" w:hAnsi="Sylfaen"/>
          <w:sz w:val="24"/>
          <w:szCs w:val="24"/>
          <w:lang w:val="ka-GE"/>
        </w:rPr>
        <w:t>ას</w:t>
      </w:r>
      <w:r>
        <w:rPr>
          <w:rFonts w:ascii="Sylfaen" w:hAnsi="Sylfaen"/>
          <w:sz w:val="24"/>
          <w:szCs w:val="24"/>
          <w:lang w:val="ka-GE"/>
        </w:rPr>
        <w:t xml:space="preserve"> საჭიროა შემანარჩუნებელი მკურნალობის ჩატარება</w:t>
      </w:r>
      <w:r w:rsidR="00844B61">
        <w:rPr>
          <w:rFonts w:ascii="Sylfaen" w:hAnsi="Sylfaen"/>
          <w:sz w:val="24"/>
          <w:szCs w:val="24"/>
          <w:lang w:val="ka-GE"/>
        </w:rPr>
        <w:t xml:space="preserve">. </w:t>
      </w:r>
    </w:p>
    <w:p w14:paraId="349D87B2" w14:textId="77777777" w:rsidR="00844B61" w:rsidRDefault="00844B61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1A6B831F" w14:textId="55B003DD" w:rsidR="00844B61" w:rsidRDefault="00607175" w:rsidP="006A08C8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5. </w:t>
      </w:r>
      <w:r w:rsidR="00844B61" w:rsidRPr="00844B61">
        <w:rPr>
          <w:rFonts w:ascii="Sylfaen" w:hAnsi="Sylfaen"/>
          <w:b/>
          <w:sz w:val="24"/>
          <w:szCs w:val="24"/>
          <w:lang w:val="ka-GE"/>
        </w:rPr>
        <w:t>ფარმაკოლოგიური თვისებები</w:t>
      </w:r>
    </w:p>
    <w:p w14:paraId="640AB430" w14:textId="2BC83765" w:rsidR="00844B61" w:rsidRDefault="00844B61" w:rsidP="006A08C8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844B61">
        <w:rPr>
          <w:rFonts w:ascii="Sylfaen" w:hAnsi="Sylfaen"/>
          <w:b/>
          <w:sz w:val="24"/>
          <w:szCs w:val="24"/>
          <w:lang w:val="ka-GE"/>
        </w:rPr>
        <w:t>5.1 ფარმაკოდინამიკური თვისებები</w:t>
      </w:r>
    </w:p>
    <w:p w14:paraId="3B01F030" w14:textId="557CD33F" w:rsidR="00844B61" w:rsidRPr="00DF11DE" w:rsidRDefault="00844B61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ფარმაკოთერაპიული ჯგუფი: </w:t>
      </w:r>
      <w:r w:rsidR="00607175">
        <w:rPr>
          <w:rFonts w:ascii="Sylfaen" w:hAnsi="Sylfaen"/>
          <w:sz w:val="24"/>
          <w:szCs w:val="24"/>
          <w:lang w:val="ka-GE"/>
        </w:rPr>
        <w:t xml:space="preserve">ამინომჟავები და </w:t>
      </w:r>
      <w:r>
        <w:rPr>
          <w:rFonts w:ascii="Sylfaen" w:hAnsi="Sylfaen"/>
          <w:sz w:val="24"/>
          <w:szCs w:val="24"/>
          <w:lang w:val="ka-GE"/>
        </w:rPr>
        <w:t>წარმოებულები</w:t>
      </w:r>
      <w:r w:rsidR="00607175">
        <w:rPr>
          <w:rFonts w:ascii="Sylfaen" w:hAnsi="Sylfaen"/>
          <w:sz w:val="24"/>
          <w:szCs w:val="24"/>
          <w:lang w:val="ka-GE"/>
        </w:rPr>
        <w:t>,</w:t>
      </w:r>
      <w:r>
        <w:rPr>
          <w:rFonts w:ascii="Sylfaen" w:hAnsi="Sylfaen"/>
          <w:sz w:val="24"/>
          <w:szCs w:val="24"/>
          <w:lang w:val="ka-GE"/>
        </w:rPr>
        <w:t xml:space="preserve"> ათქ კოდი: </w:t>
      </w:r>
      <w:r w:rsidR="00607175" w:rsidRPr="00DF11DE">
        <w:rPr>
          <w:rFonts w:ascii="Sylfaen" w:hAnsi="Sylfaen"/>
          <w:sz w:val="24"/>
          <w:szCs w:val="24"/>
          <w:lang w:val="ka-GE"/>
        </w:rPr>
        <w:t>A</w:t>
      </w:r>
      <w:r w:rsidR="00607175">
        <w:rPr>
          <w:rFonts w:ascii="Sylfaen" w:hAnsi="Sylfaen"/>
          <w:sz w:val="24"/>
          <w:szCs w:val="24"/>
          <w:lang w:val="ka-GE"/>
        </w:rPr>
        <w:t>16</w:t>
      </w:r>
      <w:r w:rsidR="00607175" w:rsidRPr="00DF11DE">
        <w:rPr>
          <w:rFonts w:ascii="Sylfaen" w:hAnsi="Sylfaen"/>
          <w:sz w:val="24"/>
          <w:szCs w:val="24"/>
          <w:lang w:val="ka-GE"/>
        </w:rPr>
        <w:t>A</w:t>
      </w:r>
      <w:r w:rsidRPr="00DF11DE">
        <w:rPr>
          <w:rFonts w:ascii="Sylfaen" w:hAnsi="Sylfaen"/>
          <w:sz w:val="24"/>
          <w:szCs w:val="24"/>
          <w:lang w:val="ka-GE"/>
        </w:rPr>
        <w:t>A0</w:t>
      </w:r>
      <w:r w:rsidR="00607175">
        <w:rPr>
          <w:rFonts w:ascii="Sylfaen" w:hAnsi="Sylfaen"/>
          <w:sz w:val="24"/>
          <w:szCs w:val="24"/>
          <w:lang w:val="ka-GE"/>
        </w:rPr>
        <w:t>1</w:t>
      </w:r>
      <w:r w:rsidRPr="00DF11DE">
        <w:rPr>
          <w:rFonts w:ascii="Sylfaen" w:hAnsi="Sylfaen"/>
          <w:sz w:val="24"/>
          <w:szCs w:val="24"/>
          <w:lang w:val="ka-GE"/>
        </w:rPr>
        <w:t xml:space="preserve">. </w:t>
      </w:r>
    </w:p>
    <w:p w14:paraId="63D92564" w14:textId="77777777" w:rsidR="00844B61" w:rsidRDefault="00844B61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2F598869" w14:textId="76215CCA" w:rsidR="006B2050" w:rsidRDefault="00607175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ლევოკარნიტინი წარმოდგენილია ცხოველის ქსოვილებში, მიკროორგანიზმებში და მცენარეებში ბუნებრივი კომპონენტის სახით. </w:t>
      </w:r>
      <w:r w:rsidR="00612398">
        <w:rPr>
          <w:rFonts w:ascii="Sylfaen" w:hAnsi="Sylfaen"/>
          <w:sz w:val="24"/>
          <w:szCs w:val="24"/>
          <w:lang w:val="ka-GE"/>
        </w:rPr>
        <w:t xml:space="preserve">ადამიანში ფიზიოლოგიური მეტაბოლური მოთხოვნილების დაკმაყოფილება ხდება კარნიტინის შემცველი საკვების მიღების გზით, ასევე ღვიძლში და თირკმელებში ლიზინის მეთიონინთან ენდოგენური სინთეზის გზით, რომელიც მოქმედებს მეთილის დონორის სახით. </w:t>
      </w:r>
      <w:r w:rsidR="00B612E9">
        <w:rPr>
          <w:rFonts w:ascii="Sylfaen" w:hAnsi="Sylfaen"/>
          <w:sz w:val="24"/>
          <w:szCs w:val="24"/>
          <w:lang w:val="ka-GE"/>
        </w:rPr>
        <w:t xml:space="preserve">ბიოლოგიურად აქტიური არის მხოლოდ </w:t>
      </w:r>
      <w:r w:rsidR="00B612E9" w:rsidRPr="00A625EC">
        <w:rPr>
          <w:rFonts w:ascii="Sylfaen" w:hAnsi="Sylfaen"/>
          <w:sz w:val="24"/>
          <w:szCs w:val="24"/>
          <w:lang w:val="ka-GE"/>
        </w:rPr>
        <w:t>L-</w:t>
      </w:r>
      <w:r w:rsidR="00B612E9">
        <w:rPr>
          <w:rFonts w:ascii="Sylfaen" w:hAnsi="Sylfaen"/>
          <w:sz w:val="24"/>
          <w:szCs w:val="24"/>
          <w:lang w:val="ka-GE"/>
        </w:rPr>
        <w:t xml:space="preserve">იზომერი, რომელიც მნიშვნელოვან როლს ასრულებს როგორც ლიპიდების, ასევე კეტონური სხეულების მეტაბოლიზმში, როგორც განშტოებულ ჯაჭვიანი ამინომჟავა. როგორც შემადგენელი ელემენტი, ლევოკარნიტინი აუცილებელია გრძელჯაჭვიანი ცხიმოვანი მჟავების </w:t>
      </w:r>
      <w:r w:rsidR="00A625EC">
        <w:rPr>
          <w:rFonts w:ascii="Sylfaen" w:hAnsi="Sylfaen"/>
          <w:sz w:val="24"/>
          <w:szCs w:val="24"/>
          <w:lang w:val="ka-GE"/>
        </w:rPr>
        <w:t xml:space="preserve">ტრანსპორტისთვის მიტოქონდრიუმში, რაც ხელს უწყობს ცხიმოვანი მჟავების დაჟანგვას, და არა </w:t>
      </w:r>
      <w:r w:rsidR="00494BBA">
        <w:rPr>
          <w:rFonts w:ascii="Sylfaen" w:hAnsi="Sylfaen"/>
          <w:sz w:val="24"/>
          <w:szCs w:val="24"/>
          <w:lang w:val="ka-GE"/>
        </w:rPr>
        <w:t xml:space="preserve">მათ ჩართვას ტრიგლიცერიდებში. მისი თიოეთერიდან </w:t>
      </w:r>
      <w:r w:rsidR="00494BBA" w:rsidRPr="008D4EEC">
        <w:rPr>
          <w:rFonts w:ascii="Sylfaen" w:hAnsi="Sylfaen"/>
          <w:sz w:val="24"/>
          <w:szCs w:val="24"/>
          <w:lang w:val="ka-GE"/>
        </w:rPr>
        <w:t>CoA-</w:t>
      </w:r>
      <w:r w:rsidR="00494BBA">
        <w:rPr>
          <w:rFonts w:ascii="Sylfaen" w:hAnsi="Sylfaen"/>
          <w:sz w:val="24"/>
          <w:szCs w:val="24"/>
          <w:lang w:val="ka-GE"/>
        </w:rPr>
        <w:t xml:space="preserve">ს გამოთავისუფლებით </w:t>
      </w:r>
      <w:r w:rsidR="00A625EC">
        <w:rPr>
          <w:rFonts w:ascii="Sylfaen" w:hAnsi="Sylfaen"/>
          <w:sz w:val="24"/>
          <w:szCs w:val="24"/>
          <w:lang w:val="ka-GE"/>
        </w:rPr>
        <w:t xml:space="preserve"> </w:t>
      </w:r>
      <w:r w:rsidR="00494BBA" w:rsidRPr="008D4EEC">
        <w:rPr>
          <w:rFonts w:ascii="Sylfaen" w:hAnsi="Sylfaen"/>
          <w:sz w:val="24"/>
          <w:szCs w:val="24"/>
          <w:lang w:val="ka-GE"/>
        </w:rPr>
        <w:t>CoA-</w:t>
      </w:r>
      <w:r w:rsidR="00494BBA">
        <w:rPr>
          <w:rFonts w:ascii="Sylfaen" w:hAnsi="Sylfaen"/>
          <w:sz w:val="24"/>
          <w:szCs w:val="24"/>
          <w:lang w:val="ka-GE"/>
        </w:rPr>
        <w:t xml:space="preserve">ს მოქმედების გზით; </w:t>
      </w:r>
      <w:r w:rsidR="008D4EEC">
        <w:rPr>
          <w:rFonts w:ascii="Sylfaen" w:hAnsi="Sylfaen"/>
          <w:sz w:val="24"/>
          <w:szCs w:val="24"/>
          <w:lang w:val="ka-GE"/>
        </w:rPr>
        <w:t xml:space="preserve">კარნიტინ აცეტილტრანსფერაზა, ლევოკარნიტინი ასევე აძლიერებს მეტაბოლურ ნაკადს კრებსის ციკლში; ამავე მექანიზმით ის ასტიმულირებს პირუვატდეჰიდროგენაზას აქტივობას და განშტოებულ ჯაჭვიანი ამინომჟავების დაჟანგვას </w:t>
      </w:r>
      <w:r w:rsidR="006B2050">
        <w:rPr>
          <w:rFonts w:ascii="Sylfaen" w:hAnsi="Sylfaen"/>
          <w:sz w:val="24"/>
          <w:szCs w:val="24"/>
          <w:lang w:val="ka-GE"/>
        </w:rPr>
        <w:t xml:space="preserve">ჩონჩხის კუნთებში. </w:t>
      </w:r>
      <w:r w:rsidR="008D4EEC">
        <w:rPr>
          <w:rFonts w:ascii="Sylfaen" w:hAnsi="Sylfaen"/>
          <w:sz w:val="24"/>
          <w:szCs w:val="24"/>
          <w:lang w:val="ka-GE"/>
        </w:rPr>
        <w:t xml:space="preserve"> </w:t>
      </w:r>
      <w:r w:rsidR="006B2050">
        <w:rPr>
          <w:rFonts w:ascii="Sylfaen" w:hAnsi="Sylfaen"/>
          <w:sz w:val="24"/>
          <w:szCs w:val="24"/>
          <w:lang w:val="ka-GE"/>
        </w:rPr>
        <w:t xml:space="preserve">შესაბამისად, ლევოკარნიტინი პირდაპირ თუ არაპირდაპირ მონაწილეობს მეტაბოლიზმის რამდენიმე გზაში, ამიტომ მისი არსებობა წარმოადგენს მნიშვნელოვან ფაქტორს, რომელიც აკონტროლებს არამხოლოდ ცხიმოვანი მჟავების და კეტონური სხეულების, არამედ გლუკოზისა და ზოგიერთი ამინომჟავის ჟანგვით უტილიზაციას.  </w:t>
      </w:r>
    </w:p>
    <w:p w14:paraId="6CA3B50D" w14:textId="77777777" w:rsidR="006B2050" w:rsidRDefault="006B2050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6F55B531" w14:textId="18D2DE37" w:rsidR="00B14131" w:rsidRDefault="00B14131" w:rsidP="006A08C8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B14131">
        <w:rPr>
          <w:rFonts w:ascii="Sylfaen" w:hAnsi="Sylfaen"/>
          <w:b/>
          <w:sz w:val="24"/>
          <w:szCs w:val="24"/>
          <w:lang w:val="ka-GE"/>
        </w:rPr>
        <w:t>5.2 ფარმაკოკინეტიკური თვისებები</w:t>
      </w:r>
    </w:p>
    <w:p w14:paraId="5AE1E0E8" w14:textId="63DBEB1F" w:rsidR="0031150F" w:rsidRDefault="0051385C" w:rsidP="0031150F">
      <w:pPr>
        <w:spacing w:after="0" w:line="340" w:lineRule="atLeast"/>
        <w:jc w:val="both"/>
        <w:rPr>
          <w:rFonts w:ascii="Sylfaen" w:hAnsi="Sylfaen"/>
          <w:sz w:val="26"/>
          <w:szCs w:val="26"/>
          <w:lang w:val="ka-GE"/>
        </w:rPr>
      </w:pPr>
      <w:r>
        <w:rPr>
          <w:rFonts w:ascii="Sylfaen" w:hAnsi="Sylfaen"/>
          <w:sz w:val="26"/>
          <w:szCs w:val="26"/>
          <w:lang w:val="ka-GE"/>
        </w:rPr>
        <w:t xml:space="preserve">შეწოვის შემდეგ ლევოკარნიტინი </w:t>
      </w:r>
      <w:r w:rsidR="001E581D">
        <w:rPr>
          <w:rFonts w:ascii="Sylfaen" w:hAnsi="Sylfaen"/>
          <w:sz w:val="26"/>
          <w:szCs w:val="26"/>
          <w:lang w:val="ka-GE"/>
        </w:rPr>
        <w:t>სისხლიდან გადადის</w:t>
      </w:r>
      <w:r>
        <w:rPr>
          <w:rFonts w:ascii="Sylfaen" w:hAnsi="Sylfaen"/>
          <w:sz w:val="26"/>
          <w:szCs w:val="26"/>
          <w:lang w:val="ka-GE"/>
        </w:rPr>
        <w:t xml:space="preserve"> სხეულის სხვადასხვა ორგანოებსა და სისტემებში. </w:t>
      </w:r>
      <w:r w:rsidR="003B3F6C">
        <w:rPr>
          <w:rFonts w:ascii="Sylfaen" w:hAnsi="Sylfaen"/>
          <w:sz w:val="26"/>
          <w:szCs w:val="26"/>
          <w:lang w:val="ka-GE"/>
        </w:rPr>
        <w:t xml:space="preserve">რამდენიმე ქსოვილში, მათ შორის სისხლის წითელ უჯრედებში, </w:t>
      </w:r>
      <w:r w:rsidR="001E581D">
        <w:rPr>
          <w:rFonts w:ascii="Sylfaen" w:hAnsi="Sylfaen"/>
          <w:sz w:val="26"/>
          <w:szCs w:val="26"/>
          <w:lang w:val="ka-GE"/>
        </w:rPr>
        <w:t xml:space="preserve">რომლებიც იკავშირებს კარნიტინს, </w:t>
      </w:r>
      <w:r w:rsidR="003B3F6C">
        <w:rPr>
          <w:rFonts w:ascii="Sylfaen" w:hAnsi="Sylfaen"/>
          <w:sz w:val="26"/>
          <w:szCs w:val="26"/>
          <w:lang w:val="ka-GE"/>
        </w:rPr>
        <w:t>მემბრანების დამაკავშირებელი ცილების არსებობა</w:t>
      </w:r>
      <w:r w:rsidR="001E581D">
        <w:rPr>
          <w:rFonts w:ascii="Sylfaen" w:hAnsi="Sylfaen"/>
          <w:sz w:val="26"/>
          <w:szCs w:val="26"/>
          <w:lang w:val="ka-GE"/>
        </w:rPr>
        <w:t xml:space="preserve"> </w:t>
      </w:r>
      <w:r w:rsidR="003B3F6C">
        <w:rPr>
          <w:rFonts w:ascii="Sylfaen" w:hAnsi="Sylfaen"/>
          <w:sz w:val="26"/>
          <w:szCs w:val="26"/>
          <w:lang w:val="ka-GE"/>
        </w:rPr>
        <w:t xml:space="preserve">გვაძლევს საშუალებას ვივარაუდოდ, რომ სისხლში და უჯრედებში სატრანსპორტო სისტემა კოლექტიური შთანთქმისთვის, წარმოდგენილია რამდენიმე ქსოვილში. </w:t>
      </w:r>
      <w:r w:rsidR="0031150F">
        <w:rPr>
          <w:rFonts w:ascii="Sylfaen" w:hAnsi="Sylfaen"/>
          <w:sz w:val="26"/>
          <w:szCs w:val="26"/>
          <w:lang w:val="ka-GE"/>
        </w:rPr>
        <w:t>ქსოვილებსა და შრატში კარნიტინის კონცენტრაცია</w:t>
      </w:r>
      <w:r w:rsidR="001E581D">
        <w:rPr>
          <w:rFonts w:ascii="Sylfaen" w:hAnsi="Sylfaen"/>
          <w:sz w:val="26"/>
          <w:szCs w:val="26"/>
          <w:lang w:val="ka-GE"/>
        </w:rPr>
        <w:t>,</w:t>
      </w:r>
      <w:r w:rsidR="0031150F">
        <w:rPr>
          <w:rFonts w:ascii="Sylfaen" w:hAnsi="Sylfaen"/>
          <w:sz w:val="26"/>
          <w:szCs w:val="26"/>
          <w:lang w:val="ka-GE"/>
        </w:rPr>
        <w:t xml:space="preserve"> </w:t>
      </w:r>
      <w:r w:rsidR="001E581D">
        <w:rPr>
          <w:rFonts w:ascii="Sylfaen" w:hAnsi="Sylfaen"/>
          <w:sz w:val="26"/>
          <w:szCs w:val="26"/>
          <w:lang w:val="ka-GE"/>
        </w:rPr>
        <w:t>დამოკიდებული</w:t>
      </w:r>
      <w:r w:rsidR="0031150F">
        <w:rPr>
          <w:rFonts w:ascii="Sylfaen" w:hAnsi="Sylfaen"/>
          <w:sz w:val="26"/>
          <w:szCs w:val="26"/>
          <w:lang w:val="ka-GE"/>
        </w:rPr>
        <w:t xml:space="preserve"> რამდენიმე მეტაბოლურ პროცესზე, კარნიტინის ბიოსინთეზი და კვება, ქსოვილში და ქსოვილიდან ტრანსპორტი, დაშლა და ექსკრეცია შეიძლება გავლენას ახდენდეს ქსოვილებში კარნიტინის კონცენტრაციაზე. </w:t>
      </w:r>
    </w:p>
    <w:p w14:paraId="4B0097A1" w14:textId="77777777" w:rsidR="0031150F" w:rsidRDefault="0031150F" w:rsidP="0031150F">
      <w:pPr>
        <w:spacing w:after="0" w:line="340" w:lineRule="atLeast"/>
        <w:jc w:val="both"/>
        <w:rPr>
          <w:rFonts w:ascii="Sylfaen" w:hAnsi="Sylfaen"/>
          <w:sz w:val="26"/>
          <w:szCs w:val="26"/>
          <w:lang w:val="ka-GE"/>
        </w:rPr>
      </w:pPr>
    </w:p>
    <w:p w14:paraId="566612E2" w14:textId="77777777" w:rsidR="009B5A45" w:rsidRDefault="0031150F" w:rsidP="0031150F">
      <w:pPr>
        <w:spacing w:after="0" w:line="340" w:lineRule="atLeast"/>
        <w:jc w:val="both"/>
        <w:rPr>
          <w:rFonts w:ascii="Sylfaen" w:hAnsi="Sylfaen"/>
          <w:sz w:val="26"/>
          <w:szCs w:val="26"/>
          <w:lang w:val="ka-GE"/>
        </w:rPr>
      </w:pPr>
      <w:r>
        <w:rPr>
          <w:rFonts w:ascii="Sylfaen" w:hAnsi="Sylfaen"/>
          <w:sz w:val="26"/>
          <w:szCs w:val="26"/>
          <w:lang w:val="ka-GE"/>
        </w:rPr>
        <w:t xml:space="preserve">ნაჩვენებია, რომ ფარმაკოკინეტიკური პარამეტრები მნიშვნელოვნად იზრდება დოზასთან ერთად. ჯანმრთელ მოხალისეებში მოჩვენებითი ბიოშეღწევადობა შეადგენს დაახლოებით 10-16%-ს. </w:t>
      </w:r>
      <w:r w:rsidR="009B5A45">
        <w:rPr>
          <w:rFonts w:ascii="Sylfaen" w:hAnsi="Sylfaen"/>
          <w:sz w:val="26"/>
          <w:szCs w:val="26"/>
          <w:lang w:val="ka-GE"/>
        </w:rPr>
        <w:t xml:space="preserve">მონაცემები ვარაუდობენ ურთიერთკავშირს მაქსიმალურ პლაზმურ კონცენტრაციას/დოზირებას, დოზირებას, პლაზურ </w:t>
      </w:r>
      <w:r w:rsidR="009B5A45" w:rsidRPr="0031150F">
        <w:rPr>
          <w:rFonts w:ascii="Sylfaen" w:hAnsi="Sylfaen"/>
          <w:sz w:val="26"/>
          <w:szCs w:val="26"/>
          <w:lang w:val="ka-GE"/>
        </w:rPr>
        <w:t>AUC</w:t>
      </w:r>
      <w:r w:rsidR="009B5A45">
        <w:rPr>
          <w:rFonts w:ascii="Sylfaen" w:hAnsi="Sylfaen"/>
          <w:sz w:val="26"/>
          <w:szCs w:val="26"/>
          <w:lang w:val="ka-GE"/>
        </w:rPr>
        <w:t xml:space="preserve">-ს, დოზირებას/შარდში დაგროვებას შორის. მაქსიმალური კონცენტრაცია მიიღწევა მიღებიდან დაახლოებით ოთხ საათში. </w:t>
      </w:r>
    </w:p>
    <w:p w14:paraId="70C5EBBA" w14:textId="24EF43BE" w:rsidR="0031150F" w:rsidRDefault="009B5A45" w:rsidP="0031150F">
      <w:pPr>
        <w:spacing w:after="0" w:line="340" w:lineRule="atLeast"/>
        <w:jc w:val="both"/>
        <w:rPr>
          <w:rFonts w:ascii="Sylfaen" w:hAnsi="Sylfaen"/>
          <w:sz w:val="26"/>
          <w:szCs w:val="26"/>
          <w:lang w:val="ka-GE"/>
        </w:rPr>
      </w:pPr>
      <w:r>
        <w:rPr>
          <w:rFonts w:ascii="Sylfaen" w:hAnsi="Sylfaen"/>
          <w:sz w:val="26"/>
          <w:szCs w:val="26"/>
          <w:lang w:val="ka-GE"/>
        </w:rPr>
        <w:t xml:space="preserve"> </w:t>
      </w:r>
    </w:p>
    <w:p w14:paraId="14D405BC" w14:textId="516510BC" w:rsidR="00112719" w:rsidRDefault="00112719" w:rsidP="006A08C8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112719">
        <w:rPr>
          <w:rFonts w:ascii="Sylfaen" w:hAnsi="Sylfaen"/>
          <w:b/>
          <w:sz w:val="24"/>
          <w:szCs w:val="24"/>
          <w:lang w:val="ka-GE"/>
        </w:rPr>
        <w:t>5.3 უსაფრთხოების წინაკლინიკური მონაცემები</w:t>
      </w:r>
    </w:p>
    <w:p w14:paraId="2D3FEA11" w14:textId="427662C7" w:rsidR="00112719" w:rsidRDefault="009B5A45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ლევოკარნიტინი არის </w:t>
      </w:r>
      <w:r w:rsidR="00600171">
        <w:rPr>
          <w:rFonts w:ascii="Sylfaen" w:hAnsi="Sylfaen"/>
          <w:sz w:val="24"/>
          <w:szCs w:val="24"/>
          <w:lang w:val="ka-GE"/>
        </w:rPr>
        <w:t>ბუნებრივად წარმოქმნილი ნივთიერება ადამიანის ორგანიზმში, მცენარეებსა და ცხოველებში. ლევოკარნიტინის პროდუქტები გამოიყენება ორგანიზმში ლევოკარნიტინის ბუნებრივ</w:t>
      </w:r>
      <w:r w:rsidR="00DD30DD">
        <w:rPr>
          <w:rFonts w:ascii="Sylfaen" w:hAnsi="Sylfaen"/>
          <w:sz w:val="24"/>
          <w:szCs w:val="24"/>
          <w:lang w:val="ka-GE"/>
        </w:rPr>
        <w:t>ი</w:t>
      </w:r>
      <w:r w:rsidR="00600171">
        <w:rPr>
          <w:rFonts w:ascii="Sylfaen" w:hAnsi="Sylfaen"/>
          <w:sz w:val="24"/>
          <w:szCs w:val="24"/>
          <w:lang w:val="ka-GE"/>
        </w:rPr>
        <w:t xml:space="preserve"> კონცენტრაციების შესავსებად. ჩატარდა შესაბამისი წინაკლინიკური კვლევები, რომლებმაც არ გამოავლინა ტოქსიურობის ნიშნები ნორმალური თერაპიული დოზებისას. </w:t>
      </w:r>
    </w:p>
    <w:p w14:paraId="06528C46" w14:textId="12A5381A" w:rsidR="00112719" w:rsidRPr="00112719" w:rsidRDefault="00112719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7F903DB5" w14:textId="1FABD5D8" w:rsidR="00D669C6" w:rsidRDefault="00600171" w:rsidP="006A08C8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6. </w:t>
      </w:r>
      <w:r w:rsidR="00D669C6" w:rsidRPr="00D669C6">
        <w:rPr>
          <w:rFonts w:ascii="Sylfaen" w:hAnsi="Sylfaen"/>
          <w:b/>
          <w:sz w:val="24"/>
          <w:szCs w:val="24"/>
          <w:lang w:val="ka-GE"/>
        </w:rPr>
        <w:t>ფარმაცევტული მახასიათებლები</w:t>
      </w:r>
    </w:p>
    <w:p w14:paraId="6A453414" w14:textId="77777777" w:rsidR="00D669C6" w:rsidRDefault="00D669C6" w:rsidP="006A08C8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6.1 დამხმარე ნივთიერებების ჩამონათვალი</w:t>
      </w:r>
    </w:p>
    <w:p w14:paraId="0FB0039F" w14:textId="0BD3F6D9" w:rsidR="00D669C6" w:rsidRDefault="009F57B7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სორბიტოლის ხსნარი (70%)</w:t>
      </w:r>
    </w:p>
    <w:p w14:paraId="5DB19E40" w14:textId="5B54BC4F" w:rsidR="009F57B7" w:rsidRDefault="009F57B7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ნატრიუმის პროპილჰიდროქსიბენზოატი</w:t>
      </w:r>
    </w:p>
    <w:p w14:paraId="3BA24C86" w14:textId="2E65AAFC" w:rsidR="009F57B7" w:rsidRDefault="009F57B7" w:rsidP="009F57B7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ნატრიუმის მეთილჰიდროქსიბენზოატი</w:t>
      </w:r>
    </w:p>
    <w:p w14:paraId="0210D8AB" w14:textId="58D79D00" w:rsidR="009F57B7" w:rsidRDefault="00723847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საქაროზა</w:t>
      </w:r>
    </w:p>
    <w:p w14:paraId="4882B146" w14:textId="6BADF547" w:rsidR="00723847" w:rsidRDefault="00723847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ჰიდროქლორმჟავა კონცენტრირებულია</w:t>
      </w:r>
    </w:p>
    <w:p w14:paraId="6B3858A7" w14:textId="0BA79351" w:rsidR="00723847" w:rsidRDefault="00723847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გასუფთავებული წყალი</w:t>
      </w:r>
    </w:p>
    <w:p w14:paraId="36CB3AE8" w14:textId="77777777" w:rsidR="00723847" w:rsidRDefault="00723847" w:rsidP="006A08C8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62F9A566" w14:textId="6604E866" w:rsidR="00D669C6" w:rsidRDefault="00D669C6" w:rsidP="006A08C8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867363">
        <w:rPr>
          <w:rFonts w:ascii="Sylfaen" w:hAnsi="Sylfaen"/>
          <w:b/>
          <w:sz w:val="24"/>
          <w:szCs w:val="24"/>
          <w:lang w:val="ka-GE"/>
        </w:rPr>
        <w:t>6.2 შეუთავსებლობა</w:t>
      </w:r>
    </w:p>
    <w:p w14:paraId="75E29A15" w14:textId="42DB88BD" w:rsidR="00867363" w:rsidRDefault="00867363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ცნობილი არ არის.</w:t>
      </w:r>
    </w:p>
    <w:p w14:paraId="1BC72B79" w14:textId="77777777" w:rsidR="00867363" w:rsidRDefault="00867363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7B1994F2" w14:textId="40B320B8" w:rsidR="00867363" w:rsidRPr="00867363" w:rsidRDefault="00867363" w:rsidP="006A08C8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867363">
        <w:rPr>
          <w:rFonts w:ascii="Sylfaen" w:hAnsi="Sylfaen"/>
          <w:b/>
          <w:sz w:val="24"/>
          <w:szCs w:val="24"/>
          <w:lang w:val="ka-GE"/>
        </w:rPr>
        <w:t>6.3 შენახვის ვადა</w:t>
      </w:r>
    </w:p>
    <w:p w14:paraId="32FB0351" w14:textId="5F74269E" w:rsidR="00867363" w:rsidRDefault="00723847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2</w:t>
      </w:r>
      <w:r w:rsidR="00867363" w:rsidRPr="00867363">
        <w:rPr>
          <w:rFonts w:ascii="Sylfaen" w:hAnsi="Sylfaen"/>
          <w:sz w:val="24"/>
          <w:szCs w:val="24"/>
          <w:lang w:val="ka-GE"/>
        </w:rPr>
        <w:t xml:space="preserve"> წელი</w:t>
      </w:r>
      <w:r w:rsidR="00867363">
        <w:rPr>
          <w:rFonts w:ascii="Sylfaen" w:hAnsi="Sylfaen"/>
          <w:sz w:val="24"/>
          <w:szCs w:val="24"/>
          <w:lang w:val="ka-GE"/>
        </w:rPr>
        <w:t xml:space="preserve">. </w:t>
      </w:r>
    </w:p>
    <w:p w14:paraId="05FA6101" w14:textId="71682286" w:rsidR="00723847" w:rsidRDefault="00723847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lastRenderedPageBreak/>
        <w:t xml:space="preserve">პრეპარატი გადააგდეთ ფლაკონის პირველად გახსნიდან 30 დღეში. </w:t>
      </w:r>
    </w:p>
    <w:p w14:paraId="12FA7C99" w14:textId="77777777" w:rsidR="00867363" w:rsidRDefault="00867363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73083C0D" w14:textId="5C17B828" w:rsidR="00867363" w:rsidRPr="00867363" w:rsidRDefault="00867363" w:rsidP="006A08C8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867363">
        <w:rPr>
          <w:rFonts w:ascii="Sylfaen" w:hAnsi="Sylfaen"/>
          <w:b/>
          <w:sz w:val="24"/>
          <w:szCs w:val="24"/>
          <w:lang w:val="ka-GE"/>
        </w:rPr>
        <w:t>6.4 შენახვისას სიფრთხილის განსაკუთრებული ზომები</w:t>
      </w:r>
    </w:p>
    <w:p w14:paraId="1500C44E" w14:textId="29BCBDC7" w:rsidR="00867363" w:rsidRPr="00867363" w:rsidRDefault="00867363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 w:rsidRPr="00867363">
        <w:rPr>
          <w:rFonts w:ascii="Sylfaen" w:hAnsi="Sylfaen"/>
          <w:sz w:val="24"/>
          <w:szCs w:val="24"/>
          <w:lang w:val="ka-GE"/>
        </w:rPr>
        <w:t xml:space="preserve">შეინახეთ არაუმეტეს </w:t>
      </w:r>
      <w:r w:rsidR="00723847">
        <w:rPr>
          <w:rFonts w:ascii="Sylfaen" w:hAnsi="Sylfaen"/>
          <w:sz w:val="26"/>
          <w:szCs w:val="26"/>
          <w:lang w:val="ka-GE"/>
        </w:rPr>
        <w:t>25</w:t>
      </w:r>
      <w:r w:rsidRPr="00112719">
        <w:rPr>
          <w:rFonts w:ascii="Times New Roman" w:hAnsi="Times New Roman" w:cs="Times New Roman"/>
          <w:sz w:val="26"/>
          <w:szCs w:val="26"/>
          <w:lang w:val="ka-GE"/>
        </w:rPr>
        <w:t>°C</w:t>
      </w:r>
      <w:r>
        <w:rPr>
          <w:rFonts w:ascii="Sylfaen" w:hAnsi="Sylfaen"/>
          <w:sz w:val="26"/>
          <w:szCs w:val="26"/>
          <w:lang w:val="ka-GE"/>
        </w:rPr>
        <w:t xml:space="preserve"> ტემპერატურაზე. </w:t>
      </w:r>
    </w:p>
    <w:p w14:paraId="3A4A1FE0" w14:textId="0A588612" w:rsidR="00335957" w:rsidRDefault="00867363" w:rsidP="00A22FB6">
      <w:pPr>
        <w:spacing w:after="0" w:line="360" w:lineRule="atLeast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</w:t>
      </w:r>
    </w:p>
    <w:p w14:paraId="011C1A9D" w14:textId="24237AC2" w:rsidR="00867363" w:rsidRDefault="00867363" w:rsidP="00A22FB6">
      <w:pPr>
        <w:spacing w:after="0" w:line="360" w:lineRule="atLeast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6.5 შეფუთვა და მისი შიგთავსი</w:t>
      </w:r>
    </w:p>
    <w:p w14:paraId="1F609C65" w14:textId="71BD84F4" w:rsidR="008140EB" w:rsidRPr="00A200A4" w:rsidRDefault="00723847" w:rsidP="00723847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მუყაოს კოლოფი, რომელიც შეიცავს 20 მლ სამკურნალო საშუალებას ქარვისფერ მინის ფლაკონში, პლასტმასის პოლიეთილენ-პოლიპროპილენის თავსახურით, ბავშვის მიერ გახსნისგან დამცავი სისტემით, და </w:t>
      </w:r>
      <w:r w:rsidR="00DD30DD">
        <w:rPr>
          <w:rFonts w:ascii="Sylfaen" w:hAnsi="Sylfaen"/>
          <w:sz w:val="24"/>
          <w:szCs w:val="24"/>
          <w:lang w:val="ka-GE"/>
        </w:rPr>
        <w:t>დოზირებულ</w:t>
      </w:r>
      <w:r>
        <w:rPr>
          <w:rFonts w:ascii="Sylfaen" w:hAnsi="Sylfaen"/>
          <w:sz w:val="24"/>
          <w:szCs w:val="24"/>
          <w:lang w:val="ka-GE"/>
        </w:rPr>
        <w:t xml:space="preserve"> საწვეთურ</w:t>
      </w:r>
      <w:r w:rsidR="00DD30DD">
        <w:rPr>
          <w:rFonts w:ascii="Sylfaen" w:hAnsi="Sylfaen"/>
          <w:sz w:val="24"/>
          <w:szCs w:val="24"/>
          <w:lang w:val="ka-GE"/>
        </w:rPr>
        <w:t>ს</w:t>
      </w:r>
      <w:r>
        <w:rPr>
          <w:rFonts w:ascii="Sylfaen" w:hAnsi="Sylfaen"/>
          <w:sz w:val="24"/>
          <w:szCs w:val="24"/>
          <w:lang w:val="ka-GE"/>
        </w:rPr>
        <w:t xml:space="preserve"> პაციენტის საინფორმაციო ჩანართთან ერთად. </w:t>
      </w:r>
    </w:p>
    <w:p w14:paraId="1125BA14" w14:textId="161E5BEC" w:rsidR="00723847" w:rsidRPr="00A200A4" w:rsidRDefault="00723847" w:rsidP="00A22FB6">
      <w:pPr>
        <w:spacing w:after="0" w:line="360" w:lineRule="atLeast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6095EA1E" w14:textId="1B0BC1FE" w:rsidR="008140EB" w:rsidRPr="008140EB" w:rsidRDefault="008140EB" w:rsidP="00A22FB6">
      <w:pPr>
        <w:spacing w:after="0" w:line="360" w:lineRule="atLeast"/>
        <w:rPr>
          <w:rFonts w:ascii="Sylfaen" w:hAnsi="Sylfaen"/>
          <w:b/>
          <w:sz w:val="24"/>
          <w:szCs w:val="24"/>
          <w:lang w:val="ka-GE"/>
        </w:rPr>
      </w:pPr>
      <w:r w:rsidRPr="00A200A4">
        <w:rPr>
          <w:rFonts w:ascii="Sylfaen" w:hAnsi="Sylfaen"/>
          <w:b/>
          <w:sz w:val="24"/>
          <w:szCs w:val="24"/>
          <w:lang w:val="ka-GE"/>
        </w:rPr>
        <w:t xml:space="preserve">6.6. </w:t>
      </w:r>
      <w:r w:rsidR="00723847">
        <w:rPr>
          <w:rFonts w:ascii="Sylfaen" w:hAnsi="Sylfaen"/>
          <w:b/>
          <w:sz w:val="24"/>
          <w:szCs w:val="24"/>
          <w:lang w:val="ka-GE"/>
        </w:rPr>
        <w:t xml:space="preserve">სპეციალური </w:t>
      </w:r>
      <w:r w:rsidRPr="008140EB">
        <w:rPr>
          <w:rFonts w:ascii="Sylfaen" w:hAnsi="Sylfaen"/>
          <w:b/>
          <w:sz w:val="24"/>
          <w:szCs w:val="24"/>
          <w:lang w:val="ka-GE"/>
        </w:rPr>
        <w:t xml:space="preserve">მითითებები </w:t>
      </w:r>
      <w:r w:rsidR="00723847">
        <w:rPr>
          <w:rFonts w:ascii="Sylfaen" w:hAnsi="Sylfaen"/>
          <w:b/>
          <w:sz w:val="24"/>
          <w:szCs w:val="24"/>
          <w:lang w:val="ka-GE"/>
        </w:rPr>
        <w:t>უტილიზაციასთან</w:t>
      </w:r>
      <w:r w:rsidRPr="008140EB">
        <w:rPr>
          <w:rFonts w:ascii="Sylfaen" w:hAnsi="Sylfaen"/>
          <w:b/>
          <w:sz w:val="24"/>
          <w:szCs w:val="24"/>
          <w:lang w:val="ka-GE"/>
        </w:rPr>
        <w:t xml:space="preserve"> დაკავშირებით</w:t>
      </w:r>
    </w:p>
    <w:p w14:paraId="46C09CFA" w14:textId="6E6C359C" w:rsidR="008140EB" w:rsidRDefault="00723847" w:rsidP="008140EB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უტილიზაციასთან დაკავშირებით სპეციალური მოთხოვნები არ არსებობს.</w:t>
      </w:r>
    </w:p>
    <w:p w14:paraId="6652FB29" w14:textId="77777777" w:rsidR="008140EB" w:rsidRDefault="008140EB" w:rsidP="008140EB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52CE014F" w14:textId="0B91FAFA" w:rsidR="003C757D" w:rsidRPr="003C757D" w:rsidRDefault="00B80BE0" w:rsidP="003C757D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>
        <w:rPr>
          <w:rFonts w:ascii="Sylfaen" w:hAnsi="Sylfaen" w:cs="Sylfaen"/>
          <w:b/>
          <w:noProof/>
          <w:sz w:val="24"/>
          <w:szCs w:val="24"/>
          <w:lang w:val="ka-GE"/>
        </w:rPr>
        <w:t>გაცემის რეჟიმი:</w:t>
      </w:r>
      <w:r w:rsidR="003C757D" w:rsidRPr="003C757D">
        <w:rPr>
          <w:rFonts w:ascii="Sylfaen" w:hAnsi="Sylfaen"/>
          <w:b/>
          <w:bCs/>
          <w:sz w:val="24"/>
          <w:szCs w:val="24"/>
          <w:lang w:val="ka-GE"/>
        </w:rPr>
        <w:tab/>
      </w:r>
      <w:r w:rsidR="003C757D" w:rsidRPr="003C757D">
        <w:rPr>
          <w:rFonts w:ascii="Sylfaen" w:hAnsi="Sylfaen"/>
          <w:b/>
          <w:bCs/>
          <w:sz w:val="24"/>
          <w:szCs w:val="24"/>
          <w:lang w:val="ka-GE"/>
        </w:rPr>
        <w:tab/>
      </w:r>
    </w:p>
    <w:p w14:paraId="44150BF7" w14:textId="77777777" w:rsidR="003C757D" w:rsidRPr="003C757D" w:rsidRDefault="003C757D" w:rsidP="003C757D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3C757D">
        <w:rPr>
          <w:rFonts w:ascii="Sylfaen" w:hAnsi="Sylfaen"/>
          <w:b/>
          <w:bCs/>
          <w:sz w:val="24"/>
          <w:szCs w:val="24"/>
          <w:lang w:val="ka-GE"/>
        </w:rPr>
        <w:t>ფარმაცევტული პროდუქტის ჯგუფი III, გაიცემა რეცეპტის გარეშე</w:t>
      </w:r>
    </w:p>
    <w:p w14:paraId="56A386EF" w14:textId="77777777" w:rsidR="00B80BE0" w:rsidRDefault="00B80BE0" w:rsidP="008140EB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1484EED9" w14:textId="548A3F19" w:rsidR="008140EB" w:rsidRDefault="008140EB" w:rsidP="008140EB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7. სავაჭრო ლიცენზიის მფლობელი</w:t>
      </w:r>
    </w:p>
    <w:p w14:paraId="464F83C1" w14:textId="77777777" w:rsidR="00723847" w:rsidRDefault="00723847" w:rsidP="00723847">
      <w:pPr>
        <w:pStyle w:val="a"/>
        <w:spacing w:line="340" w:lineRule="atLeast"/>
        <w:rPr>
          <w:lang w:val="it-IT"/>
        </w:rPr>
      </w:pPr>
      <w:r>
        <w:rPr>
          <w:lang w:val="it-IT"/>
        </w:rPr>
        <w:t>HELP S.A.</w:t>
      </w:r>
    </w:p>
    <w:p w14:paraId="737E6AD0" w14:textId="77777777" w:rsidR="00723847" w:rsidRDefault="00723847" w:rsidP="00723847">
      <w:pPr>
        <w:pStyle w:val="a"/>
        <w:spacing w:line="340" w:lineRule="atLeast"/>
        <w:rPr>
          <w:rFonts w:ascii="AcadNusx" w:hAnsi="AcadNusx"/>
          <w:lang w:val="it-IT"/>
        </w:rPr>
      </w:pPr>
      <w:r>
        <w:rPr>
          <w:rFonts w:ascii="AcadNusx" w:hAnsi="AcadNusx"/>
          <w:lang w:val="it-IT"/>
        </w:rPr>
        <w:t>10 valaoritus quCa</w:t>
      </w:r>
    </w:p>
    <w:p w14:paraId="53D49663" w14:textId="77777777" w:rsidR="00723847" w:rsidRDefault="00723847" w:rsidP="00723847">
      <w:pPr>
        <w:pStyle w:val="a"/>
        <w:spacing w:line="340" w:lineRule="atLeast"/>
        <w:rPr>
          <w:rFonts w:ascii="AcadNusx" w:hAnsi="AcadNusx"/>
          <w:lang w:val="it-IT"/>
        </w:rPr>
      </w:pPr>
      <w:r w:rsidRPr="004A1CE4">
        <w:rPr>
          <w:lang w:val="it-IT"/>
        </w:rPr>
        <w:t>GR</w:t>
      </w:r>
      <w:r>
        <w:rPr>
          <w:rFonts w:ascii="AcadNusx" w:hAnsi="AcadNusx"/>
          <w:lang w:val="it-IT"/>
        </w:rPr>
        <w:t xml:space="preserve"> 144 52 metamorfosi</w:t>
      </w:r>
    </w:p>
    <w:p w14:paraId="1D9A324D" w14:textId="77777777" w:rsidR="00723847" w:rsidRDefault="00723847" w:rsidP="00723847">
      <w:pPr>
        <w:pStyle w:val="a"/>
        <w:spacing w:line="340" w:lineRule="atLeast"/>
        <w:rPr>
          <w:rFonts w:ascii="AcadNusx" w:hAnsi="AcadNusx"/>
          <w:lang w:val="it-IT"/>
        </w:rPr>
      </w:pPr>
      <w:r>
        <w:rPr>
          <w:rFonts w:ascii="AcadNusx" w:hAnsi="AcadNusx"/>
          <w:lang w:val="it-IT"/>
        </w:rPr>
        <w:t>atika</w:t>
      </w:r>
    </w:p>
    <w:p w14:paraId="3F8881C0" w14:textId="77777777" w:rsidR="00723847" w:rsidRDefault="00723847" w:rsidP="00723847">
      <w:pPr>
        <w:pStyle w:val="a"/>
        <w:spacing w:line="340" w:lineRule="atLeast"/>
        <w:rPr>
          <w:rFonts w:ascii="AcadNusx" w:hAnsi="AcadNusx"/>
          <w:lang w:val="it-IT"/>
        </w:rPr>
      </w:pPr>
      <w:r>
        <w:rPr>
          <w:rFonts w:ascii="AcadNusx" w:hAnsi="AcadNusx"/>
          <w:lang w:val="it-IT"/>
        </w:rPr>
        <w:t>saberZneTi</w:t>
      </w:r>
    </w:p>
    <w:p w14:paraId="72E66B0E" w14:textId="77777777" w:rsidR="00723847" w:rsidRDefault="00723847" w:rsidP="00723847">
      <w:pPr>
        <w:pStyle w:val="a"/>
        <w:spacing w:line="340" w:lineRule="atLeast"/>
        <w:rPr>
          <w:rFonts w:ascii="AcadNusx" w:hAnsi="AcadNusx"/>
          <w:lang w:val="it-IT"/>
        </w:rPr>
      </w:pPr>
      <w:r>
        <w:rPr>
          <w:rFonts w:ascii="AcadNusx" w:hAnsi="AcadNusx"/>
          <w:lang w:val="it-IT"/>
        </w:rPr>
        <w:t>telefoni: +30 210 281 5353</w:t>
      </w:r>
    </w:p>
    <w:p w14:paraId="4ACBC04A" w14:textId="62FD8BCE" w:rsidR="008140EB" w:rsidRPr="00B80BE0" w:rsidRDefault="008140EB" w:rsidP="008140EB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33E94EC1" w14:textId="52141004" w:rsidR="008140EB" w:rsidRDefault="008140EB" w:rsidP="008140EB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8. სავაჭრო ლიცენზიის ნომერი</w:t>
      </w:r>
      <w:r w:rsidR="00723847">
        <w:rPr>
          <w:rFonts w:ascii="Sylfaen" w:hAnsi="Sylfaen"/>
          <w:b/>
          <w:sz w:val="24"/>
          <w:szCs w:val="24"/>
          <w:lang w:val="ka-GE"/>
        </w:rPr>
        <w:t>(ნომრები)</w:t>
      </w:r>
    </w:p>
    <w:p w14:paraId="187F11B1" w14:textId="4EAAF8BD" w:rsidR="008140EB" w:rsidRPr="00B80BE0" w:rsidRDefault="00723847" w:rsidP="008140EB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&lt;</w:t>
      </w:r>
      <w:r w:rsidR="000E6FC9">
        <w:rPr>
          <w:rFonts w:ascii="Sylfaen" w:hAnsi="Sylfaen"/>
          <w:sz w:val="24"/>
          <w:szCs w:val="24"/>
          <w:lang w:val="ka-GE"/>
        </w:rPr>
        <w:t>ივსება ადგილობრივი მონაცემების საფუძველზე</w:t>
      </w:r>
      <w:r>
        <w:rPr>
          <w:rFonts w:ascii="Sylfaen" w:hAnsi="Sylfaen"/>
          <w:sz w:val="24"/>
          <w:szCs w:val="24"/>
          <w:lang w:val="ka-GE"/>
        </w:rPr>
        <w:t>&gt;</w:t>
      </w:r>
    </w:p>
    <w:p w14:paraId="7FC6B4CE" w14:textId="77777777" w:rsidR="008140EB" w:rsidRPr="00B80BE0" w:rsidRDefault="008140EB" w:rsidP="008140EB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04A1F86F" w14:textId="6E9C2DE9" w:rsidR="008140EB" w:rsidRDefault="008140EB" w:rsidP="008140EB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9. პირველი რეგისტრაციის/ხელახალი რეგისტრაციის თარიღი</w:t>
      </w:r>
    </w:p>
    <w:p w14:paraId="1C590402" w14:textId="77777777" w:rsidR="000E6FC9" w:rsidRPr="00B80BE0" w:rsidRDefault="000E6FC9" w:rsidP="000E6FC9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&lt;ივსება ადგილობრივი მონაცემების საფუძველზე&gt;</w:t>
      </w:r>
    </w:p>
    <w:p w14:paraId="5CDA9B5D" w14:textId="77777777" w:rsidR="008140EB" w:rsidRPr="008140EB" w:rsidRDefault="008140EB" w:rsidP="008140EB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789A39F4" w14:textId="6AA64DA1" w:rsidR="008140EB" w:rsidRDefault="008140EB" w:rsidP="008140EB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10. ტექსტის რედაქტირების თარიღი</w:t>
      </w:r>
    </w:p>
    <w:p w14:paraId="1DFB89B6" w14:textId="77777777" w:rsidR="000E6FC9" w:rsidRPr="000E6FC9" w:rsidRDefault="000E6FC9" w:rsidP="000E6FC9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&lt;ივსება ადგილობრივი მონაცემების საფუძველზე&gt;</w:t>
      </w:r>
    </w:p>
    <w:p w14:paraId="40280441" w14:textId="77777777" w:rsidR="008140EB" w:rsidRPr="008140EB" w:rsidRDefault="008140EB" w:rsidP="00A22FB6">
      <w:pPr>
        <w:spacing w:after="0" w:line="360" w:lineRule="atLeast"/>
        <w:rPr>
          <w:rFonts w:ascii="Sylfaen" w:hAnsi="Sylfaen"/>
          <w:sz w:val="24"/>
          <w:szCs w:val="24"/>
          <w:lang w:val="ka-GE"/>
        </w:rPr>
      </w:pPr>
    </w:p>
    <w:p w14:paraId="48924EEA" w14:textId="77777777" w:rsidR="00CA1AA8" w:rsidRPr="00CA1AA8" w:rsidRDefault="00CA1AA8" w:rsidP="00A22FB6">
      <w:pPr>
        <w:spacing w:after="0" w:line="360" w:lineRule="atLeast"/>
        <w:rPr>
          <w:rFonts w:ascii="Sylfaen" w:hAnsi="Sylfaen" w:cs="Times New Roman"/>
          <w:i/>
          <w:sz w:val="24"/>
          <w:szCs w:val="24"/>
          <w:lang w:val="it-IT"/>
        </w:rPr>
      </w:pPr>
    </w:p>
    <w:sectPr w:rsidR="00CA1AA8" w:rsidRPr="00CA1AA8" w:rsidSect="00A424B5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34541" w14:textId="77777777" w:rsidR="00EE4134" w:rsidRDefault="00EE4134" w:rsidP="0012465F">
      <w:pPr>
        <w:spacing w:after="0" w:line="240" w:lineRule="auto"/>
      </w:pPr>
      <w:r>
        <w:separator/>
      </w:r>
    </w:p>
  </w:endnote>
  <w:endnote w:type="continuationSeparator" w:id="0">
    <w:p w14:paraId="6EFF6D79" w14:textId="77777777" w:rsidR="00EE4134" w:rsidRDefault="00EE4134" w:rsidP="00124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92565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C837AE" w14:textId="6CA162F6" w:rsidR="003C757D" w:rsidRDefault="003C757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6E2C51" w14:textId="77777777" w:rsidR="003C757D" w:rsidRDefault="003C75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4D377" w14:textId="77777777" w:rsidR="00EE4134" w:rsidRDefault="00EE4134" w:rsidP="0012465F">
      <w:pPr>
        <w:spacing w:after="0" w:line="240" w:lineRule="auto"/>
      </w:pPr>
      <w:r>
        <w:separator/>
      </w:r>
    </w:p>
  </w:footnote>
  <w:footnote w:type="continuationSeparator" w:id="0">
    <w:p w14:paraId="5B87799E" w14:textId="77777777" w:rsidR="00EE4134" w:rsidRDefault="00EE4134" w:rsidP="001246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D4843"/>
    <w:multiLevelType w:val="hybridMultilevel"/>
    <w:tmpl w:val="DCFC663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B37476"/>
    <w:multiLevelType w:val="hybridMultilevel"/>
    <w:tmpl w:val="B330E58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1430D"/>
    <w:multiLevelType w:val="hybridMultilevel"/>
    <w:tmpl w:val="6A9C8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2564EB"/>
    <w:multiLevelType w:val="hybridMultilevel"/>
    <w:tmpl w:val="9F448A2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AF0428D"/>
    <w:multiLevelType w:val="hybridMultilevel"/>
    <w:tmpl w:val="A63AA1BA"/>
    <w:lvl w:ilvl="0" w:tplc="25963A4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E784B51"/>
    <w:multiLevelType w:val="hybridMultilevel"/>
    <w:tmpl w:val="5748E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787446"/>
    <w:multiLevelType w:val="hybridMultilevel"/>
    <w:tmpl w:val="DED0518A"/>
    <w:lvl w:ilvl="0" w:tplc="25963A4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06002573">
    <w:abstractNumId w:val="2"/>
  </w:num>
  <w:num w:numId="2" w16cid:durableId="507599720">
    <w:abstractNumId w:val="3"/>
  </w:num>
  <w:num w:numId="3" w16cid:durableId="226501653">
    <w:abstractNumId w:val="1"/>
  </w:num>
  <w:num w:numId="4" w16cid:durableId="1548371923">
    <w:abstractNumId w:val="5"/>
  </w:num>
  <w:num w:numId="5" w16cid:durableId="1219626407">
    <w:abstractNumId w:val="0"/>
  </w:num>
  <w:num w:numId="6" w16cid:durableId="1014379329">
    <w:abstractNumId w:val="4"/>
  </w:num>
  <w:num w:numId="7" w16cid:durableId="18489021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730E"/>
    <w:rsid w:val="000178C2"/>
    <w:rsid w:val="000201CA"/>
    <w:rsid w:val="00021418"/>
    <w:rsid w:val="00041204"/>
    <w:rsid w:val="000530F3"/>
    <w:rsid w:val="00065C33"/>
    <w:rsid w:val="00067CEF"/>
    <w:rsid w:val="000C2156"/>
    <w:rsid w:val="000E32F2"/>
    <w:rsid w:val="000E6FC9"/>
    <w:rsid w:val="000F75E2"/>
    <w:rsid w:val="001100D2"/>
    <w:rsid w:val="00112719"/>
    <w:rsid w:val="0012465F"/>
    <w:rsid w:val="0013688D"/>
    <w:rsid w:val="0014211A"/>
    <w:rsid w:val="0016207E"/>
    <w:rsid w:val="00186077"/>
    <w:rsid w:val="001E581D"/>
    <w:rsid w:val="00203E8B"/>
    <w:rsid w:val="0021318C"/>
    <w:rsid w:val="002421E7"/>
    <w:rsid w:val="0024622C"/>
    <w:rsid w:val="00262E39"/>
    <w:rsid w:val="002634E9"/>
    <w:rsid w:val="002E0CCB"/>
    <w:rsid w:val="002E224C"/>
    <w:rsid w:val="002E608F"/>
    <w:rsid w:val="002F08FB"/>
    <w:rsid w:val="00302891"/>
    <w:rsid w:val="0031150F"/>
    <w:rsid w:val="003307EC"/>
    <w:rsid w:val="00335957"/>
    <w:rsid w:val="003B3F6C"/>
    <w:rsid w:val="003C757D"/>
    <w:rsid w:val="003D1D84"/>
    <w:rsid w:val="004128E7"/>
    <w:rsid w:val="00423178"/>
    <w:rsid w:val="00444F11"/>
    <w:rsid w:val="00462B57"/>
    <w:rsid w:val="004637F9"/>
    <w:rsid w:val="00484363"/>
    <w:rsid w:val="00486897"/>
    <w:rsid w:val="00494BBA"/>
    <w:rsid w:val="004B25E0"/>
    <w:rsid w:val="004B25F8"/>
    <w:rsid w:val="004C10D5"/>
    <w:rsid w:val="004C5AF5"/>
    <w:rsid w:val="004E2555"/>
    <w:rsid w:val="004E5D64"/>
    <w:rsid w:val="004F0620"/>
    <w:rsid w:val="0051385C"/>
    <w:rsid w:val="005161DF"/>
    <w:rsid w:val="00516FD8"/>
    <w:rsid w:val="00547477"/>
    <w:rsid w:val="00566333"/>
    <w:rsid w:val="00574AFE"/>
    <w:rsid w:val="00581BA6"/>
    <w:rsid w:val="005844BD"/>
    <w:rsid w:val="005B3E66"/>
    <w:rsid w:val="005D3922"/>
    <w:rsid w:val="005D4EFC"/>
    <w:rsid w:val="005E1EA4"/>
    <w:rsid w:val="005F693F"/>
    <w:rsid w:val="00600171"/>
    <w:rsid w:val="00607175"/>
    <w:rsid w:val="00612398"/>
    <w:rsid w:val="00612E31"/>
    <w:rsid w:val="0062263C"/>
    <w:rsid w:val="00651212"/>
    <w:rsid w:val="006802A8"/>
    <w:rsid w:val="00690451"/>
    <w:rsid w:val="006A08C8"/>
    <w:rsid w:val="006B2050"/>
    <w:rsid w:val="006E3A55"/>
    <w:rsid w:val="006F5E29"/>
    <w:rsid w:val="0071113B"/>
    <w:rsid w:val="00713955"/>
    <w:rsid w:val="00723847"/>
    <w:rsid w:val="0074699C"/>
    <w:rsid w:val="00751C1E"/>
    <w:rsid w:val="00774F5F"/>
    <w:rsid w:val="007767D5"/>
    <w:rsid w:val="0077720D"/>
    <w:rsid w:val="007B730E"/>
    <w:rsid w:val="007C284A"/>
    <w:rsid w:val="00802F3E"/>
    <w:rsid w:val="008140EB"/>
    <w:rsid w:val="0083634A"/>
    <w:rsid w:val="00843F1B"/>
    <w:rsid w:val="00844B61"/>
    <w:rsid w:val="00867363"/>
    <w:rsid w:val="00881A92"/>
    <w:rsid w:val="00885E10"/>
    <w:rsid w:val="0089026F"/>
    <w:rsid w:val="008C7DC7"/>
    <w:rsid w:val="008D4EEC"/>
    <w:rsid w:val="00913846"/>
    <w:rsid w:val="009151E5"/>
    <w:rsid w:val="00936138"/>
    <w:rsid w:val="009A7FEC"/>
    <w:rsid w:val="009B5A45"/>
    <w:rsid w:val="009F57B7"/>
    <w:rsid w:val="009F6E7B"/>
    <w:rsid w:val="00A200A4"/>
    <w:rsid w:val="00A22FB6"/>
    <w:rsid w:val="00A23A28"/>
    <w:rsid w:val="00A36397"/>
    <w:rsid w:val="00A424B5"/>
    <w:rsid w:val="00A625EC"/>
    <w:rsid w:val="00A7291C"/>
    <w:rsid w:val="00AA19FD"/>
    <w:rsid w:val="00AF19E8"/>
    <w:rsid w:val="00AF2FD5"/>
    <w:rsid w:val="00AF37FE"/>
    <w:rsid w:val="00B059E8"/>
    <w:rsid w:val="00B14131"/>
    <w:rsid w:val="00B54244"/>
    <w:rsid w:val="00B557EB"/>
    <w:rsid w:val="00B612E9"/>
    <w:rsid w:val="00B80BE0"/>
    <w:rsid w:val="00BD6DC8"/>
    <w:rsid w:val="00BF2874"/>
    <w:rsid w:val="00C04A69"/>
    <w:rsid w:val="00C13856"/>
    <w:rsid w:val="00C455C0"/>
    <w:rsid w:val="00CA1AA8"/>
    <w:rsid w:val="00CF16E2"/>
    <w:rsid w:val="00D02CF9"/>
    <w:rsid w:val="00D22901"/>
    <w:rsid w:val="00D356A7"/>
    <w:rsid w:val="00D669C6"/>
    <w:rsid w:val="00D9329F"/>
    <w:rsid w:val="00D95379"/>
    <w:rsid w:val="00DA07A6"/>
    <w:rsid w:val="00DB650F"/>
    <w:rsid w:val="00DC54B5"/>
    <w:rsid w:val="00DD30DD"/>
    <w:rsid w:val="00DF11DE"/>
    <w:rsid w:val="00E0388C"/>
    <w:rsid w:val="00E07C3D"/>
    <w:rsid w:val="00E25458"/>
    <w:rsid w:val="00E33C52"/>
    <w:rsid w:val="00E465E6"/>
    <w:rsid w:val="00E65E92"/>
    <w:rsid w:val="00E91A74"/>
    <w:rsid w:val="00EB2BEA"/>
    <w:rsid w:val="00EC0DCC"/>
    <w:rsid w:val="00EE4134"/>
    <w:rsid w:val="00F047B3"/>
    <w:rsid w:val="00F05185"/>
    <w:rsid w:val="00F24AA8"/>
    <w:rsid w:val="00F734C2"/>
    <w:rsid w:val="00F75D9C"/>
    <w:rsid w:val="00F8713C"/>
    <w:rsid w:val="00FA3FB4"/>
    <w:rsid w:val="00FB53C6"/>
    <w:rsid w:val="00FD4970"/>
    <w:rsid w:val="00FF3DB3"/>
    <w:rsid w:val="00FF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8F2C5"/>
  <w15:docId w15:val="{9D28735C-0A6F-4758-BB73-A7941A741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121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E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24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65F"/>
  </w:style>
  <w:style w:type="paragraph" w:styleId="Footer">
    <w:name w:val="footer"/>
    <w:basedOn w:val="Normal"/>
    <w:link w:val="FooterChar"/>
    <w:uiPriority w:val="99"/>
    <w:unhideWhenUsed/>
    <w:rsid w:val="00124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65F"/>
  </w:style>
  <w:style w:type="character" w:customStyle="1" w:styleId="Heading2Char">
    <w:name w:val="Heading 2 Char"/>
    <w:basedOn w:val="DefaultParagraphFont"/>
    <w:link w:val="Heading2"/>
    <w:uiPriority w:val="9"/>
    <w:rsid w:val="0065121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65121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881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???????"/>
    <w:rsid w:val="00723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4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1239</TotalTime>
  <Pages>1</Pages>
  <Words>1816</Words>
  <Characters>10356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Bashir</dc:creator>
  <cp:keywords/>
  <dc:description/>
  <cp:lastModifiedBy>Tsitsino Kobakhidze</cp:lastModifiedBy>
  <cp:revision>39</cp:revision>
  <cp:lastPrinted>2026-01-14T09:45:00Z</cp:lastPrinted>
  <dcterms:created xsi:type="dcterms:W3CDTF">2020-04-02T09:30:00Z</dcterms:created>
  <dcterms:modified xsi:type="dcterms:W3CDTF">2026-03-12T11:23:00Z</dcterms:modified>
</cp:coreProperties>
</file>