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512E1" w14:textId="121CDB63" w:rsidR="003437B4" w:rsidRPr="003437B4" w:rsidRDefault="003437B4" w:rsidP="006A7624">
      <w:pPr>
        <w:jc w:val="center"/>
        <w:rPr>
          <w:rFonts w:ascii="Sylfaen" w:hAnsi="Sylfaen"/>
          <w:b/>
          <w:sz w:val="24"/>
          <w:szCs w:val="24"/>
          <w:lang w:val="ka-GE"/>
        </w:rPr>
      </w:pPr>
      <w:r w:rsidRPr="003437B4">
        <w:rPr>
          <w:rFonts w:ascii="Sylfaen" w:hAnsi="Sylfaen"/>
          <w:b/>
          <w:sz w:val="24"/>
          <w:szCs w:val="24"/>
          <w:lang w:val="ka-GE"/>
        </w:rPr>
        <w:t>სამკურნალო საშუალების სამედიცინო გამოყენების</w:t>
      </w:r>
    </w:p>
    <w:p w14:paraId="1FD22A57" w14:textId="77777777" w:rsidR="003437B4" w:rsidRPr="003437B4" w:rsidRDefault="003437B4" w:rsidP="006A7624">
      <w:pPr>
        <w:jc w:val="center"/>
        <w:rPr>
          <w:rFonts w:ascii="Sylfaen" w:hAnsi="Sylfaen"/>
          <w:b/>
          <w:sz w:val="24"/>
          <w:szCs w:val="24"/>
          <w:lang w:val="en-US"/>
        </w:rPr>
      </w:pPr>
      <w:r w:rsidRPr="003437B4">
        <w:rPr>
          <w:rFonts w:ascii="Sylfaen" w:hAnsi="Sylfaen"/>
          <w:b/>
          <w:sz w:val="24"/>
          <w:szCs w:val="24"/>
          <w:lang w:val="ka-GE"/>
        </w:rPr>
        <w:t>ინსტრუქცია</w:t>
      </w:r>
    </w:p>
    <w:p w14:paraId="5CAF14F5" w14:textId="77777777" w:rsidR="003437B4" w:rsidRPr="003437B4" w:rsidRDefault="003437B4" w:rsidP="003437B4">
      <w:pPr>
        <w:jc w:val="both"/>
        <w:rPr>
          <w:rFonts w:ascii="Sylfaen" w:hAnsi="Sylfaen"/>
          <w:b/>
          <w:sz w:val="24"/>
          <w:szCs w:val="24"/>
          <w:lang w:val="en-US"/>
        </w:rPr>
      </w:pPr>
      <w:r w:rsidRPr="003437B4">
        <w:rPr>
          <w:rFonts w:ascii="Sylfaen" w:hAnsi="Sylfaen"/>
          <w:b/>
          <w:sz w:val="24"/>
          <w:szCs w:val="24"/>
          <w:lang w:val="ka-GE"/>
        </w:rPr>
        <w:t xml:space="preserve">პრეპარატის სავაჭრო დასახელება: </w:t>
      </w:r>
      <w:proofErr w:type="spellStart"/>
      <w:r w:rsidRPr="003437B4">
        <w:rPr>
          <w:rFonts w:ascii="Sylfaen" w:hAnsi="Sylfaen"/>
          <w:b/>
          <w:sz w:val="24"/>
          <w:szCs w:val="24"/>
          <w:lang w:val="ka-GE"/>
        </w:rPr>
        <w:t>კავინტონი</w:t>
      </w:r>
      <w:proofErr w:type="spellEnd"/>
      <w:r w:rsidRPr="003437B4">
        <w:rPr>
          <w:rFonts w:ascii="Sylfaen" w:hAnsi="Sylfaen" w:cs="Times New Roman"/>
          <w:b/>
          <w:sz w:val="24"/>
          <w:szCs w:val="24"/>
          <w:vertAlign w:val="superscript"/>
          <w:lang w:val="ka-GE"/>
        </w:rPr>
        <w:t>®</w:t>
      </w:r>
      <w:r w:rsidRPr="003437B4">
        <w:rPr>
          <w:rFonts w:ascii="Sylfaen" w:hAnsi="Sylfaen"/>
          <w:b/>
          <w:sz w:val="24"/>
          <w:szCs w:val="24"/>
          <w:vertAlign w:val="superscript"/>
          <w:lang w:val="ka-GE"/>
        </w:rPr>
        <w:t xml:space="preserve"> </w:t>
      </w:r>
      <w:r w:rsidRPr="003437B4">
        <w:rPr>
          <w:rFonts w:ascii="Sylfaen" w:hAnsi="Sylfaen"/>
          <w:b/>
          <w:sz w:val="24"/>
          <w:szCs w:val="24"/>
          <w:lang w:val="ka-GE"/>
        </w:rPr>
        <w:t xml:space="preserve">, </w:t>
      </w:r>
      <w:proofErr w:type="spellStart"/>
      <w:r w:rsidRPr="003437B4">
        <w:rPr>
          <w:rFonts w:ascii="Sylfaen" w:hAnsi="Sylfaen"/>
          <w:b/>
          <w:sz w:val="24"/>
          <w:szCs w:val="24"/>
          <w:lang w:val="ka-GE"/>
        </w:rPr>
        <w:t>კავინტონი</w:t>
      </w:r>
      <w:proofErr w:type="spellEnd"/>
      <w:r w:rsidRPr="003437B4">
        <w:rPr>
          <w:rFonts w:ascii="Sylfaen" w:hAnsi="Sylfaen" w:cs="Times New Roman"/>
          <w:b/>
          <w:sz w:val="24"/>
          <w:szCs w:val="24"/>
          <w:vertAlign w:val="superscript"/>
          <w:lang w:val="ka-GE"/>
        </w:rPr>
        <w:t>®</w:t>
      </w:r>
      <w:r w:rsidRPr="003437B4">
        <w:rPr>
          <w:rFonts w:ascii="Sylfaen" w:hAnsi="Sylfaen"/>
          <w:b/>
          <w:sz w:val="24"/>
          <w:szCs w:val="24"/>
          <w:vertAlign w:val="superscript"/>
          <w:lang w:val="ka-GE"/>
        </w:rPr>
        <w:t xml:space="preserve"> </w:t>
      </w:r>
      <w:r w:rsidRPr="003437B4">
        <w:rPr>
          <w:rFonts w:ascii="Sylfaen" w:hAnsi="Sylfaen"/>
          <w:b/>
          <w:sz w:val="24"/>
          <w:szCs w:val="24"/>
          <w:lang w:val="ka-GE"/>
        </w:rPr>
        <w:t>ფორტე (</w:t>
      </w:r>
      <w:proofErr w:type="spellStart"/>
      <w:r w:rsidRPr="003437B4">
        <w:rPr>
          <w:rFonts w:ascii="Sylfaen" w:hAnsi="Sylfaen"/>
          <w:b/>
          <w:sz w:val="24"/>
          <w:szCs w:val="24"/>
          <w:lang w:val="en-US"/>
        </w:rPr>
        <w:t>Cavinton</w:t>
      </w:r>
      <w:proofErr w:type="spellEnd"/>
      <w:r w:rsidRPr="003437B4">
        <w:rPr>
          <w:rFonts w:ascii="Sylfaen" w:hAnsi="Sylfaen" w:cs="Times New Roman"/>
          <w:b/>
          <w:sz w:val="24"/>
          <w:szCs w:val="24"/>
          <w:vertAlign w:val="superscript"/>
          <w:lang w:val="ka-GE"/>
        </w:rPr>
        <w:t>®</w:t>
      </w:r>
      <w:r w:rsidRPr="003437B4">
        <w:rPr>
          <w:rFonts w:ascii="Sylfaen" w:hAnsi="Sylfaen"/>
          <w:b/>
          <w:sz w:val="24"/>
          <w:szCs w:val="24"/>
          <w:lang w:val="en-US"/>
        </w:rPr>
        <w:t xml:space="preserve">, </w:t>
      </w:r>
      <w:proofErr w:type="spellStart"/>
      <w:r w:rsidRPr="003437B4">
        <w:rPr>
          <w:rFonts w:ascii="Sylfaen" w:hAnsi="Sylfaen"/>
          <w:b/>
          <w:sz w:val="24"/>
          <w:szCs w:val="24"/>
          <w:lang w:val="en-US"/>
        </w:rPr>
        <w:t>Cavinton</w:t>
      </w:r>
      <w:proofErr w:type="spellEnd"/>
      <w:r w:rsidRPr="003437B4">
        <w:rPr>
          <w:rFonts w:ascii="Sylfaen" w:hAnsi="Sylfaen" w:cs="Times New Roman"/>
          <w:b/>
          <w:sz w:val="24"/>
          <w:szCs w:val="24"/>
          <w:vertAlign w:val="superscript"/>
          <w:lang w:val="ka-GE"/>
        </w:rPr>
        <w:t>®</w:t>
      </w:r>
      <w:r w:rsidRPr="003437B4">
        <w:rPr>
          <w:rFonts w:ascii="Sylfaen" w:hAnsi="Sylfaen"/>
          <w:b/>
          <w:sz w:val="24"/>
          <w:szCs w:val="24"/>
          <w:lang w:val="en-US"/>
        </w:rPr>
        <w:t xml:space="preserve"> Forte) </w:t>
      </w:r>
    </w:p>
    <w:p w14:paraId="43C3F48A" w14:textId="77777777" w:rsidR="003437B4" w:rsidRPr="006A7624" w:rsidRDefault="003437B4" w:rsidP="003437B4">
      <w:pPr>
        <w:jc w:val="both"/>
        <w:rPr>
          <w:rFonts w:ascii="Sylfaen" w:hAnsi="Sylfaen"/>
          <w:bCs/>
          <w:sz w:val="24"/>
          <w:szCs w:val="24"/>
          <w:lang w:val="en-US"/>
        </w:rPr>
      </w:pPr>
      <w:r w:rsidRPr="003437B4">
        <w:rPr>
          <w:rFonts w:ascii="Sylfaen" w:hAnsi="Sylfaen"/>
          <w:b/>
          <w:sz w:val="24"/>
          <w:szCs w:val="24"/>
          <w:lang w:val="ka-GE"/>
        </w:rPr>
        <w:t xml:space="preserve">საერთაშორისო არადაპატენტებული დასახელება (სად): </w:t>
      </w:r>
      <w:r w:rsidRPr="006A7624">
        <w:rPr>
          <w:rFonts w:ascii="Sylfaen" w:hAnsi="Sylfaen"/>
          <w:bCs/>
          <w:sz w:val="24"/>
          <w:szCs w:val="24"/>
          <w:lang w:val="ka-GE"/>
        </w:rPr>
        <w:t>ვინპოცეტინი (</w:t>
      </w:r>
      <w:r w:rsidRPr="006A7624">
        <w:rPr>
          <w:rFonts w:ascii="Sylfaen" w:hAnsi="Sylfaen"/>
          <w:bCs/>
          <w:sz w:val="24"/>
          <w:szCs w:val="24"/>
          <w:lang w:val="en-US"/>
        </w:rPr>
        <w:t>vinpocetine)</w:t>
      </w:r>
    </w:p>
    <w:p w14:paraId="4F891D6F" w14:textId="77777777" w:rsidR="003437B4" w:rsidRPr="003437B4" w:rsidRDefault="003437B4" w:rsidP="003437B4">
      <w:pPr>
        <w:jc w:val="both"/>
        <w:rPr>
          <w:rFonts w:ascii="Sylfaen" w:hAnsi="Sylfaen"/>
          <w:b/>
          <w:sz w:val="24"/>
          <w:szCs w:val="24"/>
          <w:lang w:val="ka-GE"/>
        </w:rPr>
      </w:pPr>
      <w:r w:rsidRPr="003437B4">
        <w:rPr>
          <w:rFonts w:ascii="Sylfaen" w:hAnsi="Sylfaen"/>
          <w:b/>
          <w:sz w:val="24"/>
          <w:szCs w:val="24"/>
          <w:lang w:val="ka-GE"/>
        </w:rPr>
        <w:t xml:space="preserve">გამოშვების ფორმა: </w:t>
      </w:r>
      <w:r w:rsidRPr="003437B4">
        <w:rPr>
          <w:rFonts w:ascii="Sylfaen" w:hAnsi="Sylfaen"/>
          <w:bCs/>
          <w:sz w:val="24"/>
          <w:szCs w:val="24"/>
          <w:lang w:val="ka-GE"/>
        </w:rPr>
        <w:t>ტაბლეტები</w:t>
      </w:r>
    </w:p>
    <w:p w14:paraId="5A3B1A38" w14:textId="77777777" w:rsidR="003437B4" w:rsidRPr="003437B4" w:rsidRDefault="003437B4" w:rsidP="003437B4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3437B4">
        <w:rPr>
          <w:rFonts w:ascii="Sylfaen" w:hAnsi="Sylfaen"/>
          <w:b/>
          <w:sz w:val="24"/>
          <w:szCs w:val="24"/>
          <w:lang w:val="ka-GE"/>
        </w:rPr>
        <w:t xml:space="preserve">შემადგენლობა </w:t>
      </w:r>
    </w:p>
    <w:p w14:paraId="2869A997" w14:textId="77777777" w:rsidR="003437B4" w:rsidRPr="003437B4" w:rsidRDefault="003437B4" w:rsidP="003437B4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თითოეული ტაბლეტი </w:t>
      </w:r>
      <w:r w:rsidRPr="003437B4">
        <w:rPr>
          <w:rFonts w:ascii="Sylfaen" w:hAnsi="Sylfaen" w:cs="Sylfaen"/>
          <w:sz w:val="24"/>
          <w:szCs w:val="24"/>
          <w:lang w:val="ka-GE"/>
        </w:rPr>
        <w:t>შეიცავს:</w:t>
      </w:r>
    </w:p>
    <w:p w14:paraId="789BD820" w14:textId="77777777" w:rsidR="003437B4" w:rsidRPr="003437B4" w:rsidRDefault="003437B4" w:rsidP="003437B4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3437B4">
        <w:rPr>
          <w:rFonts w:ascii="Sylfaen" w:hAnsi="Sylfaen"/>
          <w:b/>
          <w:bCs/>
          <w:iCs/>
          <w:sz w:val="24"/>
          <w:szCs w:val="24"/>
          <w:lang w:val="ka-GE"/>
        </w:rPr>
        <w:t>კავინტონი®</w:t>
      </w:r>
      <w:r w:rsidRPr="003437B4">
        <w:rPr>
          <w:rFonts w:ascii="Sylfaen" w:hAnsi="Sylfaen"/>
          <w:i/>
          <w:sz w:val="24"/>
          <w:szCs w:val="24"/>
          <w:lang w:val="ka-GE"/>
        </w:rPr>
        <w:t xml:space="preserve">  </w:t>
      </w:r>
    </w:p>
    <w:p w14:paraId="0DBF2E67" w14:textId="77777777" w:rsidR="003437B4" w:rsidRPr="003437B4" w:rsidRDefault="003437B4" w:rsidP="003437B4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i/>
          <w:iCs/>
          <w:sz w:val="24"/>
          <w:szCs w:val="24"/>
          <w:lang w:val="ka-GE"/>
        </w:rPr>
        <w:t>მოქმედი ნივთიერება:</w:t>
      </w:r>
      <w:r w:rsidRPr="003437B4">
        <w:rPr>
          <w:rFonts w:ascii="Sylfaen" w:hAnsi="Sylfaen"/>
          <w:sz w:val="24"/>
          <w:szCs w:val="24"/>
          <w:lang w:val="ka-GE"/>
        </w:rPr>
        <w:t xml:space="preserve">  </w:t>
      </w:r>
      <w:r w:rsidRPr="003437B4">
        <w:rPr>
          <w:rFonts w:ascii="Sylfaen" w:hAnsi="Sylfaen" w:cs="Sylfaen"/>
          <w:sz w:val="24"/>
          <w:szCs w:val="24"/>
          <w:lang w:val="ka-GE"/>
        </w:rPr>
        <w:t xml:space="preserve">ვინპოცეტინი </w:t>
      </w:r>
      <w:r w:rsidRPr="003437B4">
        <w:rPr>
          <w:rFonts w:ascii="Sylfaen" w:hAnsi="Sylfaen"/>
          <w:sz w:val="24"/>
          <w:szCs w:val="24"/>
          <w:lang w:val="ka-GE"/>
        </w:rPr>
        <w:t xml:space="preserve">5,0 </w:t>
      </w:r>
      <w:r w:rsidRPr="003437B4">
        <w:rPr>
          <w:rFonts w:ascii="Sylfaen" w:hAnsi="Sylfaen" w:cs="Sylfaen"/>
          <w:sz w:val="24"/>
          <w:szCs w:val="24"/>
          <w:lang w:val="ka-GE"/>
        </w:rPr>
        <w:t>მგ</w:t>
      </w:r>
    </w:p>
    <w:p w14:paraId="7A63D2BF" w14:textId="77777777" w:rsidR="003437B4" w:rsidRPr="003437B4" w:rsidRDefault="003437B4" w:rsidP="003437B4">
      <w:pPr>
        <w:spacing w:after="0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437B4">
        <w:rPr>
          <w:rFonts w:ascii="Sylfaen" w:hAnsi="Sylfaen" w:cs="Sylfaen"/>
          <w:i/>
          <w:iCs/>
          <w:sz w:val="24"/>
          <w:szCs w:val="24"/>
          <w:lang w:val="ka-GE"/>
        </w:rPr>
        <w:t>დამხმარე</w:t>
      </w:r>
      <w:r w:rsidRPr="003437B4"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r w:rsidRPr="003437B4">
        <w:rPr>
          <w:rFonts w:ascii="Sylfaen" w:hAnsi="Sylfaen" w:cs="Sylfaen"/>
          <w:i/>
          <w:iCs/>
          <w:sz w:val="24"/>
          <w:szCs w:val="24"/>
          <w:lang w:val="ka-GE"/>
        </w:rPr>
        <w:t xml:space="preserve">ნივთიერებები </w:t>
      </w:r>
    </w:p>
    <w:p w14:paraId="0DC7B6FA" w14:textId="50B652D3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სილიციუმის დიოქსიდი </w:t>
      </w:r>
      <w:r w:rsidR="006A7624" w:rsidRPr="003437B4">
        <w:rPr>
          <w:rFonts w:ascii="Sylfaen" w:hAnsi="Sylfaen"/>
          <w:sz w:val="24"/>
          <w:szCs w:val="24"/>
          <w:lang w:val="ka-GE"/>
        </w:rPr>
        <w:t xml:space="preserve">კოლოიდური </w:t>
      </w:r>
      <w:r w:rsidRPr="003437B4">
        <w:rPr>
          <w:rFonts w:ascii="Sylfaen" w:hAnsi="Sylfaen"/>
          <w:sz w:val="24"/>
          <w:szCs w:val="24"/>
          <w:lang w:val="ka-GE"/>
        </w:rPr>
        <w:t>უწყლო, მაგნიუმის სტეარატი, ტალკი, სიმინდის სახამებელი, ლაქტოზის მონოჰიდრატი.</w:t>
      </w:r>
    </w:p>
    <w:p w14:paraId="41C350D7" w14:textId="7D944C27" w:rsidR="003437B4" w:rsidRPr="006A7624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A7624">
        <w:rPr>
          <w:rFonts w:ascii="Sylfaen" w:hAnsi="Sylfaen"/>
          <w:b/>
          <w:bCs/>
          <w:sz w:val="24"/>
          <w:szCs w:val="24"/>
          <w:lang w:val="ka-GE"/>
        </w:rPr>
        <w:t>კავინტონ</w:t>
      </w:r>
      <w:r w:rsidR="006A7624">
        <w:rPr>
          <w:rFonts w:ascii="Sylfaen" w:hAnsi="Sylfaen"/>
          <w:b/>
          <w:bCs/>
          <w:sz w:val="24"/>
          <w:szCs w:val="24"/>
          <w:lang w:val="ka-GE"/>
        </w:rPr>
        <w:t>ი</w:t>
      </w:r>
      <w:r w:rsidRPr="006A7624">
        <w:rPr>
          <w:rFonts w:ascii="Sylfaen" w:hAnsi="Sylfaen"/>
          <w:b/>
          <w:bCs/>
          <w:sz w:val="24"/>
          <w:szCs w:val="24"/>
          <w:lang w:val="ka-GE"/>
        </w:rPr>
        <w:t>® ფორტე</w:t>
      </w:r>
    </w:p>
    <w:p w14:paraId="7D010E89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აქტიური ინგრედიენტი: ვინპოცეტინი 10.0 მგ;</w:t>
      </w:r>
    </w:p>
    <w:p w14:paraId="623ABB0A" w14:textId="76FF0AE5" w:rsidR="00767951" w:rsidRPr="003437B4" w:rsidRDefault="006A762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6A7624">
        <w:rPr>
          <w:rFonts w:ascii="Sylfaen" w:hAnsi="Sylfaen"/>
          <w:i/>
          <w:iCs/>
          <w:sz w:val="24"/>
          <w:szCs w:val="24"/>
          <w:lang w:val="ka-GE"/>
        </w:rPr>
        <w:t>მოქმედი ნივთიერება:</w:t>
      </w:r>
      <w:r w:rsidR="003437B4" w:rsidRPr="003437B4">
        <w:rPr>
          <w:rFonts w:ascii="Sylfaen" w:hAnsi="Sylfaen"/>
          <w:sz w:val="24"/>
          <w:szCs w:val="24"/>
          <w:lang w:val="ka-GE"/>
        </w:rPr>
        <w:t xml:space="preserve"> სილიციუმის დიოქსიდი </w:t>
      </w:r>
      <w:r w:rsidRPr="003437B4">
        <w:rPr>
          <w:rFonts w:ascii="Sylfaen" w:hAnsi="Sylfaen"/>
          <w:sz w:val="24"/>
          <w:szCs w:val="24"/>
          <w:lang w:val="ka-GE"/>
        </w:rPr>
        <w:t xml:space="preserve">კოლოიდური </w:t>
      </w:r>
      <w:r w:rsidR="003437B4" w:rsidRPr="003437B4">
        <w:rPr>
          <w:rFonts w:ascii="Sylfaen" w:hAnsi="Sylfaen"/>
          <w:sz w:val="24"/>
          <w:szCs w:val="24"/>
          <w:lang w:val="ka-GE"/>
        </w:rPr>
        <w:t>უწყლო, მაგნიუმის სტეარატი, ტალკი, სიმინდის სახამებელი, ლაქტოზის მონოჰიდრატი.</w:t>
      </w:r>
    </w:p>
    <w:p w14:paraId="4994A04D" w14:textId="77777777" w:rsidR="003437B4" w:rsidRPr="006A7624" w:rsidRDefault="003437B4" w:rsidP="006A7624">
      <w:pPr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A7624">
        <w:rPr>
          <w:rFonts w:ascii="Sylfaen" w:hAnsi="Sylfaen"/>
          <w:b/>
          <w:bCs/>
          <w:sz w:val="24"/>
          <w:szCs w:val="24"/>
          <w:lang w:val="ka-GE"/>
        </w:rPr>
        <w:t>აღწერა</w:t>
      </w:r>
    </w:p>
    <w:p w14:paraId="65D687B5" w14:textId="77777777" w:rsidR="003437B4" w:rsidRPr="006A7624" w:rsidRDefault="003437B4" w:rsidP="006A7624">
      <w:pPr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A7624">
        <w:rPr>
          <w:rFonts w:ascii="Sylfaen" w:hAnsi="Sylfaen"/>
          <w:b/>
          <w:bCs/>
          <w:sz w:val="24"/>
          <w:szCs w:val="24"/>
          <w:lang w:val="ka-GE"/>
        </w:rPr>
        <w:t>კავინტონი®</w:t>
      </w:r>
    </w:p>
    <w:p w14:paraId="72210D82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თეთრი ან მოთეთრო, ბრტყელი, მრგვალი ტაბლეტები დახრილი კიდით, დაახლოებით 9 მმ დიამეტრის, უსუნო, ერთ მხარეს ამოტვიფრული წარწერით "CAVINTON".</w:t>
      </w:r>
    </w:p>
    <w:p w14:paraId="79101D7F" w14:textId="4E18BC46" w:rsidR="003437B4" w:rsidRPr="006A7624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A7624">
        <w:rPr>
          <w:rFonts w:ascii="Sylfaen" w:hAnsi="Sylfaen"/>
          <w:b/>
          <w:bCs/>
          <w:sz w:val="24"/>
          <w:szCs w:val="24"/>
          <w:lang w:val="ka-GE"/>
        </w:rPr>
        <w:t>კავინტონი® ფორტე</w:t>
      </w:r>
    </w:p>
    <w:p w14:paraId="1F8AF131" w14:textId="7A48994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თეთრი ან მოთეთრო, ბრტყელი, მრგვალი ტაბლეტები დახრილი კიდით, დაახლოებით 8 მმ დიამეტრის, ერთ მხარეს ამოტვიფრული წარწერით "10 მგ" და მეორე მხარეს გამყოფი ხაზით. ტაბლეტის გაყოფა შესაძლებელია ორ თანაბარ ნაწილად.</w:t>
      </w:r>
    </w:p>
    <w:p w14:paraId="66405B9D" w14:textId="77777777" w:rsidR="006A762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6A7624">
        <w:rPr>
          <w:rFonts w:ascii="Sylfaen" w:hAnsi="Sylfaen"/>
          <w:b/>
          <w:bCs/>
          <w:sz w:val="24"/>
          <w:szCs w:val="24"/>
          <w:lang w:val="ka-GE"/>
        </w:rPr>
        <w:t>ფარმაკოთერაპიული ჯგუფი:</w:t>
      </w:r>
      <w:r w:rsidRPr="003437B4">
        <w:rPr>
          <w:rFonts w:ascii="Sylfaen" w:hAnsi="Sylfaen"/>
          <w:sz w:val="24"/>
          <w:szCs w:val="24"/>
          <w:lang w:val="ka-GE"/>
        </w:rPr>
        <w:t xml:space="preserve"> ფსიქოანალეპტიკები. სხვა ფსიქოსტიმულატორები და ნოოტრო</w:t>
      </w:r>
      <w:r w:rsidR="006A7624">
        <w:rPr>
          <w:rFonts w:ascii="Sylfaen" w:hAnsi="Sylfaen"/>
          <w:sz w:val="24"/>
          <w:szCs w:val="24"/>
          <w:lang w:val="ka-GE"/>
        </w:rPr>
        <w:t>პულ</w:t>
      </w:r>
      <w:r w:rsidRPr="003437B4">
        <w:rPr>
          <w:rFonts w:ascii="Sylfaen" w:hAnsi="Sylfaen"/>
          <w:sz w:val="24"/>
          <w:szCs w:val="24"/>
          <w:lang w:val="ka-GE"/>
        </w:rPr>
        <w:t>ი</w:t>
      </w:r>
      <w:r w:rsidR="006A7624">
        <w:rPr>
          <w:rFonts w:ascii="Sylfaen" w:hAnsi="Sylfaen"/>
          <w:sz w:val="24"/>
          <w:szCs w:val="24"/>
          <w:lang w:val="ka-GE"/>
        </w:rPr>
        <w:t xml:space="preserve"> პრეპარატები</w:t>
      </w:r>
      <w:r w:rsidRPr="003437B4">
        <w:rPr>
          <w:rFonts w:ascii="Sylfaen" w:hAnsi="Sylfaen"/>
          <w:sz w:val="24"/>
          <w:szCs w:val="24"/>
          <w:lang w:val="ka-GE"/>
        </w:rPr>
        <w:t>. ვინპოცეტინი.</w:t>
      </w:r>
    </w:p>
    <w:p w14:paraId="34BC3AE8" w14:textId="4A778544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ათქ კოდი: N06BX18</w:t>
      </w:r>
    </w:p>
    <w:p w14:paraId="342CB6F1" w14:textId="77777777" w:rsidR="003437B4" w:rsidRPr="006A7624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A7624">
        <w:rPr>
          <w:rFonts w:ascii="Sylfaen" w:hAnsi="Sylfaen"/>
          <w:b/>
          <w:bCs/>
          <w:sz w:val="24"/>
          <w:szCs w:val="24"/>
          <w:lang w:val="ka-GE"/>
        </w:rPr>
        <w:t>ფარმაკოლოგიური თვისებები</w:t>
      </w:r>
    </w:p>
    <w:p w14:paraId="3272FB2B" w14:textId="77777777" w:rsidR="003437B4" w:rsidRPr="006A7624" w:rsidRDefault="003437B4" w:rsidP="003437B4">
      <w:pPr>
        <w:jc w:val="both"/>
        <w:rPr>
          <w:rFonts w:ascii="Sylfaen" w:hAnsi="Sylfaen"/>
          <w:b/>
          <w:bCs/>
          <w:i/>
          <w:iCs/>
          <w:sz w:val="24"/>
          <w:szCs w:val="24"/>
          <w:lang w:val="ka-GE"/>
        </w:rPr>
      </w:pPr>
      <w:r w:rsidRPr="006A7624">
        <w:rPr>
          <w:rFonts w:ascii="Sylfaen" w:hAnsi="Sylfaen"/>
          <w:b/>
          <w:bCs/>
          <w:i/>
          <w:iCs/>
          <w:sz w:val="24"/>
          <w:szCs w:val="24"/>
          <w:lang w:val="ka-GE"/>
        </w:rPr>
        <w:lastRenderedPageBreak/>
        <w:t>ფარმაკოდინამიკა</w:t>
      </w:r>
    </w:p>
    <w:p w14:paraId="001A5C45" w14:textId="320220E8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ვინპოცეტინი არის ნაერთი მოქმედების რთული მექანიზმით. </w:t>
      </w:r>
      <w:r w:rsidR="006A7624">
        <w:rPr>
          <w:rFonts w:ascii="Sylfaen" w:hAnsi="Sylfaen"/>
          <w:sz w:val="24"/>
          <w:szCs w:val="24"/>
          <w:lang w:val="ka-GE"/>
        </w:rPr>
        <w:t>ის ხელსაყრელ გავლენას ახდენს</w:t>
      </w:r>
      <w:r w:rsidRPr="003437B4">
        <w:rPr>
          <w:rFonts w:ascii="Sylfaen" w:hAnsi="Sylfaen"/>
          <w:sz w:val="24"/>
          <w:szCs w:val="24"/>
          <w:lang w:val="ka-GE"/>
        </w:rPr>
        <w:t xml:space="preserve"> ტვინის მეტაბოლიზმსა და ცერებრულ სისხლის მიმოქცევაზე, ასევე სისხლის რეოლოგი</w:t>
      </w:r>
      <w:r w:rsidR="006A7624">
        <w:rPr>
          <w:rFonts w:ascii="Sylfaen" w:hAnsi="Sylfaen"/>
          <w:sz w:val="24"/>
          <w:szCs w:val="24"/>
          <w:lang w:val="ka-GE"/>
        </w:rPr>
        <w:t xml:space="preserve">ურ თვისებებზე. </w:t>
      </w:r>
    </w:p>
    <w:p w14:paraId="0E5266A9" w14:textId="0B0CFA08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6A7624">
        <w:rPr>
          <w:rFonts w:ascii="Sylfaen" w:hAnsi="Sylfaen"/>
          <w:i/>
          <w:iCs/>
          <w:sz w:val="24"/>
          <w:szCs w:val="24"/>
          <w:lang w:val="ka-GE"/>
        </w:rPr>
        <w:t>ვინპოცეტინს აქვს ნეიროპროტექტორული ეფექტი:</w:t>
      </w:r>
      <w:r w:rsidRPr="003437B4">
        <w:rPr>
          <w:rFonts w:ascii="Sylfaen" w:hAnsi="Sylfaen"/>
          <w:sz w:val="24"/>
          <w:szCs w:val="24"/>
          <w:lang w:val="ka-GE"/>
        </w:rPr>
        <w:t xml:space="preserve"> ის ამცირებს აღმგზნები ამინომჟავებით გამოწვეული ციტოტოქსიკური რეაქციების მავნე ეფექტებს.  ბლოკავს </w:t>
      </w:r>
      <w:r w:rsidR="006A7624">
        <w:rPr>
          <w:rFonts w:ascii="Sylfaen" w:hAnsi="Sylfaen"/>
          <w:sz w:val="24"/>
          <w:szCs w:val="24"/>
          <w:lang w:val="ka-GE"/>
        </w:rPr>
        <w:t>პოტენციალ</w:t>
      </w:r>
      <w:r w:rsidRPr="003437B4">
        <w:rPr>
          <w:rFonts w:ascii="Sylfaen" w:hAnsi="Sylfaen"/>
          <w:sz w:val="24"/>
          <w:szCs w:val="24"/>
          <w:lang w:val="ka-GE"/>
        </w:rPr>
        <w:t>დამოკიდებულ Na+ და Ca2+ არხებს, ასევე NMDA და AMPA რეცეპტორებს.  აძლიერებს ადენოზინის ნეიროპროტექტორულ ეფექტს.</w:t>
      </w:r>
    </w:p>
    <w:p w14:paraId="09EBE889" w14:textId="6B56F809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6A7624">
        <w:rPr>
          <w:rFonts w:ascii="Sylfaen" w:hAnsi="Sylfaen"/>
          <w:i/>
          <w:iCs/>
          <w:sz w:val="24"/>
          <w:szCs w:val="24"/>
          <w:lang w:val="ka-GE"/>
        </w:rPr>
        <w:t>ვინპოცეტინი ასტიმულირებს ტვინის მეტაბოლიზმს:</w:t>
      </w:r>
      <w:r w:rsidRPr="003437B4">
        <w:rPr>
          <w:rFonts w:ascii="Sylfaen" w:hAnsi="Sylfaen"/>
          <w:sz w:val="24"/>
          <w:szCs w:val="24"/>
          <w:lang w:val="ka-GE"/>
        </w:rPr>
        <w:t xml:space="preserve"> ის ზრდის გლუკოზის და O</w:t>
      </w:r>
      <w:r w:rsidRPr="006A7624">
        <w:rPr>
          <w:rFonts w:ascii="Sylfaen" w:hAnsi="Sylfaen"/>
          <w:sz w:val="24"/>
          <w:szCs w:val="24"/>
          <w:vertAlign w:val="subscript"/>
          <w:lang w:val="ka-GE"/>
        </w:rPr>
        <w:t>2</w:t>
      </w:r>
      <w:r w:rsidRPr="003437B4">
        <w:rPr>
          <w:rFonts w:ascii="Sylfaen" w:hAnsi="Sylfaen"/>
          <w:sz w:val="24"/>
          <w:szCs w:val="24"/>
          <w:lang w:val="ka-GE"/>
        </w:rPr>
        <w:t xml:space="preserve">-ის შეწოვას და ასტიმულირებს მათ </w:t>
      </w:r>
      <w:r w:rsidR="006A7624">
        <w:rPr>
          <w:rFonts w:ascii="Sylfaen" w:hAnsi="Sylfaen"/>
          <w:sz w:val="24"/>
          <w:szCs w:val="24"/>
          <w:lang w:val="ka-GE"/>
        </w:rPr>
        <w:t>შეთვისებას</w:t>
      </w:r>
      <w:r w:rsidRPr="003437B4">
        <w:rPr>
          <w:rFonts w:ascii="Sylfaen" w:hAnsi="Sylfaen"/>
          <w:sz w:val="24"/>
          <w:szCs w:val="24"/>
          <w:lang w:val="ka-GE"/>
        </w:rPr>
        <w:t xml:space="preserve"> ტვინის ქსოვილის მიერ. ზრდის ტვინის ტოლერანტობას ჰიპოქსიის მიმართ; ზრდის გლუკოზის ტრანსპორტირებას</w:t>
      </w:r>
      <w:r w:rsidR="006A7624">
        <w:rPr>
          <w:rFonts w:ascii="Sylfaen" w:hAnsi="Sylfaen"/>
          <w:sz w:val="24"/>
          <w:szCs w:val="24"/>
          <w:lang w:val="ka-GE"/>
        </w:rPr>
        <w:t xml:space="preserve"> - </w:t>
      </w:r>
      <w:r w:rsidRPr="003437B4">
        <w:rPr>
          <w:rFonts w:ascii="Sylfaen" w:hAnsi="Sylfaen"/>
          <w:sz w:val="24"/>
          <w:szCs w:val="24"/>
          <w:lang w:val="ka-GE"/>
        </w:rPr>
        <w:t>ტვინის ქსოვილის ერთადერთ ენერგიის წყარო</w:t>
      </w:r>
      <w:r w:rsidR="006A7624">
        <w:rPr>
          <w:rFonts w:ascii="Sylfaen" w:hAnsi="Sylfaen"/>
          <w:sz w:val="24"/>
          <w:szCs w:val="24"/>
          <w:lang w:val="ka-GE"/>
        </w:rPr>
        <w:t>ს -</w:t>
      </w:r>
      <w:r w:rsidRPr="003437B4">
        <w:rPr>
          <w:rFonts w:ascii="Sylfaen" w:hAnsi="Sylfaen"/>
          <w:sz w:val="24"/>
          <w:szCs w:val="24"/>
          <w:lang w:val="ka-GE"/>
        </w:rPr>
        <w:t xml:space="preserve"> ჰემატოენცეფალურ ბარიერში. გადააქვს გლუკოზის მეტაბოლიზმი უფრო ენერგეტიკულად ხელსაყრელი აერობული გზისკენ; შერჩევით აინჰიბირებს Ca2+-კალმოდულინ-დამოკიდებულ cGMP ფოსფოდიესთერაზას (PDE); ზრდის </w:t>
      </w:r>
      <w:r w:rsidR="006A7624">
        <w:rPr>
          <w:rFonts w:ascii="Sylfaen" w:hAnsi="Sylfaen"/>
          <w:sz w:val="24"/>
          <w:szCs w:val="24"/>
          <w:lang w:val="ka-GE"/>
        </w:rPr>
        <w:t>ცამფ</w:t>
      </w:r>
      <w:r w:rsidRPr="003437B4">
        <w:rPr>
          <w:rFonts w:ascii="Sylfaen" w:hAnsi="Sylfaen"/>
          <w:sz w:val="24"/>
          <w:szCs w:val="24"/>
          <w:lang w:val="ka-GE"/>
        </w:rPr>
        <w:t xml:space="preserve">-ის და </w:t>
      </w:r>
      <w:r w:rsidR="006A7624">
        <w:rPr>
          <w:rFonts w:ascii="Sylfaen" w:hAnsi="Sylfaen"/>
          <w:sz w:val="24"/>
          <w:szCs w:val="24"/>
          <w:lang w:val="ka-GE"/>
        </w:rPr>
        <w:t>ცგმფ</w:t>
      </w:r>
      <w:r w:rsidRPr="003437B4">
        <w:rPr>
          <w:rFonts w:ascii="Sylfaen" w:hAnsi="Sylfaen"/>
          <w:sz w:val="24"/>
          <w:szCs w:val="24"/>
          <w:lang w:val="ka-GE"/>
        </w:rPr>
        <w:t xml:space="preserve">-ის დონეს ტვინში. ზრდის </w:t>
      </w:r>
      <w:r w:rsidR="006A7624">
        <w:rPr>
          <w:rFonts w:ascii="Sylfaen" w:hAnsi="Sylfaen"/>
          <w:sz w:val="24"/>
          <w:szCs w:val="24"/>
          <w:lang w:val="ka-GE"/>
        </w:rPr>
        <w:t>ატფ</w:t>
      </w:r>
      <w:r w:rsidRPr="003437B4">
        <w:rPr>
          <w:rFonts w:ascii="Sylfaen" w:hAnsi="Sylfaen"/>
          <w:sz w:val="24"/>
          <w:szCs w:val="24"/>
          <w:lang w:val="ka-GE"/>
        </w:rPr>
        <w:t xml:space="preserve">-ის კონცენტრაციას და </w:t>
      </w:r>
      <w:r w:rsidR="006A7624">
        <w:rPr>
          <w:rFonts w:ascii="Sylfaen" w:hAnsi="Sylfaen"/>
          <w:sz w:val="24"/>
          <w:szCs w:val="24"/>
          <w:lang w:val="ka-GE"/>
        </w:rPr>
        <w:t>ატფ/ამფ</w:t>
      </w:r>
      <w:r w:rsidRPr="003437B4">
        <w:rPr>
          <w:rFonts w:ascii="Sylfaen" w:hAnsi="Sylfaen"/>
          <w:sz w:val="24"/>
          <w:szCs w:val="24"/>
          <w:lang w:val="ka-GE"/>
        </w:rPr>
        <w:t>-ის თანაფარდობას ტვინში; აძლიერებს ნორ</w:t>
      </w:r>
      <w:r w:rsidR="006A7624">
        <w:rPr>
          <w:rFonts w:ascii="Sylfaen" w:hAnsi="Sylfaen"/>
          <w:sz w:val="24"/>
          <w:szCs w:val="24"/>
          <w:lang w:val="ka-GE"/>
        </w:rPr>
        <w:t>ადრენალინის</w:t>
      </w:r>
      <w:r w:rsidRPr="003437B4">
        <w:rPr>
          <w:rFonts w:ascii="Sylfaen" w:hAnsi="Sylfaen"/>
          <w:sz w:val="24"/>
          <w:szCs w:val="24"/>
          <w:lang w:val="ka-GE"/>
        </w:rPr>
        <w:t xml:space="preserve"> და სეროტონინის </w:t>
      </w:r>
      <w:r w:rsidR="006A7624">
        <w:rPr>
          <w:rFonts w:ascii="Sylfaen" w:hAnsi="Sylfaen"/>
          <w:sz w:val="24"/>
          <w:szCs w:val="24"/>
          <w:lang w:val="ka-GE"/>
        </w:rPr>
        <w:t>ცვლას</w:t>
      </w:r>
      <w:r w:rsidRPr="003437B4">
        <w:rPr>
          <w:rFonts w:ascii="Sylfaen" w:hAnsi="Sylfaen"/>
          <w:sz w:val="24"/>
          <w:szCs w:val="24"/>
          <w:lang w:val="ka-GE"/>
        </w:rPr>
        <w:t xml:space="preserve"> ტვინში; ასტიმულირებს აღმავალ ნორადრენერგულ სისტემას; აქვს ანტიოქსიდანტური </w:t>
      </w:r>
      <w:r w:rsidR="006A7624">
        <w:rPr>
          <w:rFonts w:ascii="Sylfaen" w:hAnsi="Sylfaen"/>
          <w:sz w:val="24"/>
          <w:szCs w:val="24"/>
          <w:lang w:val="ka-GE"/>
        </w:rPr>
        <w:t xml:space="preserve">მოქმედება; </w:t>
      </w:r>
      <w:r w:rsidRPr="003437B4">
        <w:rPr>
          <w:rFonts w:ascii="Sylfaen" w:hAnsi="Sylfaen"/>
          <w:sz w:val="24"/>
          <w:szCs w:val="24"/>
          <w:lang w:val="ka-GE"/>
        </w:rPr>
        <w:t>ყველა ამ ეფექტის შედეგად, ვინპოცეტინს აქვს ცერებროპროტექტორული ეფექტი.</w:t>
      </w:r>
    </w:p>
    <w:p w14:paraId="292BAC98" w14:textId="77777777" w:rsidR="006A762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6A7624">
        <w:rPr>
          <w:rFonts w:ascii="Sylfaen" w:hAnsi="Sylfaen"/>
          <w:i/>
          <w:iCs/>
          <w:sz w:val="24"/>
          <w:szCs w:val="24"/>
          <w:lang w:val="ka-GE"/>
        </w:rPr>
        <w:t xml:space="preserve">ვინპოცეტინი აუმჯობესებს მიკროცირკულაციას </w:t>
      </w:r>
      <w:r w:rsidR="006A7624">
        <w:rPr>
          <w:rFonts w:ascii="Sylfaen" w:hAnsi="Sylfaen"/>
          <w:i/>
          <w:iCs/>
          <w:sz w:val="24"/>
          <w:szCs w:val="24"/>
          <w:lang w:val="ka-GE"/>
        </w:rPr>
        <w:t xml:space="preserve">თავის </w:t>
      </w:r>
      <w:r w:rsidRPr="006A7624">
        <w:rPr>
          <w:rFonts w:ascii="Sylfaen" w:hAnsi="Sylfaen"/>
          <w:i/>
          <w:iCs/>
          <w:sz w:val="24"/>
          <w:szCs w:val="24"/>
          <w:lang w:val="ka-GE"/>
        </w:rPr>
        <w:t>ტვინში:</w:t>
      </w:r>
      <w:r w:rsidRPr="003437B4">
        <w:rPr>
          <w:rFonts w:ascii="Sylfaen" w:hAnsi="Sylfaen"/>
          <w:sz w:val="24"/>
          <w:szCs w:val="24"/>
          <w:lang w:val="ka-GE"/>
        </w:rPr>
        <w:t xml:space="preserve"> აფერხებს თრომბოციტების აგრეგაციას, ამცირებს პათოლოგიურად მომატებულ სისხლის სიბლანტეს; ზრდის სისხლის წითელი უჯრედების დეფორმირებ</w:t>
      </w:r>
      <w:r w:rsidR="006A7624">
        <w:rPr>
          <w:rFonts w:ascii="Sylfaen" w:hAnsi="Sylfaen"/>
          <w:sz w:val="24"/>
          <w:szCs w:val="24"/>
          <w:lang w:val="ka-GE"/>
        </w:rPr>
        <w:t>ის უნარს</w:t>
      </w:r>
      <w:r w:rsidRPr="003437B4">
        <w:rPr>
          <w:rFonts w:ascii="Sylfaen" w:hAnsi="Sylfaen"/>
          <w:sz w:val="24"/>
          <w:szCs w:val="24"/>
          <w:lang w:val="ka-GE"/>
        </w:rPr>
        <w:t xml:space="preserve"> და აფერხებს ადენოზინის მიერ </w:t>
      </w:r>
      <w:r w:rsidR="006A7624" w:rsidRPr="003437B4">
        <w:rPr>
          <w:rFonts w:ascii="Sylfaen" w:hAnsi="Sylfaen"/>
          <w:sz w:val="24"/>
          <w:szCs w:val="24"/>
          <w:lang w:val="ka-GE"/>
        </w:rPr>
        <w:t xml:space="preserve">მათ </w:t>
      </w:r>
      <w:r w:rsidRPr="003437B4">
        <w:rPr>
          <w:rFonts w:ascii="Sylfaen" w:hAnsi="Sylfaen"/>
          <w:sz w:val="24"/>
          <w:szCs w:val="24"/>
          <w:lang w:val="ka-GE"/>
        </w:rPr>
        <w:t>შეწოვას; ხელს უწყობს O</w:t>
      </w:r>
      <w:r w:rsidRPr="006A7624">
        <w:rPr>
          <w:rFonts w:ascii="Sylfaen" w:hAnsi="Sylfaen"/>
          <w:sz w:val="24"/>
          <w:szCs w:val="24"/>
          <w:vertAlign w:val="subscript"/>
          <w:lang w:val="ka-GE"/>
        </w:rPr>
        <w:t>2</w:t>
      </w:r>
      <w:r w:rsidRPr="003437B4">
        <w:rPr>
          <w:rFonts w:ascii="Sylfaen" w:hAnsi="Sylfaen"/>
          <w:sz w:val="24"/>
          <w:szCs w:val="24"/>
          <w:lang w:val="ka-GE"/>
        </w:rPr>
        <w:t xml:space="preserve">-ის გადაცემას უჯრედებში სისხლის წითელი უჯრედების მიმართ მისი აფინურობის შემცირებით. </w:t>
      </w:r>
    </w:p>
    <w:p w14:paraId="6FF62A5E" w14:textId="21209EB6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6A7624">
        <w:rPr>
          <w:rFonts w:ascii="Sylfaen" w:hAnsi="Sylfaen"/>
          <w:i/>
          <w:iCs/>
          <w:sz w:val="24"/>
          <w:szCs w:val="24"/>
          <w:lang w:val="ka-GE"/>
        </w:rPr>
        <w:t>ვინპოცეტინი შერჩევით ზრდის ცერებრალური სისხლის მიმოქცევას:</w:t>
      </w:r>
      <w:r w:rsidRPr="003437B4">
        <w:rPr>
          <w:rFonts w:ascii="Sylfaen" w:hAnsi="Sylfaen"/>
          <w:sz w:val="24"/>
          <w:szCs w:val="24"/>
          <w:lang w:val="ka-GE"/>
        </w:rPr>
        <w:t xml:space="preserve"> ის ზრდის გულის გამოტყორცნის ცერებრალურ </w:t>
      </w:r>
      <w:r w:rsidR="006A7624">
        <w:rPr>
          <w:rFonts w:ascii="Sylfaen" w:hAnsi="Sylfaen"/>
          <w:sz w:val="24"/>
          <w:szCs w:val="24"/>
          <w:lang w:val="ka-GE"/>
        </w:rPr>
        <w:t xml:space="preserve">ტვინისმიერ </w:t>
      </w:r>
      <w:r w:rsidRPr="003437B4">
        <w:rPr>
          <w:rFonts w:ascii="Sylfaen" w:hAnsi="Sylfaen"/>
          <w:sz w:val="24"/>
          <w:szCs w:val="24"/>
          <w:lang w:val="ka-GE"/>
        </w:rPr>
        <w:t xml:space="preserve">ფრაქციას;  ამცირებს ცერებრალური სისხლძარღვთა წინააღმდეგობას სისტემური სისხლის მიმოქცევის პარამეტრებზე (არტერიული წნევა, გულის გამოტყორცნა, გულისცემა, პერიფერიული სისხლძარღვთა საერთო წინააღმდეგობა) გავლენის გარეშე; </w:t>
      </w:r>
      <w:r w:rsidRPr="004D588E">
        <w:rPr>
          <w:rFonts w:ascii="Sylfaen" w:hAnsi="Sylfaen"/>
          <w:sz w:val="24"/>
          <w:szCs w:val="24"/>
          <w:lang w:val="ka-GE"/>
        </w:rPr>
        <w:t xml:space="preserve">და არ იწვევს „მოპარვის“ </w:t>
      </w:r>
      <w:r w:rsidRPr="00C82418">
        <w:rPr>
          <w:rFonts w:ascii="Sylfaen" w:hAnsi="Sylfaen"/>
          <w:sz w:val="24"/>
          <w:szCs w:val="24"/>
          <w:lang w:val="ka-GE"/>
        </w:rPr>
        <w:t xml:space="preserve">სინდრომს. გარდა ამისა, მიღების დროს, ის აუმჯობესებს სისხლის ნაკადს იშემიის დაზიანებულ (მაგრამ ჯერ არა ნეკროზულ) უბნებში დაბალი პერფუზიით („მოპარვის </w:t>
      </w:r>
      <w:r w:rsidR="00C82418" w:rsidRPr="00C82418">
        <w:rPr>
          <w:rFonts w:ascii="Sylfaen" w:hAnsi="Sylfaen"/>
          <w:sz w:val="24"/>
          <w:szCs w:val="24"/>
          <w:lang w:val="ka-GE"/>
        </w:rPr>
        <w:t>უკუ</w:t>
      </w:r>
      <w:r w:rsidRPr="003437B4">
        <w:rPr>
          <w:rFonts w:ascii="Sylfaen" w:hAnsi="Sylfaen"/>
          <w:sz w:val="24"/>
          <w:szCs w:val="24"/>
          <w:lang w:val="ka-GE"/>
        </w:rPr>
        <w:t>სინდრომი“).</w:t>
      </w:r>
    </w:p>
    <w:p w14:paraId="51C4568D" w14:textId="77777777" w:rsidR="003437B4" w:rsidRPr="006A7624" w:rsidRDefault="003437B4" w:rsidP="003437B4">
      <w:pPr>
        <w:jc w:val="both"/>
        <w:rPr>
          <w:rFonts w:ascii="Sylfaen" w:hAnsi="Sylfaen"/>
          <w:b/>
          <w:bCs/>
          <w:i/>
          <w:iCs/>
          <w:sz w:val="24"/>
          <w:szCs w:val="24"/>
          <w:lang w:val="ka-GE"/>
        </w:rPr>
      </w:pPr>
      <w:r w:rsidRPr="006A7624">
        <w:rPr>
          <w:rFonts w:ascii="Sylfaen" w:hAnsi="Sylfaen"/>
          <w:b/>
          <w:bCs/>
          <w:i/>
          <w:iCs/>
          <w:sz w:val="24"/>
          <w:szCs w:val="24"/>
          <w:lang w:val="ka-GE"/>
        </w:rPr>
        <w:t>ფარმაკოკინეტიკა</w:t>
      </w:r>
    </w:p>
    <w:p w14:paraId="7439498B" w14:textId="77777777" w:rsidR="003437B4" w:rsidRPr="006A7624" w:rsidRDefault="003437B4" w:rsidP="003437B4">
      <w:pPr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6A7624">
        <w:rPr>
          <w:rFonts w:ascii="Sylfaen" w:hAnsi="Sylfaen"/>
          <w:sz w:val="24"/>
          <w:szCs w:val="24"/>
          <w:u w:val="single"/>
          <w:lang w:val="ka-GE"/>
        </w:rPr>
        <w:t>შეწოვა</w:t>
      </w:r>
    </w:p>
    <w:p w14:paraId="6D165EC4" w14:textId="77777777" w:rsidR="006A762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lastRenderedPageBreak/>
        <w:t>ვინპოცეტინი სწრაფად შეიწოვება; პიკური პლაზმური კონცენტრაცია მიიღწევა პერორალური მიღებიდან 1 საათის შემდეგ. ვინპოცეტინის შეწოვის ძირითადი ადგილია კუჭ-ნაწლავის ტრაქტი</w:t>
      </w:r>
      <w:r w:rsidR="006A7624">
        <w:rPr>
          <w:rFonts w:ascii="Sylfaen" w:hAnsi="Sylfaen"/>
          <w:sz w:val="24"/>
          <w:szCs w:val="24"/>
          <w:lang w:val="ka-GE"/>
        </w:rPr>
        <w:t xml:space="preserve">ს </w:t>
      </w:r>
      <w:r w:rsidR="006A7624" w:rsidRPr="003437B4">
        <w:rPr>
          <w:rFonts w:ascii="Sylfaen" w:hAnsi="Sylfaen"/>
          <w:sz w:val="24"/>
          <w:szCs w:val="24"/>
          <w:lang w:val="ka-GE"/>
        </w:rPr>
        <w:t>პროქსიმალური</w:t>
      </w:r>
      <w:r w:rsidR="006A7624">
        <w:rPr>
          <w:rFonts w:ascii="Sylfaen" w:hAnsi="Sylfaen"/>
          <w:sz w:val="24"/>
          <w:szCs w:val="24"/>
          <w:lang w:val="ka-GE"/>
        </w:rPr>
        <w:t xml:space="preserve"> ნაწილები</w:t>
      </w:r>
      <w:r w:rsidRPr="003437B4">
        <w:rPr>
          <w:rFonts w:ascii="Sylfaen" w:hAnsi="Sylfaen"/>
          <w:sz w:val="24"/>
          <w:szCs w:val="24"/>
          <w:lang w:val="ka-GE"/>
        </w:rPr>
        <w:t xml:space="preserve">. ის არ მეტაბოლიზდება ნაწლავის კედელში გავლის დროს. </w:t>
      </w:r>
    </w:p>
    <w:p w14:paraId="54C75008" w14:textId="454116D9" w:rsidR="003437B4" w:rsidRPr="006A7624" w:rsidRDefault="003437B4" w:rsidP="003437B4">
      <w:pPr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6A7624">
        <w:rPr>
          <w:rFonts w:ascii="Sylfaen" w:hAnsi="Sylfaen"/>
          <w:sz w:val="24"/>
          <w:szCs w:val="24"/>
          <w:u w:val="single"/>
          <w:lang w:val="ka-GE"/>
        </w:rPr>
        <w:t>განაწილება</w:t>
      </w:r>
    </w:p>
    <w:p w14:paraId="7D562A87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ვირთხებზე ჩატარებულ კვლევებში, რადიოაქტიური ვინპოცეტინის პერორალური მიღების შემდეგ, მისი ყველაზე მაღალი კონცენტრაციები დაფიქსირდა ღვიძლსა და კუჭ-ნაწლავის ტრაქტში. პიკური ქსოვილური კონცენტრაციები დაფიქსირდა მიღებიდან 2-4 საათის შემდეგ. ტვინის ქსოვილის კონცენტრაცია არ აღემატებოდა პლაზმურ კონცენტრაციას.</w:t>
      </w:r>
    </w:p>
    <w:p w14:paraId="6DAA8543" w14:textId="0E3E808A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ადამიანებში</w:t>
      </w:r>
      <w:r w:rsidR="006A7624">
        <w:rPr>
          <w:rFonts w:ascii="Sylfaen" w:hAnsi="Sylfaen"/>
          <w:sz w:val="24"/>
          <w:szCs w:val="24"/>
          <w:lang w:val="ka-GE"/>
        </w:rPr>
        <w:t>:</w:t>
      </w:r>
      <w:r w:rsidRPr="003437B4">
        <w:rPr>
          <w:rFonts w:ascii="Sylfaen" w:hAnsi="Sylfaen"/>
          <w:sz w:val="24"/>
          <w:szCs w:val="24"/>
          <w:lang w:val="ka-GE"/>
        </w:rPr>
        <w:t xml:space="preserve"> პლაზმის ცილებთან შეკავშირებაა 66%. აბსოლუტური პერორალური ბიოშეღწევადობაა 7%. განაწილების მოცულობაა 246.7±88.5 ლ, რაც მიუთითებს ქსოვილებთან მნიშვნელოვან შეკავშირებაზე. ვინპოცეტინის კლირენსი (66.7 ლ/სთ) აღემატება ღვიძლის პლაზმის მოცულობას (50 ლ/სთ), რაც მიუთითებს ღვიძლისგარე მეტაბოლიზმზე.</w:t>
      </w:r>
    </w:p>
    <w:p w14:paraId="41C73DDF" w14:textId="77777777" w:rsidR="003437B4" w:rsidRPr="006A7624" w:rsidRDefault="003437B4" w:rsidP="003437B4">
      <w:pPr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6A7624">
        <w:rPr>
          <w:rFonts w:ascii="Sylfaen" w:hAnsi="Sylfaen"/>
          <w:sz w:val="24"/>
          <w:szCs w:val="24"/>
          <w:u w:val="single"/>
          <w:lang w:val="ka-GE"/>
        </w:rPr>
        <w:t>მეტაბოლიზმი</w:t>
      </w:r>
    </w:p>
    <w:p w14:paraId="139D6875" w14:textId="41817803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ვინპოცეტინის ძირითადი მეტაბოლიტი არის აპოვინაკამინმჟავა (</w:t>
      </w:r>
      <w:r w:rsidR="003D6E56">
        <w:rPr>
          <w:rFonts w:ascii="Sylfaen" w:hAnsi="Sylfaen"/>
          <w:sz w:val="24"/>
          <w:szCs w:val="24"/>
          <w:lang w:val="ka-GE"/>
        </w:rPr>
        <w:t>ავმ</w:t>
      </w:r>
      <w:r w:rsidRPr="003437B4">
        <w:rPr>
          <w:rFonts w:ascii="Sylfaen" w:hAnsi="Sylfaen"/>
          <w:sz w:val="24"/>
          <w:szCs w:val="24"/>
          <w:lang w:val="ka-GE"/>
        </w:rPr>
        <w:t xml:space="preserve">), რომელიც ადამიანებში მეტაბოლიტის 25-30%-ს შეადგენს. პერორალური მიღების შემდეგ, </w:t>
      </w:r>
      <w:r w:rsidR="003D6E56">
        <w:rPr>
          <w:rFonts w:ascii="Sylfaen" w:hAnsi="Sylfaen"/>
          <w:sz w:val="24"/>
          <w:szCs w:val="24"/>
          <w:lang w:val="ka-GE"/>
        </w:rPr>
        <w:t>„ავმ“</w:t>
      </w:r>
      <w:r w:rsidRPr="003437B4">
        <w:rPr>
          <w:rFonts w:ascii="Sylfaen" w:hAnsi="Sylfaen"/>
          <w:sz w:val="24"/>
          <w:szCs w:val="24"/>
          <w:lang w:val="ka-GE"/>
        </w:rPr>
        <w:t xml:space="preserve">-ს კონცენტრაცია-დროის მრუდის ქვეშ არსებული ფართობი ორჯერ მეტია, ვიდრე ინტრავენური მიღების შემდეგ, რაც მიუთითებს, რომ </w:t>
      </w:r>
      <w:r w:rsidR="003D6E56">
        <w:rPr>
          <w:rFonts w:ascii="Sylfaen" w:hAnsi="Sylfaen"/>
          <w:sz w:val="24"/>
          <w:szCs w:val="24"/>
          <w:lang w:val="ka-GE"/>
        </w:rPr>
        <w:t>„ავმ“</w:t>
      </w:r>
      <w:r w:rsidRPr="003437B4">
        <w:rPr>
          <w:rFonts w:ascii="Sylfaen" w:hAnsi="Sylfaen"/>
          <w:sz w:val="24"/>
          <w:szCs w:val="24"/>
          <w:lang w:val="ka-GE"/>
        </w:rPr>
        <w:t xml:space="preserve"> წარმოიქმნება ვინპოცეტინის პირველი გავლის მეტაბოლიზმის დროს. სხვა იდენტიფიცირებული მეტაბოლიტებია ჰიდროქსივინპოცეტინი, ჰიდროქსი-</w:t>
      </w:r>
      <w:r w:rsidR="003D6E56">
        <w:rPr>
          <w:rFonts w:ascii="Sylfaen" w:hAnsi="Sylfaen"/>
          <w:sz w:val="24"/>
          <w:szCs w:val="24"/>
          <w:lang w:val="ka-GE"/>
        </w:rPr>
        <w:t>ავმ</w:t>
      </w:r>
      <w:r w:rsidRPr="003437B4">
        <w:rPr>
          <w:rFonts w:ascii="Sylfaen" w:hAnsi="Sylfaen"/>
          <w:sz w:val="24"/>
          <w:szCs w:val="24"/>
          <w:lang w:val="ka-GE"/>
        </w:rPr>
        <w:t>, დიჰიდროქსი-</w:t>
      </w:r>
      <w:r w:rsidR="003D6E56">
        <w:rPr>
          <w:rFonts w:ascii="Sylfaen" w:hAnsi="Sylfaen"/>
          <w:sz w:val="24"/>
          <w:szCs w:val="24"/>
          <w:lang w:val="ka-GE"/>
        </w:rPr>
        <w:t>ავმ</w:t>
      </w:r>
      <w:r w:rsidRPr="003437B4">
        <w:rPr>
          <w:rFonts w:ascii="Sylfaen" w:hAnsi="Sylfaen"/>
          <w:sz w:val="24"/>
          <w:szCs w:val="24"/>
          <w:lang w:val="ka-GE"/>
        </w:rPr>
        <w:t>-გლიცინატი და მათი კონიუგატები გლუკურონიდებთან და/ან სულფატებთან. ყველა შესწავლილი სახეობისთვის, უცვლელი სახით გამოყოფილი ვინპოცეტინის რაოდენობა შეადგენდა მიღებული დოზის მხოლოდ რამდენიმე პროცენტს.</w:t>
      </w:r>
    </w:p>
    <w:p w14:paraId="2A61F6E9" w14:textId="1EE5D3B3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ვინპოცეტინის მნიშვნელოვანი თვისებაა ის, რომ ღვიძლის ან თირკმლის დაავადების მქონე პაციენტებში დოზის კორექცია არ არის საჭირო ვინპოცეტინის სპეციფიკური მეტაბოლიზმის, კერძოდ, დაგროვების არარსებობის გამო.</w:t>
      </w:r>
    </w:p>
    <w:p w14:paraId="0B4A2243" w14:textId="77777777" w:rsidR="003437B4" w:rsidRPr="003D6E56" w:rsidRDefault="003437B4" w:rsidP="003437B4">
      <w:pPr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D6E56">
        <w:rPr>
          <w:rFonts w:ascii="Sylfaen" w:hAnsi="Sylfaen"/>
          <w:sz w:val="24"/>
          <w:szCs w:val="24"/>
          <w:u w:val="single"/>
          <w:lang w:val="ka-GE"/>
        </w:rPr>
        <w:t>გამოყოფა</w:t>
      </w:r>
    </w:p>
    <w:p w14:paraId="3611211C" w14:textId="13ABD4BC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5 მგ და 10 მგ </w:t>
      </w:r>
      <w:r w:rsidR="003D6E56">
        <w:rPr>
          <w:rFonts w:ascii="Sylfaen" w:hAnsi="Sylfaen"/>
          <w:sz w:val="24"/>
          <w:szCs w:val="24"/>
          <w:lang w:val="ka-GE"/>
        </w:rPr>
        <w:t>დოზით მრავალჯერადი</w:t>
      </w:r>
      <w:r w:rsidRPr="003437B4">
        <w:rPr>
          <w:rFonts w:ascii="Sylfaen" w:hAnsi="Sylfaen"/>
          <w:sz w:val="24"/>
          <w:szCs w:val="24"/>
          <w:lang w:val="ka-GE"/>
        </w:rPr>
        <w:t xml:space="preserve"> პერორალური მიღებისას, ვინპოცეტინი ავლენს </w:t>
      </w:r>
      <w:r w:rsidRPr="003D6E56">
        <w:rPr>
          <w:rFonts w:ascii="Sylfaen" w:hAnsi="Sylfaen"/>
          <w:i/>
          <w:iCs/>
          <w:sz w:val="24"/>
          <w:szCs w:val="24"/>
          <w:lang w:val="ka-GE"/>
        </w:rPr>
        <w:t>წრფივ კინეტიკას;</w:t>
      </w:r>
      <w:r w:rsidRPr="003437B4">
        <w:rPr>
          <w:rFonts w:ascii="Sylfaen" w:hAnsi="Sylfaen"/>
          <w:sz w:val="24"/>
          <w:szCs w:val="24"/>
          <w:lang w:val="ka-GE"/>
        </w:rPr>
        <w:t xml:space="preserve"> სტაბილური პლაზმური კონცენტრაციები შეადგენს შესაბამისად 1.2±0.27 ნგ/მლ და 2.1±0.33 ნგ/მლ. ნახევარგამოყოფის პერიოდი ადამიანებში არის 4.83±1.29 საათი. გამოყოფა ძირითადად თირკმელებითა და განავლით ხდება 60:40 </w:t>
      </w:r>
      <w:r w:rsidRPr="003437B4">
        <w:rPr>
          <w:rFonts w:ascii="Sylfaen" w:hAnsi="Sylfaen"/>
          <w:sz w:val="24"/>
          <w:szCs w:val="24"/>
          <w:lang w:val="ka-GE"/>
        </w:rPr>
        <w:lastRenderedPageBreak/>
        <w:t>თანაფარდობით. მეტაბოლიტების უმეტესობა ნაღველში გვხვდება, მაგრამ ენტეროჰეპატური ცირკულაციის მნიშვნელოვანი მაჩვენებელი არ დადასტურებულა. აპოვინკამინის მჟავა თირკმელებით გამოიყოფა მარტივი გლომერულური ფილტრაციის გზით; ნახევარგამოყოფის პერიოდი განსხვავდება ვინპოცეტინის დოზისა და მიღების გზის მიხედვით.</w:t>
      </w:r>
    </w:p>
    <w:p w14:paraId="2BDFD76A" w14:textId="77777777" w:rsidR="003437B4" w:rsidRPr="003D6E56" w:rsidRDefault="003437B4" w:rsidP="003437B4">
      <w:pPr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3D6E56">
        <w:rPr>
          <w:rFonts w:ascii="Sylfaen" w:hAnsi="Sylfaen"/>
          <w:i/>
          <w:iCs/>
          <w:sz w:val="24"/>
          <w:szCs w:val="24"/>
          <w:lang w:val="ka-GE"/>
        </w:rPr>
        <w:t>ფარმაკოკინეტიკა პაციენტთა კონკრეტულ ჯგუფებში</w:t>
      </w:r>
    </w:p>
    <w:p w14:paraId="4557D3D3" w14:textId="77777777" w:rsidR="003437B4" w:rsidRPr="003D6E56" w:rsidRDefault="003437B4" w:rsidP="003437B4">
      <w:pPr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D6E56">
        <w:rPr>
          <w:rFonts w:ascii="Sylfaen" w:hAnsi="Sylfaen"/>
          <w:sz w:val="24"/>
          <w:szCs w:val="24"/>
          <w:u w:val="single"/>
          <w:lang w:val="ka-GE"/>
        </w:rPr>
        <w:t>ხანდაზმული პაციენტები (65 წელზე მეტი)</w:t>
      </w:r>
    </w:p>
    <w:p w14:paraId="4FD28C5F" w14:textId="021AA79B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ვინპოცეტინი ძირითადად ნაჩვენებია ხანდაზმულ პაციენტებში გამოსაყენებლად, რომლებსაც აღენიშნებათ პრეპარატების ფარმაკოკინეტიკის დამახასიათებელი ცვლილებები (შეწოვის, განაწილების და მეტაბოლიზმის მახასიათებლების შემცირება, ელიმინაციის </w:t>
      </w:r>
      <w:r w:rsidR="003D6E56">
        <w:rPr>
          <w:rFonts w:ascii="Sylfaen" w:hAnsi="Sylfaen"/>
          <w:sz w:val="24"/>
          <w:szCs w:val="24"/>
          <w:lang w:val="ka-GE"/>
        </w:rPr>
        <w:t xml:space="preserve">შენელება), </w:t>
      </w:r>
      <w:r w:rsidRPr="003437B4">
        <w:rPr>
          <w:rFonts w:ascii="Sylfaen" w:hAnsi="Sylfaen"/>
          <w:sz w:val="24"/>
          <w:szCs w:val="24"/>
          <w:lang w:val="ka-GE"/>
        </w:rPr>
        <w:t xml:space="preserve"> საჭირო გახდა ამ ასაკობრივ ჯგუფში ფარმაკოკინეტიკური კვლევის ჩატარება, განსაკუთრებით ხანგრძლივი გამოყენებისას. შედეგებმა აჩვენა, რომ ვინპოცეტინის ფარმაკოკინეტიკა ხანდაზმულ პაციენტებში მნიშვნელოვნად არ განსხვავდება ახალგაზრდა პაციენტებში არსებულისგან და პრეპარატის დაგროვება არ ხდება.</w:t>
      </w:r>
    </w:p>
    <w:p w14:paraId="0D429CF4" w14:textId="77777777" w:rsidR="003437B4" w:rsidRPr="003D6E56" w:rsidRDefault="003437B4" w:rsidP="003437B4">
      <w:pPr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D6E56">
        <w:rPr>
          <w:rFonts w:ascii="Sylfaen" w:hAnsi="Sylfaen"/>
          <w:sz w:val="24"/>
          <w:szCs w:val="24"/>
          <w:u w:val="single"/>
          <w:lang w:val="ka-GE"/>
        </w:rPr>
        <w:t>პაციენტები ღვიძლისა და თირკმლის ფუნქციის დარღვევით</w:t>
      </w:r>
    </w:p>
    <w:p w14:paraId="4F8BF85C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პაციენტებს ღვიძლისა და თირკმლის ფუნქციის დარღვევით შეიძლება დაენიშნოთ პრეპარატის ჩვეულებრივი დოზა ხანგრძლივი ვადით, რადგან ვინპოცეტინი ამ ჯგუფში არ გროვდება.</w:t>
      </w:r>
    </w:p>
    <w:p w14:paraId="399DBA67" w14:textId="77777777" w:rsidR="003437B4" w:rsidRPr="003D6E56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3D6E56">
        <w:rPr>
          <w:rFonts w:ascii="Sylfaen" w:hAnsi="Sylfaen"/>
          <w:b/>
          <w:bCs/>
          <w:sz w:val="24"/>
          <w:szCs w:val="24"/>
          <w:lang w:val="ka-GE"/>
        </w:rPr>
        <w:t>გამოყენების ჩვენებები</w:t>
      </w:r>
    </w:p>
    <w:p w14:paraId="7304D27D" w14:textId="77777777" w:rsidR="003437B4" w:rsidRPr="003D6E56" w:rsidRDefault="003437B4" w:rsidP="003437B4">
      <w:pPr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3D6E56">
        <w:rPr>
          <w:rFonts w:ascii="Sylfaen" w:hAnsi="Sylfaen"/>
          <w:i/>
          <w:iCs/>
          <w:sz w:val="24"/>
          <w:szCs w:val="24"/>
          <w:lang w:val="ka-GE"/>
        </w:rPr>
        <w:t>ნევროლოგია</w:t>
      </w:r>
    </w:p>
    <w:p w14:paraId="1B0BF3C8" w14:textId="794DFF15" w:rsidR="003437B4" w:rsidRPr="003437B4" w:rsidRDefault="003D6E56" w:rsidP="003437B4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თავის ტვინში სისხლის მიმოქცევის დარღვევების</w:t>
      </w:r>
      <w:r w:rsidR="003437B4" w:rsidRPr="003437B4">
        <w:rPr>
          <w:rFonts w:ascii="Sylfaen" w:hAnsi="Sylfaen"/>
          <w:sz w:val="24"/>
          <w:szCs w:val="24"/>
          <w:lang w:val="ka-GE"/>
        </w:rPr>
        <w:t xml:space="preserve"> სხვადასხვა ფორმის დროს: ინსულტის შემდგომი მდგომარეობები, ვერტებრობაზილიარული უკმარისობა, სისხლძარღვოვანი დემენცია, ცერებრალური ათეროსკლეროზი, პოსტტრავმული და ჰიპერტენზიული ენცეფალოპათია. ცერებრალური სისხლის მიწოდების დარღვევასთან დაკავშირებული ფსიქიკური და ნევროლოგიური დარღვევების სიმძიმის შესამცირებლად.</w:t>
      </w:r>
    </w:p>
    <w:p w14:paraId="2E194C0A" w14:textId="77777777" w:rsidR="003437B4" w:rsidRPr="003D6E56" w:rsidRDefault="003437B4" w:rsidP="003437B4">
      <w:pPr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3D6E56">
        <w:rPr>
          <w:rFonts w:ascii="Sylfaen" w:hAnsi="Sylfaen"/>
          <w:i/>
          <w:iCs/>
          <w:sz w:val="24"/>
          <w:szCs w:val="24"/>
          <w:lang w:val="ka-GE"/>
        </w:rPr>
        <w:t>ოფთალმოლოგია</w:t>
      </w:r>
    </w:p>
    <w:p w14:paraId="1B86D94D" w14:textId="10825A6D" w:rsidR="003437B4" w:rsidRPr="003437B4" w:rsidRDefault="003D6E56" w:rsidP="003437B4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თ</w:t>
      </w:r>
      <w:r w:rsidR="003110D2">
        <w:rPr>
          <w:rFonts w:ascii="Sylfaen" w:hAnsi="Sylfaen"/>
          <w:sz w:val="24"/>
          <w:szCs w:val="24"/>
          <w:lang w:val="ka-GE"/>
        </w:rPr>
        <w:t>ვალი</w:t>
      </w:r>
      <w:r>
        <w:rPr>
          <w:rFonts w:ascii="Sylfaen" w:hAnsi="Sylfaen"/>
          <w:sz w:val="24"/>
          <w:szCs w:val="24"/>
          <w:lang w:val="ka-GE"/>
        </w:rPr>
        <w:t>ს სისხლძარღვოვანი გარსის</w:t>
      </w:r>
      <w:r w:rsidR="003437B4" w:rsidRPr="003437B4">
        <w:rPr>
          <w:rFonts w:ascii="Sylfaen" w:hAnsi="Sylfaen"/>
          <w:sz w:val="24"/>
          <w:szCs w:val="24"/>
          <w:lang w:val="ka-GE"/>
        </w:rPr>
        <w:t xml:space="preserve"> და ბადურას ქრონიკული სისხლძარღვოვანი დაავადებები.</w:t>
      </w:r>
    </w:p>
    <w:p w14:paraId="1F4B2542" w14:textId="77777777" w:rsidR="003437B4" w:rsidRPr="003D6E56" w:rsidRDefault="003437B4" w:rsidP="003437B4">
      <w:pPr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3D6E56">
        <w:rPr>
          <w:rFonts w:ascii="Sylfaen" w:hAnsi="Sylfaen"/>
          <w:i/>
          <w:iCs/>
          <w:sz w:val="24"/>
          <w:szCs w:val="24"/>
          <w:lang w:val="ka-GE"/>
        </w:rPr>
        <w:t>ოტოლარინგოლოგია</w:t>
      </w:r>
    </w:p>
    <w:p w14:paraId="20E116FE" w14:textId="3043229C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lastRenderedPageBreak/>
        <w:t xml:space="preserve">პერცეპტული ტიპის </w:t>
      </w:r>
      <w:r w:rsidR="003D6E56">
        <w:rPr>
          <w:rFonts w:ascii="Sylfaen" w:hAnsi="Sylfaen"/>
          <w:sz w:val="24"/>
          <w:szCs w:val="24"/>
          <w:lang w:val="ka-GE"/>
        </w:rPr>
        <w:t>ხანდაზმულთა</w:t>
      </w:r>
      <w:r w:rsidRPr="003437B4">
        <w:rPr>
          <w:rFonts w:ascii="Sylfaen" w:hAnsi="Sylfaen"/>
          <w:sz w:val="24"/>
          <w:szCs w:val="24"/>
          <w:lang w:val="ka-GE"/>
        </w:rPr>
        <w:t xml:space="preserve"> სმენის დაქვეითება, მენიერის დაავადება და </w:t>
      </w:r>
      <w:r w:rsidR="003D6E56">
        <w:rPr>
          <w:rFonts w:ascii="Sylfaen" w:hAnsi="Sylfaen"/>
          <w:sz w:val="24"/>
          <w:szCs w:val="24"/>
          <w:lang w:val="ka-GE"/>
        </w:rPr>
        <w:t xml:space="preserve">ხმაური ყურებში. </w:t>
      </w:r>
    </w:p>
    <w:p w14:paraId="6DAA12BD" w14:textId="77777777" w:rsidR="003437B4" w:rsidRPr="003D6E56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3D6E56">
        <w:rPr>
          <w:rFonts w:ascii="Sylfaen" w:hAnsi="Sylfaen"/>
          <w:b/>
          <w:bCs/>
          <w:sz w:val="24"/>
          <w:szCs w:val="24"/>
          <w:lang w:val="ka-GE"/>
        </w:rPr>
        <w:t>უკუჩვენებები</w:t>
      </w:r>
    </w:p>
    <w:p w14:paraId="3DCAF40C" w14:textId="77777777" w:rsidR="003D6E56" w:rsidRDefault="003437B4" w:rsidP="003437B4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3D6E56">
        <w:rPr>
          <w:rFonts w:ascii="Sylfaen" w:hAnsi="Sylfaen" w:cs="Sylfaen"/>
          <w:sz w:val="24"/>
          <w:szCs w:val="24"/>
          <w:lang w:val="ka-GE"/>
        </w:rPr>
        <w:t>ჰიპერმგრძნობელობა</w:t>
      </w:r>
      <w:r w:rsidR="003D6E56" w:rsidRPr="003D6E5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D6E56">
        <w:rPr>
          <w:rFonts w:ascii="Sylfaen" w:hAnsi="Sylfaen"/>
          <w:sz w:val="24"/>
          <w:szCs w:val="24"/>
          <w:lang w:val="ka-GE"/>
        </w:rPr>
        <w:t xml:space="preserve">აქტიური ნივთიერების ან "შემადგენლობის" </w:t>
      </w:r>
      <w:r w:rsidR="003D6E56">
        <w:rPr>
          <w:rFonts w:ascii="Sylfaen" w:hAnsi="Sylfaen"/>
          <w:sz w:val="24"/>
          <w:szCs w:val="24"/>
          <w:lang w:val="ka-GE"/>
        </w:rPr>
        <w:t>ნაწილში</w:t>
      </w:r>
      <w:r w:rsidRPr="003D6E56">
        <w:rPr>
          <w:rFonts w:ascii="Sylfaen" w:hAnsi="Sylfaen"/>
          <w:sz w:val="24"/>
          <w:szCs w:val="24"/>
          <w:lang w:val="ka-GE"/>
        </w:rPr>
        <w:t xml:space="preserve"> ჩამოთვლილი რომელიმე დამხმარე ნივთიერების მიმართ. </w:t>
      </w:r>
    </w:p>
    <w:p w14:paraId="30D8F6EF" w14:textId="19ED405D" w:rsidR="003437B4" w:rsidRPr="003D6E56" w:rsidRDefault="003437B4" w:rsidP="003437B4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3D6E56">
        <w:rPr>
          <w:rFonts w:ascii="Sylfaen" w:hAnsi="Sylfaen"/>
          <w:sz w:val="24"/>
          <w:szCs w:val="24"/>
          <w:lang w:val="ka-GE"/>
        </w:rPr>
        <w:t>ორსულობა, ძუძუთი კვება და გამოყენება რეპროდუქციული პოტენციალის მქონე ქალებში, რომლებიც არ იყენებენ საიმედო კონტრაცეფციას.</w:t>
      </w:r>
    </w:p>
    <w:p w14:paraId="0E85F602" w14:textId="71878599" w:rsidR="003437B4" w:rsidRPr="003D6E56" w:rsidRDefault="003D6E56" w:rsidP="003D6E56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18 წლამდე </w:t>
      </w:r>
      <w:r w:rsidR="003437B4" w:rsidRPr="003D6E56">
        <w:rPr>
          <w:rFonts w:ascii="Sylfaen" w:hAnsi="Sylfaen" w:cs="Sylfaen"/>
          <w:sz w:val="24"/>
          <w:szCs w:val="24"/>
          <w:lang w:val="ka-GE"/>
        </w:rPr>
        <w:t>ბავშვ</w:t>
      </w:r>
      <w:r>
        <w:rPr>
          <w:rFonts w:ascii="Sylfaen" w:hAnsi="Sylfaen" w:cs="Sylfaen"/>
          <w:sz w:val="24"/>
          <w:szCs w:val="24"/>
          <w:lang w:val="ka-GE"/>
        </w:rPr>
        <w:t>თა ასაკი</w:t>
      </w:r>
      <w:r w:rsidR="003437B4" w:rsidRPr="003D6E56">
        <w:rPr>
          <w:rFonts w:ascii="Sylfaen" w:hAnsi="Sylfaen"/>
          <w:sz w:val="24"/>
          <w:szCs w:val="24"/>
          <w:lang w:val="ka-GE"/>
        </w:rPr>
        <w:t xml:space="preserve"> (არასაკმარისი მონაცემების გამო).</w:t>
      </w:r>
    </w:p>
    <w:p w14:paraId="443B73A2" w14:textId="77777777" w:rsidR="003437B4" w:rsidRPr="003D6E56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3D6E56">
        <w:rPr>
          <w:rFonts w:ascii="Sylfaen" w:hAnsi="Sylfaen"/>
          <w:b/>
          <w:bCs/>
          <w:sz w:val="24"/>
          <w:szCs w:val="24"/>
          <w:lang w:val="ka-GE"/>
        </w:rPr>
        <w:t>გამოყენება ორსულობისა და ძუძუთი კვების დროს</w:t>
      </w:r>
    </w:p>
    <w:p w14:paraId="37CFDD93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ვინპოცეტინის გამოყენება უკუნაჩვენებია ორსულობისა და ძუძუთი კვების დროს, ასევე რეპროდუქციული პოტენციალის მქონე ქალებში, რომლებიც არ იყენებენ საიმედო კონტრაცეფციას.</w:t>
      </w:r>
    </w:p>
    <w:p w14:paraId="3C74346F" w14:textId="77777777" w:rsidR="003437B4" w:rsidRPr="003D6E56" w:rsidRDefault="003437B4" w:rsidP="003437B4">
      <w:pPr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D6E56">
        <w:rPr>
          <w:rFonts w:ascii="Sylfaen" w:hAnsi="Sylfaen"/>
          <w:sz w:val="24"/>
          <w:szCs w:val="24"/>
          <w:u w:val="single"/>
          <w:lang w:val="ka-GE"/>
        </w:rPr>
        <w:t>ორსულობა</w:t>
      </w:r>
    </w:p>
    <w:p w14:paraId="510C4C9B" w14:textId="5B1A08BD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ვინპოცეტინი კვეთს პლაცენტურ ბარიერს, მაგრამ მისი კონცენტრაცია პლაცენტასა და ნაყოფის სისხლში უფრო დაბალია, ვიდრე ორსული ქალის სისხლში. ცხოველებზე ჩატარებულმა კვლევებმა აჩვენა რეპროდუქციული ტოქსიკურობა, მათ შორის ვირთ</w:t>
      </w:r>
      <w:r w:rsidR="003D6E56">
        <w:rPr>
          <w:rFonts w:ascii="Sylfaen" w:hAnsi="Sylfaen"/>
          <w:sz w:val="24"/>
          <w:szCs w:val="24"/>
          <w:lang w:val="ka-GE"/>
        </w:rPr>
        <w:t>ხებში</w:t>
      </w:r>
      <w:r w:rsidRPr="003437B4">
        <w:rPr>
          <w:rFonts w:ascii="Sylfaen" w:hAnsi="Sylfaen"/>
          <w:sz w:val="24"/>
          <w:szCs w:val="24"/>
          <w:lang w:val="ka-GE"/>
        </w:rPr>
        <w:t xml:space="preserve"> მალფორმაციები. ცხოველებზე ჩატარებულ კვლევებში, ვინპოცეტინის მაღალი დოზების გამოყენებისას ზოგიერთ შემთხვევაში დაფიქსირდა პლაცენტური სისხლდენა ან </w:t>
      </w:r>
      <w:r w:rsidR="003D6E56">
        <w:rPr>
          <w:rFonts w:ascii="Sylfaen" w:hAnsi="Sylfaen"/>
          <w:sz w:val="24"/>
          <w:szCs w:val="24"/>
          <w:lang w:val="ka-GE"/>
        </w:rPr>
        <w:t>მუცლის მოშლა,</w:t>
      </w:r>
      <w:r w:rsidRPr="003437B4">
        <w:rPr>
          <w:rFonts w:ascii="Sylfaen" w:hAnsi="Sylfaen"/>
          <w:sz w:val="24"/>
          <w:szCs w:val="24"/>
          <w:lang w:val="ka-GE"/>
        </w:rPr>
        <w:t xml:space="preserve"> სავარაუდოდ, პლაცენტურ სისხლის მიმოქცევის გაზრდის გამო.</w:t>
      </w:r>
    </w:p>
    <w:p w14:paraId="5FE3BEAF" w14:textId="77777777" w:rsidR="003437B4" w:rsidRPr="003D6E56" w:rsidRDefault="003437B4" w:rsidP="003437B4">
      <w:pPr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D6E56">
        <w:rPr>
          <w:rFonts w:ascii="Sylfaen" w:hAnsi="Sylfaen"/>
          <w:sz w:val="24"/>
          <w:szCs w:val="24"/>
          <w:u w:val="single"/>
          <w:lang w:val="ka-GE"/>
        </w:rPr>
        <w:t>ძუძუთი კვება</w:t>
      </w:r>
    </w:p>
    <w:p w14:paraId="3F171A63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ვინპოცეტინი გამოიყოფა დედის რძეში. ეტიკეტირებული ვინპოცეტინის კვლევებში, გაზომილი რადიოაქტიურობა რძეში დაახლოებით ათჯერ მეტი იყო, ვიდრე დედის სისხლში. 1 საათის განმავლობაში, შეყვანილი დოზის 0.25% გამოიყოფა დედის რძეში. რადგან ვინპოცეტინი გამოიყოფა დედის რძეში და არ არსებობს მონაცემები მისი ჩვილებზე ზემოქმედების შესახებ, მისი გამოყენება ძუძუთი კვების დროს უკუნაჩვენებია.</w:t>
      </w:r>
    </w:p>
    <w:p w14:paraId="0E6423AF" w14:textId="77777777" w:rsidR="003437B4" w:rsidRPr="003D6E56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3D6E56">
        <w:rPr>
          <w:rFonts w:ascii="Sylfaen" w:hAnsi="Sylfaen"/>
          <w:b/>
          <w:bCs/>
          <w:sz w:val="24"/>
          <w:szCs w:val="24"/>
          <w:lang w:val="ka-GE"/>
        </w:rPr>
        <w:t>დოზირება და მიღების წესი</w:t>
      </w:r>
    </w:p>
    <w:p w14:paraId="32B99D75" w14:textId="63CDCB2B" w:rsidR="003437B4" w:rsidRPr="003437B4" w:rsidRDefault="003D6E56" w:rsidP="003437B4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შიგნით. </w:t>
      </w:r>
    </w:p>
    <w:p w14:paraId="15DA63C7" w14:textId="34AD48A0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ტაბლეტები </w:t>
      </w:r>
      <w:r w:rsidR="003D6E56">
        <w:rPr>
          <w:rFonts w:ascii="Sylfaen" w:hAnsi="Sylfaen"/>
          <w:sz w:val="24"/>
          <w:szCs w:val="24"/>
          <w:lang w:val="ka-GE"/>
        </w:rPr>
        <w:t>მიიღება</w:t>
      </w:r>
      <w:r w:rsidRPr="003437B4">
        <w:rPr>
          <w:rFonts w:ascii="Sylfaen" w:hAnsi="Sylfaen"/>
          <w:sz w:val="24"/>
          <w:szCs w:val="24"/>
          <w:lang w:val="ka-GE"/>
        </w:rPr>
        <w:t xml:space="preserve"> ჭამის შემდეგ.</w:t>
      </w:r>
    </w:p>
    <w:p w14:paraId="0C730604" w14:textId="5748A1A6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ჩვეულებრივი დღიური დოზა</w:t>
      </w:r>
      <w:r w:rsidR="003D6E56">
        <w:rPr>
          <w:rFonts w:ascii="Sylfaen" w:hAnsi="Sylfaen"/>
          <w:sz w:val="24"/>
          <w:szCs w:val="24"/>
          <w:lang w:val="ka-GE"/>
        </w:rPr>
        <w:t xml:space="preserve"> </w:t>
      </w:r>
      <w:r w:rsidRPr="003437B4">
        <w:rPr>
          <w:rFonts w:ascii="Sylfaen" w:hAnsi="Sylfaen"/>
          <w:sz w:val="24"/>
          <w:szCs w:val="24"/>
          <w:lang w:val="ka-GE"/>
        </w:rPr>
        <w:t>ა</w:t>
      </w:r>
      <w:r w:rsidR="003D6E56">
        <w:rPr>
          <w:rFonts w:ascii="Sylfaen" w:hAnsi="Sylfaen"/>
          <w:sz w:val="24"/>
          <w:szCs w:val="24"/>
          <w:lang w:val="ka-GE"/>
        </w:rPr>
        <w:t>რის</w:t>
      </w:r>
      <w:r w:rsidRPr="003437B4">
        <w:rPr>
          <w:rFonts w:ascii="Sylfaen" w:hAnsi="Sylfaen"/>
          <w:sz w:val="24"/>
          <w:szCs w:val="24"/>
          <w:lang w:val="ka-GE"/>
        </w:rPr>
        <w:t xml:space="preserve"> 5-10 მგ 3-ჯერ დღეში (15-30 მგ დღეში). </w:t>
      </w:r>
    </w:p>
    <w:p w14:paraId="33BA6FD7" w14:textId="77777777" w:rsidR="003437B4" w:rsidRPr="003D6E56" w:rsidRDefault="003437B4" w:rsidP="003437B4">
      <w:pPr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D6E56">
        <w:rPr>
          <w:rFonts w:ascii="Sylfaen" w:hAnsi="Sylfaen"/>
          <w:sz w:val="24"/>
          <w:szCs w:val="24"/>
          <w:u w:val="single"/>
          <w:lang w:val="ka-GE"/>
        </w:rPr>
        <w:lastRenderedPageBreak/>
        <w:t>პაციენტები თირკმლის და ღვიძლის უკმარისობით</w:t>
      </w:r>
    </w:p>
    <w:p w14:paraId="12616147" w14:textId="77777777" w:rsid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დოზის კორექცია საჭირო არ არის თირკმლის ან ღვიძლის დაავადების მქონე პაციენტებისთვის.</w:t>
      </w:r>
    </w:p>
    <w:p w14:paraId="5ABBB048" w14:textId="700E9B78" w:rsidR="003D6E56" w:rsidRPr="003D6E56" w:rsidRDefault="003D6E56" w:rsidP="003437B4">
      <w:pPr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D6E56">
        <w:rPr>
          <w:rFonts w:ascii="Sylfaen" w:hAnsi="Sylfaen"/>
          <w:sz w:val="24"/>
          <w:szCs w:val="24"/>
          <w:u w:val="single"/>
          <w:lang w:val="ka-GE"/>
        </w:rPr>
        <w:t>ბავშვები</w:t>
      </w:r>
    </w:p>
    <w:p w14:paraId="1AE7343E" w14:textId="1D0172AA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„კავინტონის</w:t>
      </w:r>
      <w:r w:rsidR="003D6E56">
        <w:rPr>
          <w:rFonts w:ascii="Sylfaen" w:hAnsi="Sylfaen"/>
          <w:sz w:val="24"/>
          <w:szCs w:val="24"/>
          <w:lang w:val="ka-GE"/>
        </w:rPr>
        <w:t>®</w:t>
      </w:r>
      <w:r w:rsidRPr="003437B4">
        <w:rPr>
          <w:rFonts w:ascii="Sylfaen" w:hAnsi="Sylfaen"/>
          <w:sz w:val="24"/>
          <w:szCs w:val="24"/>
          <w:lang w:val="ka-GE"/>
        </w:rPr>
        <w:t>“ და „კავინტონ</w:t>
      </w:r>
      <w:r w:rsidR="003D6E56">
        <w:rPr>
          <w:rFonts w:ascii="Sylfaen" w:hAnsi="Sylfaen"/>
          <w:sz w:val="24"/>
          <w:szCs w:val="24"/>
          <w:lang w:val="ka-GE"/>
        </w:rPr>
        <w:t>ი®</w:t>
      </w:r>
      <w:r w:rsidRPr="003437B4">
        <w:rPr>
          <w:rFonts w:ascii="Sylfaen" w:hAnsi="Sylfaen"/>
          <w:sz w:val="24"/>
          <w:szCs w:val="24"/>
          <w:lang w:val="ka-GE"/>
        </w:rPr>
        <w:t xml:space="preserve"> ფორტეს“ გამოყენება უკუნაჩვენებია ბავშვებში (იხ. „უკუჩვენებები“).</w:t>
      </w:r>
    </w:p>
    <w:p w14:paraId="32CBEA64" w14:textId="77777777" w:rsidR="003437B4" w:rsidRPr="003D6E56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3D6E56">
        <w:rPr>
          <w:rFonts w:ascii="Sylfaen" w:hAnsi="Sylfaen"/>
          <w:b/>
          <w:bCs/>
          <w:sz w:val="24"/>
          <w:szCs w:val="24"/>
          <w:lang w:val="ka-GE"/>
        </w:rPr>
        <w:t>გვერდითი მოვლენები</w:t>
      </w:r>
    </w:p>
    <w:p w14:paraId="47E0683E" w14:textId="20F0A4BB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„კავინტონი“ და „კავინტონ</w:t>
      </w:r>
      <w:r w:rsidR="003D6E56">
        <w:rPr>
          <w:rFonts w:ascii="Sylfaen" w:hAnsi="Sylfaen"/>
          <w:sz w:val="24"/>
          <w:szCs w:val="24"/>
          <w:lang w:val="ka-GE"/>
        </w:rPr>
        <w:t>ი</w:t>
      </w:r>
      <w:r w:rsidRPr="003437B4">
        <w:rPr>
          <w:rFonts w:ascii="Sylfaen" w:hAnsi="Sylfaen"/>
          <w:sz w:val="24"/>
          <w:szCs w:val="24"/>
          <w:lang w:val="ka-GE"/>
        </w:rPr>
        <w:t xml:space="preserve"> ფორტე“ ზოგადად უსაფრთხო მედიკამენტებია</w:t>
      </w:r>
      <w:r w:rsidR="003D6E56">
        <w:rPr>
          <w:rFonts w:ascii="Sylfaen" w:hAnsi="Sylfaen"/>
          <w:sz w:val="24"/>
          <w:szCs w:val="24"/>
          <w:lang w:val="ka-GE"/>
        </w:rPr>
        <w:t>,</w:t>
      </w:r>
      <w:r w:rsidRPr="003437B4">
        <w:rPr>
          <w:rFonts w:ascii="Sylfaen" w:hAnsi="Sylfaen"/>
          <w:sz w:val="24"/>
          <w:szCs w:val="24"/>
          <w:lang w:val="ka-GE"/>
        </w:rPr>
        <w:t xml:space="preserve"> ათიათასობით პაციენტის მონაცემების ანალიზის უსაფრთხოების კვლევამ აჩვენა, რომ ყველაზე </w:t>
      </w:r>
      <w:r w:rsidR="003D6E56">
        <w:rPr>
          <w:rFonts w:ascii="Sylfaen" w:hAnsi="Sylfaen"/>
          <w:sz w:val="24"/>
          <w:szCs w:val="24"/>
          <w:lang w:val="ka-GE"/>
        </w:rPr>
        <w:t>ხშირი</w:t>
      </w:r>
      <w:r w:rsidRPr="003437B4">
        <w:rPr>
          <w:rFonts w:ascii="Sylfaen" w:hAnsi="Sylfaen"/>
          <w:sz w:val="24"/>
          <w:szCs w:val="24"/>
          <w:lang w:val="ka-GE"/>
        </w:rPr>
        <w:t xml:space="preserve"> გვერდითი რეაქციებიც კი არ მიეკუთვნება „ხშირი (&gt;1/100)“ კატეგორიას; ანუ ყველაზე </w:t>
      </w:r>
      <w:r w:rsidR="003D6E56">
        <w:rPr>
          <w:rFonts w:ascii="Sylfaen" w:hAnsi="Sylfaen"/>
          <w:sz w:val="24"/>
          <w:szCs w:val="24"/>
          <w:lang w:val="ka-GE"/>
        </w:rPr>
        <w:t>ხშირი</w:t>
      </w:r>
      <w:r w:rsidRPr="003437B4">
        <w:rPr>
          <w:rFonts w:ascii="Sylfaen" w:hAnsi="Sylfaen"/>
          <w:sz w:val="24"/>
          <w:szCs w:val="24"/>
          <w:lang w:val="ka-GE"/>
        </w:rPr>
        <w:t xml:space="preserve"> გვერდითი რეაქციები შემთხვევათა 1%-ზე ნაკლებ შემთხვევაში დაფიქსირდა. ამიტომ, ქვემოთ მოცემულ ცხრილში არ არის მოცემული „ხშირი“ სიხშირის კატეგორია. გვერდითი რეაქციები ქვემოთ მოცემულ ცხრილში ჩამოთვლილია სიხშირის მიხედვით MedDRA ტერმინოლოგიის მიხედვით: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326"/>
        <w:gridCol w:w="2205"/>
        <w:gridCol w:w="3261"/>
        <w:gridCol w:w="2404"/>
      </w:tblGrid>
      <w:tr w:rsidR="003437B4" w:rsidRPr="003437B4" w14:paraId="36B32CB4" w14:textId="77777777" w:rsidTr="00A52536">
        <w:tc>
          <w:tcPr>
            <w:tcW w:w="2326" w:type="dxa"/>
          </w:tcPr>
          <w:p w14:paraId="2AC816B9" w14:textId="2E78F0DC" w:rsidR="003437B4" w:rsidRPr="003437B4" w:rsidRDefault="003D6E56" w:rsidP="003D6E56">
            <w:pPr>
              <w:jc w:val="center"/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>სისტემურ</w:t>
            </w:r>
            <w:proofErr w:type="gramEnd"/>
            <w:r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>-ორგანული</w:t>
            </w:r>
            <w:proofErr w:type="spellEnd"/>
            <w:r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>კლასი</w:t>
            </w:r>
            <w:proofErr w:type="spellEnd"/>
            <w:r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 xml:space="preserve"> </w:t>
            </w:r>
            <w:r w:rsidR="003437B4" w:rsidRPr="003437B4"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>(</w:t>
            </w:r>
            <w:proofErr w:type="spellStart"/>
            <w:r w:rsidR="003437B4" w:rsidRPr="003437B4">
              <w:rPr>
                <w:rFonts w:ascii="Sylfaen" w:eastAsia="Calibri" w:hAnsi="Sylfaen" w:cs="Arial"/>
                <w:b/>
                <w:bCs/>
                <w:iCs/>
                <w:sz w:val="24"/>
                <w:szCs w:val="24"/>
                <w:lang w:val="fr-FR"/>
              </w:rPr>
              <w:t>MedDRA</w:t>
            </w:r>
            <w:proofErr w:type="spellEnd"/>
            <w:r w:rsidR="003437B4" w:rsidRPr="003437B4"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>)</w:t>
            </w:r>
          </w:p>
        </w:tc>
        <w:tc>
          <w:tcPr>
            <w:tcW w:w="2205" w:type="dxa"/>
          </w:tcPr>
          <w:p w14:paraId="591C8E46" w14:textId="0DD57EEE" w:rsidR="003437B4" w:rsidRPr="003437B4" w:rsidRDefault="003D6E56" w:rsidP="003D6E56">
            <w:pPr>
              <w:jc w:val="center"/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>არახშირი</w:t>
            </w:r>
            <w:proofErr w:type="spellEnd"/>
            <w:proofErr w:type="gramEnd"/>
          </w:p>
          <w:p w14:paraId="378AEFD1" w14:textId="77777777" w:rsidR="003437B4" w:rsidRPr="003437B4" w:rsidRDefault="003437B4" w:rsidP="003D6E56">
            <w:pPr>
              <w:jc w:val="center"/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</w:pPr>
            <w:r w:rsidRPr="003437B4"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>(</w:t>
            </w:r>
            <w:r w:rsidRPr="003437B4"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u w:val="single"/>
                <w:lang w:val="fr-FR"/>
              </w:rPr>
              <w:t>&gt;</w:t>
            </w:r>
            <w:r w:rsidRPr="003437B4"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>1/1000 - &lt;1/100)</w:t>
            </w:r>
          </w:p>
        </w:tc>
        <w:tc>
          <w:tcPr>
            <w:tcW w:w="3261" w:type="dxa"/>
          </w:tcPr>
          <w:p w14:paraId="681EFD57" w14:textId="639710EB" w:rsidR="003437B4" w:rsidRPr="003437B4" w:rsidRDefault="003D6E56" w:rsidP="003D6E56">
            <w:pPr>
              <w:jc w:val="center"/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>იშვიათი</w:t>
            </w:r>
            <w:proofErr w:type="spellEnd"/>
            <w:proofErr w:type="gramEnd"/>
          </w:p>
          <w:p w14:paraId="07E9D956" w14:textId="77777777" w:rsidR="003437B4" w:rsidRPr="003437B4" w:rsidRDefault="003437B4" w:rsidP="003D6E56">
            <w:pPr>
              <w:jc w:val="center"/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</w:pPr>
            <w:r w:rsidRPr="003437B4"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>(</w:t>
            </w:r>
            <w:r w:rsidRPr="003437B4"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u w:val="single"/>
                <w:lang w:val="fr-FR"/>
              </w:rPr>
              <w:t>&gt;</w:t>
            </w:r>
            <w:r w:rsidRPr="003437B4"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>1/10 000 - &lt;1/1000)</w:t>
            </w:r>
          </w:p>
        </w:tc>
        <w:tc>
          <w:tcPr>
            <w:tcW w:w="2404" w:type="dxa"/>
          </w:tcPr>
          <w:p w14:paraId="31436CD8" w14:textId="300E834B" w:rsidR="003437B4" w:rsidRPr="003437B4" w:rsidRDefault="003D6E56" w:rsidP="003D6E56">
            <w:pPr>
              <w:jc w:val="center"/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>ძალიან</w:t>
            </w:r>
            <w:proofErr w:type="spellEnd"/>
            <w:proofErr w:type="gramEnd"/>
            <w:r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>იშვიათი</w:t>
            </w:r>
            <w:proofErr w:type="spellEnd"/>
          </w:p>
          <w:p w14:paraId="02B36194" w14:textId="77777777" w:rsidR="003437B4" w:rsidRPr="003437B4" w:rsidRDefault="003437B4" w:rsidP="003D6E56">
            <w:pPr>
              <w:jc w:val="center"/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</w:pPr>
            <w:r w:rsidRPr="003437B4">
              <w:rPr>
                <w:rFonts w:ascii="Sylfaen" w:eastAsia="Calibri" w:hAnsi="Sylfaen" w:cs="Times New Roman"/>
                <w:b/>
                <w:bCs/>
                <w:iCs/>
                <w:sz w:val="24"/>
                <w:szCs w:val="24"/>
                <w:lang w:val="fr-FR"/>
              </w:rPr>
              <w:t>(&lt;1/10 000)</w:t>
            </w:r>
          </w:p>
        </w:tc>
      </w:tr>
      <w:tr w:rsidR="003437B4" w:rsidRPr="003437B4" w14:paraId="136A64EE" w14:textId="77777777" w:rsidTr="00A52536">
        <w:tc>
          <w:tcPr>
            <w:tcW w:w="2326" w:type="dxa"/>
          </w:tcPr>
          <w:p w14:paraId="12C6C93E" w14:textId="73FACB41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დარღვევები</w:t>
            </w:r>
            <w:proofErr w:type="spellEnd"/>
            <w:r w:rsidRPr="000432B6">
              <w:rPr>
                <w:rFonts w:ascii="Sylfaen" w:eastAsia="Calibri" w:hAnsi="Sylfaen" w:cs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სისსხლისა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 და ლიმფური სისტემის მხრივ</w:t>
            </w:r>
            <w:r w:rsidRPr="000432B6">
              <w:rPr>
                <w:rFonts w:ascii="Sylfaen" w:eastAsia="Calibri" w:hAnsi="Sylfaen" w:cs="Times New Roman"/>
                <w:iCs/>
                <w:sz w:val="24"/>
                <w:szCs w:val="24"/>
              </w:rPr>
              <w:br/>
            </w:r>
          </w:p>
        </w:tc>
        <w:tc>
          <w:tcPr>
            <w:tcW w:w="2205" w:type="dxa"/>
          </w:tcPr>
          <w:p w14:paraId="6F22FD74" w14:textId="77777777" w:rsidR="003437B4" w:rsidRPr="000432B6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2C62323E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ლეიკოპენია</w:t>
            </w:r>
          </w:p>
          <w:p w14:paraId="4E2E4BF7" w14:textId="36498001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თრომბოციტოპენია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404" w:type="dxa"/>
          </w:tcPr>
          <w:p w14:paraId="61251B98" w14:textId="20D8947C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ანემია</w:t>
            </w:r>
          </w:p>
          <w:p w14:paraId="67A08064" w14:textId="2D215D08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ერითროციტების აგლუტინაცია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 </w:t>
            </w:r>
          </w:p>
        </w:tc>
      </w:tr>
      <w:tr w:rsidR="003437B4" w:rsidRPr="003437B4" w14:paraId="7D8D9F29" w14:textId="77777777" w:rsidTr="00A52536">
        <w:tc>
          <w:tcPr>
            <w:tcW w:w="2326" w:type="dxa"/>
          </w:tcPr>
          <w:p w14:paraId="73AEC7D0" w14:textId="156C6922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დარღვევები იმუნური სისტემის მხრივ</w:t>
            </w:r>
          </w:p>
        </w:tc>
        <w:tc>
          <w:tcPr>
            <w:tcW w:w="2205" w:type="dxa"/>
          </w:tcPr>
          <w:p w14:paraId="13347019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5DBD3A89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  <w:tc>
          <w:tcPr>
            <w:tcW w:w="2404" w:type="dxa"/>
          </w:tcPr>
          <w:p w14:paraId="3F7B703D" w14:textId="7C97CF5A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ჰიპერმგრძნობელობ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ის რეაქცია</w:t>
            </w:r>
          </w:p>
        </w:tc>
      </w:tr>
      <w:tr w:rsidR="003437B4" w:rsidRPr="003437B4" w14:paraId="5121B4A1" w14:textId="77777777" w:rsidTr="00A52536">
        <w:tc>
          <w:tcPr>
            <w:tcW w:w="2326" w:type="dxa"/>
          </w:tcPr>
          <w:p w14:paraId="3D1FE147" w14:textId="512D2EA6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მეტაბოლიზმისა და კვების დარღვევები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205" w:type="dxa"/>
          </w:tcPr>
          <w:p w14:paraId="0B124487" w14:textId="09AE5495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ჰიპერქოლესტერინემია</w:t>
            </w:r>
          </w:p>
        </w:tc>
        <w:tc>
          <w:tcPr>
            <w:tcW w:w="3261" w:type="dxa"/>
          </w:tcPr>
          <w:p w14:paraId="56DB9974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მადის დაქვეითება</w:t>
            </w:r>
          </w:p>
          <w:p w14:paraId="419AC9A3" w14:textId="7209AC5D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ანორექსია</w:t>
            </w:r>
          </w:p>
          <w:p w14:paraId="6A364B87" w14:textId="21849592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შაქრიანი დიაბეტი</w:t>
            </w:r>
          </w:p>
        </w:tc>
        <w:tc>
          <w:tcPr>
            <w:tcW w:w="2404" w:type="dxa"/>
          </w:tcPr>
          <w:p w14:paraId="3FFC67AA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</w:tr>
      <w:tr w:rsidR="003437B4" w:rsidRPr="003437B4" w14:paraId="7D48C16D" w14:textId="77777777" w:rsidTr="00A52536">
        <w:tc>
          <w:tcPr>
            <w:tcW w:w="2326" w:type="dxa"/>
          </w:tcPr>
          <w:p w14:paraId="151B7675" w14:textId="20657BB2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ფსიქიური დარღვევები</w:t>
            </w:r>
          </w:p>
        </w:tc>
        <w:tc>
          <w:tcPr>
            <w:tcW w:w="2205" w:type="dxa"/>
          </w:tcPr>
          <w:p w14:paraId="599C248B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5632D19F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უძილობა</w:t>
            </w:r>
          </w:p>
          <w:p w14:paraId="76A09487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lastRenderedPageBreak/>
              <w:t>ძილის დარღვევა</w:t>
            </w:r>
          </w:p>
          <w:p w14:paraId="096F0219" w14:textId="2C48C430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მოუსვენრობა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404" w:type="dxa"/>
          </w:tcPr>
          <w:p w14:paraId="02B020B9" w14:textId="31C156C3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lastRenderedPageBreak/>
              <w:t>ეიფორული მდგომარეობა</w:t>
            </w:r>
          </w:p>
          <w:p w14:paraId="39E4100E" w14:textId="1F3B8D35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lastRenderedPageBreak/>
              <w:t>დეპრესია</w:t>
            </w:r>
          </w:p>
        </w:tc>
      </w:tr>
      <w:tr w:rsidR="003437B4" w:rsidRPr="003437B4" w14:paraId="6991BB49" w14:textId="77777777" w:rsidTr="00A52536">
        <w:tc>
          <w:tcPr>
            <w:tcW w:w="2326" w:type="dxa"/>
          </w:tcPr>
          <w:p w14:paraId="6B31695B" w14:textId="3156CC4B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lastRenderedPageBreak/>
              <w:t>დარღვევები ნერვული სისტემის მხრივ</w:t>
            </w:r>
          </w:p>
        </w:tc>
        <w:tc>
          <w:tcPr>
            <w:tcW w:w="2205" w:type="dxa"/>
          </w:tcPr>
          <w:p w14:paraId="61A3C483" w14:textId="51871275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თავის ტკივილი</w:t>
            </w:r>
          </w:p>
        </w:tc>
        <w:tc>
          <w:tcPr>
            <w:tcW w:w="3261" w:type="dxa"/>
          </w:tcPr>
          <w:p w14:paraId="62B6CA8D" w14:textId="68BD812A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თავბრუსხვევა</w:t>
            </w:r>
          </w:p>
          <w:p w14:paraId="198571D2" w14:textId="347CF256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გემოს დარღვევა</w:t>
            </w:r>
          </w:p>
          <w:p w14:paraId="2F6C3CAA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სტუპორი</w:t>
            </w:r>
          </w:p>
          <w:p w14:paraId="66600226" w14:textId="2F068980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ჰემიპარეზი</w:t>
            </w:r>
          </w:p>
          <w:p w14:paraId="0C3F5515" w14:textId="05A6C645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ძილიანობა</w:t>
            </w:r>
          </w:p>
          <w:p w14:paraId="74AFC1F8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ამნეზია</w:t>
            </w:r>
          </w:p>
        </w:tc>
        <w:tc>
          <w:tcPr>
            <w:tcW w:w="2404" w:type="dxa"/>
          </w:tcPr>
          <w:p w14:paraId="15B141E7" w14:textId="7F85A574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ტრემორი</w:t>
            </w:r>
          </w:p>
          <w:p w14:paraId="4C3A09AB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კრუნჩხვები</w:t>
            </w:r>
          </w:p>
        </w:tc>
      </w:tr>
      <w:tr w:rsidR="003437B4" w:rsidRPr="003437B4" w14:paraId="031EF88F" w14:textId="77777777" w:rsidTr="00A52536">
        <w:tc>
          <w:tcPr>
            <w:tcW w:w="2326" w:type="dxa"/>
          </w:tcPr>
          <w:p w14:paraId="16CADB61" w14:textId="5EE5D6DD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დარღვევები მხედველობის ორგანოს მხრივ</w:t>
            </w:r>
          </w:p>
        </w:tc>
        <w:tc>
          <w:tcPr>
            <w:tcW w:w="2205" w:type="dxa"/>
          </w:tcPr>
          <w:p w14:paraId="7F4ED560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191CF688" w14:textId="0E40EF8A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GB"/>
              </w:rPr>
              <w:t>მხედველობის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GB"/>
              </w:rPr>
              <w:t>ნერვის</w:t>
            </w:r>
            <w:proofErr w:type="spellEnd"/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en-GB"/>
              </w:rPr>
              <w:t xml:space="preserve"> 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დვრილის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GB"/>
              </w:rPr>
              <w:t>შეშუპება</w:t>
            </w:r>
            <w:proofErr w:type="spellEnd"/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404" w:type="dxa"/>
          </w:tcPr>
          <w:p w14:paraId="072A7835" w14:textId="660CF502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GB"/>
              </w:rPr>
              <w:t>კონიუნქტივის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GB"/>
              </w:rPr>
              <w:t>ჰიპერემია</w:t>
            </w:r>
            <w:proofErr w:type="spellEnd"/>
          </w:p>
          <w:p w14:paraId="03523098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</w:p>
        </w:tc>
      </w:tr>
      <w:tr w:rsidR="003437B4" w:rsidRPr="003437B4" w14:paraId="2C180292" w14:textId="77777777" w:rsidTr="00A52536">
        <w:tc>
          <w:tcPr>
            <w:tcW w:w="2326" w:type="dxa"/>
          </w:tcPr>
          <w:p w14:paraId="56324869" w14:textId="30CF11FE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დარღვევები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სმენის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ორგანოსა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და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ლაბირინთის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მხრივ</w:t>
            </w:r>
            <w:proofErr w:type="spellEnd"/>
          </w:p>
        </w:tc>
        <w:tc>
          <w:tcPr>
            <w:tcW w:w="2205" w:type="dxa"/>
          </w:tcPr>
          <w:p w14:paraId="6210D967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ვერტიგო</w:t>
            </w:r>
          </w:p>
        </w:tc>
        <w:tc>
          <w:tcPr>
            <w:tcW w:w="3261" w:type="dxa"/>
          </w:tcPr>
          <w:p w14:paraId="3B7120E1" w14:textId="41802451" w:rsid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ჰიპერაკუზია</w:t>
            </w:r>
          </w:p>
          <w:p w14:paraId="0C341787" w14:textId="664D716D" w:rsid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ჰიპოაკუზია</w:t>
            </w:r>
          </w:p>
          <w:p w14:paraId="75DA82DD" w14:textId="0DFFA53B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შუილი ყურებში</w:t>
            </w:r>
          </w:p>
        </w:tc>
        <w:tc>
          <w:tcPr>
            <w:tcW w:w="2404" w:type="dxa"/>
          </w:tcPr>
          <w:p w14:paraId="5ADB59FC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</w:tr>
      <w:tr w:rsidR="003437B4" w:rsidRPr="003437B4" w14:paraId="5387794E" w14:textId="77777777" w:rsidTr="00A52536">
        <w:tc>
          <w:tcPr>
            <w:tcW w:w="2326" w:type="dxa"/>
          </w:tcPr>
          <w:p w14:paraId="302775B4" w14:textId="3745AE08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დარღვევები გულის მხრივ</w:t>
            </w:r>
          </w:p>
        </w:tc>
        <w:tc>
          <w:tcPr>
            <w:tcW w:w="2205" w:type="dxa"/>
          </w:tcPr>
          <w:p w14:paraId="74DB4BFC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1BFEFB55" w14:textId="23786B8B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იშემია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მიუკარდიუმი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ინფარქტი</w:t>
            </w:r>
            <w:proofErr w:type="spellEnd"/>
          </w:p>
          <w:p w14:paraId="1FFCBE3A" w14:textId="0C587309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სტენოკარდია</w:t>
            </w:r>
            <w:proofErr w:type="spellEnd"/>
          </w:p>
          <w:p w14:paraId="3E1A8273" w14:textId="42292ABB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ბრადიკარდია</w:t>
            </w:r>
            <w:proofErr w:type="spellEnd"/>
          </w:p>
          <w:p w14:paraId="1A0B4547" w14:textId="666A00E3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ტაქიკარდია</w:t>
            </w:r>
            <w:proofErr w:type="spellEnd"/>
          </w:p>
          <w:p w14:paraId="3D6D83EB" w14:textId="07485C74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ექსტრასისტოლია </w:t>
            </w:r>
          </w:p>
          <w:p w14:paraId="2D6AA105" w14:textId="5B03EAB2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გულისცემის 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შეგრძნება</w:t>
            </w:r>
          </w:p>
        </w:tc>
        <w:tc>
          <w:tcPr>
            <w:tcW w:w="2404" w:type="dxa"/>
          </w:tcPr>
          <w:p w14:paraId="6EAFFDB4" w14:textId="0832FA8A" w:rsid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არითმია</w:t>
            </w:r>
          </w:p>
          <w:p w14:paraId="0245C4BA" w14:textId="0430E472" w:rsidR="000432B6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წინაგულების ფიბრილაცია</w:t>
            </w:r>
          </w:p>
          <w:p w14:paraId="7C90A143" w14:textId="5DC26805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</w:tr>
      <w:tr w:rsidR="003437B4" w:rsidRPr="003437B4" w14:paraId="0FE9BBB0" w14:textId="77777777" w:rsidTr="00A52536">
        <w:tc>
          <w:tcPr>
            <w:tcW w:w="2326" w:type="dxa"/>
          </w:tcPr>
          <w:p w14:paraId="0F4589D1" w14:textId="0EDE092C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დარღვევები სისხლძარღვების მხრივ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205" w:type="dxa"/>
          </w:tcPr>
          <w:p w14:paraId="79C4E0A7" w14:textId="4839E9CA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არტერიული წნევის შემცირება</w:t>
            </w:r>
          </w:p>
          <w:p w14:paraId="10EB5CAF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304F5C59" w14:textId="33D40D05" w:rsid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არტერიული წნევის მომატება</w:t>
            </w:r>
          </w:p>
          <w:p w14:paraId="6473D941" w14:textId="2FBED0BB" w:rsidR="000432B6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„სისხლის მოწოლა“</w:t>
            </w:r>
          </w:p>
          <w:p w14:paraId="7EAD4444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თრომბოფლებიტი</w:t>
            </w:r>
          </w:p>
          <w:p w14:paraId="5820E9D9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  <w:tc>
          <w:tcPr>
            <w:tcW w:w="2404" w:type="dxa"/>
          </w:tcPr>
          <w:p w14:paraId="01B8217F" w14:textId="3112B41F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lastRenderedPageBreak/>
              <w:t>არტერიული წნევის ლაბილობა</w:t>
            </w:r>
          </w:p>
        </w:tc>
      </w:tr>
      <w:tr w:rsidR="003437B4" w:rsidRPr="003437B4" w14:paraId="617C0927" w14:textId="77777777" w:rsidTr="00A52536">
        <w:tc>
          <w:tcPr>
            <w:tcW w:w="2326" w:type="dxa"/>
          </w:tcPr>
          <w:p w14:paraId="14D20B69" w14:textId="233A689B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დარღვევები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კუჭ-ნაწლავის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ტრაქტის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en-US"/>
              </w:rPr>
              <w:t>მხრივ</w:t>
            </w:r>
            <w:proofErr w:type="spellEnd"/>
          </w:p>
        </w:tc>
        <w:tc>
          <w:tcPr>
            <w:tcW w:w="2205" w:type="dxa"/>
          </w:tcPr>
          <w:p w14:paraId="590C75AA" w14:textId="2F966B3D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proofErr w:type="spellStart"/>
            <w:proofErr w:type="gram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fr-FR"/>
              </w:rPr>
              <w:t>დისკომფორტი</w:t>
            </w:r>
            <w:proofErr w:type="spellEnd"/>
            <w:proofErr w:type="gramEnd"/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 მუცლის არეში</w:t>
            </w:r>
          </w:p>
          <w:p w14:paraId="4E0ACF47" w14:textId="311EB2F1" w:rsidR="003437B4" w:rsidRPr="003437B4" w:rsidRDefault="000432B6" w:rsidP="000432B6">
            <w:pPr>
              <w:tabs>
                <w:tab w:val="left" w:pos="640"/>
              </w:tabs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fr-FR"/>
              </w:rPr>
              <w:t>პირის</w:t>
            </w:r>
            <w:proofErr w:type="spellEnd"/>
            <w:proofErr w:type="gram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fr-FR"/>
              </w:rPr>
              <w:t>ღრუს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fr-FR"/>
              </w:rPr>
              <w:t>ლორწოვანი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fr-FR"/>
              </w:rPr>
              <w:t>გარსის</w:t>
            </w:r>
            <w:proofErr w:type="spellEnd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fr-FR"/>
              </w:rPr>
              <w:t>სიმშრალე</w:t>
            </w:r>
            <w:proofErr w:type="spellEnd"/>
          </w:p>
          <w:p w14:paraId="0FBEAC70" w14:textId="6B9DBA31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proofErr w:type="spellStart"/>
            <w:proofErr w:type="gramStart"/>
            <w:r>
              <w:rPr>
                <w:rFonts w:ascii="Sylfaen" w:eastAsia="Calibri" w:hAnsi="Sylfaen" w:cs="Times New Roman"/>
                <w:iCs/>
                <w:sz w:val="24"/>
                <w:szCs w:val="24"/>
                <w:lang w:val="fr-FR"/>
              </w:rPr>
              <w:t>გულისრევა</w:t>
            </w:r>
            <w:proofErr w:type="spellEnd"/>
            <w:proofErr w:type="gramEnd"/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3261" w:type="dxa"/>
          </w:tcPr>
          <w:p w14:paraId="20EA0FC5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ტკივილი ეპიგასტრიაში</w:t>
            </w:r>
          </w:p>
          <w:p w14:paraId="4E6BAC31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შეკრულობა</w:t>
            </w:r>
          </w:p>
          <w:p w14:paraId="13B9B36A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დიარეა</w:t>
            </w:r>
          </w:p>
          <w:p w14:paraId="5624944A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დისპეფსია</w:t>
            </w:r>
          </w:p>
          <w:p w14:paraId="5459D038" w14:textId="57550305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ღებინება</w:t>
            </w:r>
          </w:p>
        </w:tc>
        <w:tc>
          <w:tcPr>
            <w:tcW w:w="2404" w:type="dxa"/>
          </w:tcPr>
          <w:p w14:paraId="1495DF6B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დისფაგია</w:t>
            </w:r>
          </w:p>
          <w:p w14:paraId="54A8D500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სტომატიტი</w:t>
            </w:r>
          </w:p>
          <w:p w14:paraId="6C0045A0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</w:tr>
      <w:tr w:rsidR="003437B4" w:rsidRPr="003437B4" w14:paraId="3870F3CD" w14:textId="77777777" w:rsidTr="00A52536">
        <w:tc>
          <w:tcPr>
            <w:tcW w:w="2326" w:type="dxa"/>
          </w:tcPr>
          <w:p w14:paraId="6E780B16" w14:textId="5FDBB105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დარღვევები </w:t>
            </w:r>
            <w:r w:rsidR="000432B6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კანისა და კანქვეშა ქსოვილების </w:t>
            </w: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 მხრივ</w:t>
            </w: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205" w:type="dxa"/>
          </w:tcPr>
          <w:p w14:paraId="0E4E36BE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6996D24A" w14:textId="4AE1D0FF" w:rsid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ერითემა</w:t>
            </w:r>
          </w:p>
          <w:p w14:paraId="42867E64" w14:textId="672E85A6" w:rsidR="000432B6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მომატებული ოფლიანობა</w:t>
            </w:r>
          </w:p>
          <w:p w14:paraId="72D51000" w14:textId="291FF059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კ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ანის ქავილი </w:t>
            </w:r>
          </w:p>
          <w:p w14:paraId="72D3C52F" w14:textId="6F88D640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ჭინჭრის ცხელება</w:t>
            </w:r>
          </w:p>
          <w:p w14:paraId="41409F93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გამონაყარი</w:t>
            </w:r>
          </w:p>
        </w:tc>
        <w:tc>
          <w:tcPr>
            <w:tcW w:w="2404" w:type="dxa"/>
          </w:tcPr>
          <w:p w14:paraId="67369BD9" w14:textId="5FBD71E4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დერმატიტი</w:t>
            </w:r>
          </w:p>
          <w:p w14:paraId="3505BEAE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</w:tr>
      <w:tr w:rsidR="003437B4" w:rsidRPr="003437B4" w14:paraId="65463C97" w14:textId="77777777" w:rsidTr="00A52536">
        <w:tc>
          <w:tcPr>
            <w:tcW w:w="2326" w:type="dxa"/>
          </w:tcPr>
          <w:p w14:paraId="6045CA19" w14:textId="02053D5E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ზოგადი დარღვევები და 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</w:rPr>
              <w:t xml:space="preserve"> 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რეაქციები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</w:rPr>
              <w:t xml:space="preserve"> 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პრეპარატის </w:t>
            </w: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შეყვანის ადგილას</w:t>
            </w:r>
          </w:p>
        </w:tc>
        <w:tc>
          <w:tcPr>
            <w:tcW w:w="2205" w:type="dxa"/>
          </w:tcPr>
          <w:p w14:paraId="70671DFC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3EF644E2" w14:textId="2EC4D4AB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ასთენია</w:t>
            </w:r>
          </w:p>
          <w:p w14:paraId="08BD6128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შეუძლოდ ყოფნა</w:t>
            </w: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</w:rPr>
              <w:t xml:space="preserve"> </w:t>
            </w:r>
          </w:p>
          <w:p w14:paraId="6444E0D8" w14:textId="5BEC61E7" w:rsidR="003437B4" w:rsidRPr="000432B6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სიცხის შეგრძნება</w:t>
            </w:r>
          </w:p>
        </w:tc>
        <w:tc>
          <w:tcPr>
            <w:tcW w:w="2404" w:type="dxa"/>
          </w:tcPr>
          <w:p w14:paraId="4172A9D7" w14:textId="30DDBAFD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დისკომფორტი გულმკერდის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</w:rPr>
              <w:t xml:space="preserve"> 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არეში</w:t>
            </w:r>
          </w:p>
          <w:p w14:paraId="66EA821B" w14:textId="7FEE6D9F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სხეულის ტემპერატურის დაწევა</w:t>
            </w:r>
          </w:p>
          <w:p w14:paraId="4D8E4051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</w:tr>
      <w:tr w:rsidR="003437B4" w:rsidRPr="003437B4" w14:paraId="73626162" w14:textId="77777777" w:rsidTr="00A52536">
        <w:tc>
          <w:tcPr>
            <w:tcW w:w="2326" w:type="dxa"/>
          </w:tcPr>
          <w:p w14:paraId="528F4C8A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ლაბორატორიული და ინსტრუმენტალური გამოკვლევების შედეგები</w:t>
            </w:r>
          </w:p>
        </w:tc>
        <w:tc>
          <w:tcPr>
            <w:tcW w:w="2205" w:type="dxa"/>
          </w:tcPr>
          <w:p w14:paraId="5E78223F" w14:textId="70D786A2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არტერიული წნევის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დ</w:t>
            </w:r>
            <w:r w:rsidR="003437B4"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აქვეითება</w:t>
            </w:r>
          </w:p>
        </w:tc>
        <w:tc>
          <w:tcPr>
            <w:tcW w:w="3261" w:type="dxa"/>
          </w:tcPr>
          <w:p w14:paraId="41C6BC1B" w14:textId="6D3F5105" w:rsidR="003437B4" w:rsidRPr="003437B4" w:rsidRDefault="000432B6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არტერიული წნევის მომატება</w:t>
            </w:r>
          </w:p>
          <w:p w14:paraId="002B1CE6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სისხლში ტრიგლიცერიდების დონის მომატება</w:t>
            </w:r>
          </w:p>
          <w:p w14:paraId="110042CE" w14:textId="30631C73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Arial"/>
                <w:iCs/>
                <w:sz w:val="24"/>
                <w:szCs w:val="24"/>
                <w:lang w:val="ka-GE"/>
              </w:rPr>
              <w:t>ST</w:t>
            </w: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 </w:t>
            </w:r>
            <w:r w:rsidR="000432B6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სეგმენტის დეპრესია ელექტროკარდიოგრამაზე</w:t>
            </w:r>
          </w:p>
          <w:p w14:paraId="520F827F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ეოზინოფილების რაოდენობის შემცირება/მომატება</w:t>
            </w:r>
          </w:p>
          <w:p w14:paraId="380E2A0B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lastRenderedPageBreak/>
              <w:t>„ღვიძლისმიერი“ ფერმენტების აქტივობის ცვლილება</w:t>
            </w:r>
          </w:p>
        </w:tc>
        <w:tc>
          <w:tcPr>
            <w:tcW w:w="2404" w:type="dxa"/>
          </w:tcPr>
          <w:p w14:paraId="126FC73C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lastRenderedPageBreak/>
              <w:t>ლეიკოციტების რაოდენობის მომატება/შემცირება</w:t>
            </w:r>
          </w:p>
          <w:p w14:paraId="653AF71A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ერითროციტების რაოდენობის შემცირება</w:t>
            </w:r>
          </w:p>
          <w:p w14:paraId="22268407" w14:textId="09C96672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თრომბინი</w:t>
            </w:r>
            <w:r w:rsidR="000432B6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>ს</w:t>
            </w: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t xml:space="preserve"> დროის შემოკლება</w:t>
            </w:r>
          </w:p>
          <w:p w14:paraId="3AA3C361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</w:pPr>
            <w:r w:rsidRPr="003437B4">
              <w:rPr>
                <w:rFonts w:ascii="Sylfaen" w:eastAsia="Calibri" w:hAnsi="Sylfaen" w:cs="Times New Roman"/>
                <w:iCs/>
                <w:sz w:val="24"/>
                <w:szCs w:val="24"/>
                <w:lang w:val="ka-GE"/>
              </w:rPr>
              <w:lastRenderedPageBreak/>
              <w:t>სხეულის მასის მომატება</w:t>
            </w:r>
          </w:p>
          <w:p w14:paraId="378B3AFA" w14:textId="77777777" w:rsidR="003437B4" w:rsidRPr="003437B4" w:rsidRDefault="003437B4" w:rsidP="003437B4">
            <w:pPr>
              <w:jc w:val="both"/>
              <w:rPr>
                <w:rFonts w:ascii="Sylfaen" w:eastAsia="Calibri" w:hAnsi="Sylfaen" w:cs="Times New Roman"/>
                <w:iCs/>
                <w:sz w:val="24"/>
                <w:szCs w:val="24"/>
              </w:rPr>
            </w:pPr>
          </w:p>
        </w:tc>
      </w:tr>
    </w:tbl>
    <w:p w14:paraId="203EE144" w14:textId="77777777" w:rsidR="003437B4" w:rsidRPr="003437B4" w:rsidRDefault="003437B4" w:rsidP="003437B4">
      <w:pPr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13AD91A" w14:textId="59F1E100" w:rsidR="003437B4" w:rsidRPr="00EA6463" w:rsidRDefault="003437B4" w:rsidP="003437B4">
      <w:pPr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A6463">
        <w:rPr>
          <w:rFonts w:ascii="Sylfaen" w:hAnsi="Sylfaen"/>
          <w:sz w:val="24"/>
          <w:szCs w:val="24"/>
          <w:u w:val="single"/>
          <w:lang w:val="ka-GE"/>
        </w:rPr>
        <w:t>შეტყობინებები საეჭვო გვერდითი შესახებ რეაქციების</w:t>
      </w:r>
    </w:p>
    <w:p w14:paraId="59A7A3B8" w14:textId="1EFF1AA6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სამკურნალო პროდუქტის ავტორიზაციის შემდეგ საეჭვო გვერდითი რეაქციების შესახებ შეტყობინება მნიშვნელოვანია. ეს სამკურნალო პროდუქტის სარგებლისა და რისკის ბალანსის მუდმივი მონიტორინგის</w:t>
      </w:r>
      <w:r w:rsidR="00EA6463">
        <w:rPr>
          <w:rFonts w:ascii="Sylfaen" w:hAnsi="Sylfaen"/>
          <w:sz w:val="24"/>
          <w:szCs w:val="24"/>
          <w:lang w:val="ka-GE"/>
        </w:rPr>
        <w:t xml:space="preserve"> </w:t>
      </w:r>
      <w:r w:rsidR="00EA6463" w:rsidRPr="003437B4">
        <w:rPr>
          <w:rFonts w:ascii="Sylfaen" w:hAnsi="Sylfaen"/>
          <w:sz w:val="24"/>
          <w:szCs w:val="24"/>
          <w:lang w:val="ka-GE"/>
        </w:rPr>
        <w:t>საშუალებას იძლევა</w:t>
      </w:r>
      <w:r w:rsidRPr="003437B4">
        <w:rPr>
          <w:rFonts w:ascii="Sylfaen" w:hAnsi="Sylfaen"/>
          <w:sz w:val="24"/>
          <w:szCs w:val="24"/>
          <w:lang w:val="ka-GE"/>
        </w:rPr>
        <w:t>. ჯანდაცვის სპეციალისტებს მოეთხოვებათ, რომ ნებისმიერი საეჭვო გვერდითი რეაქცია ეროვნული ანგარიშგების სისტემის მეშვეობით შეატყობინონ.</w:t>
      </w:r>
    </w:p>
    <w:p w14:paraId="0F40AB8E" w14:textId="7E825C5A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თუ ინსტრუქციაში ჩამოთვლილი რომელიმე გვერდითი მოვლენა გაუარესდება, ან შეამჩნევთ სხვა გვერდით მოვლენებს, რომლებიც არ არის ჩამოთვლილი ინსტრუქციაში, გთხოვთ, აცნობოთ </w:t>
      </w:r>
      <w:r w:rsidR="00EA6463">
        <w:rPr>
          <w:rFonts w:ascii="Sylfaen" w:hAnsi="Sylfaen"/>
          <w:sz w:val="24"/>
          <w:szCs w:val="24"/>
          <w:lang w:val="ka-GE"/>
        </w:rPr>
        <w:t xml:space="preserve">მკურნალ </w:t>
      </w:r>
      <w:r w:rsidRPr="003437B4">
        <w:rPr>
          <w:rFonts w:ascii="Sylfaen" w:hAnsi="Sylfaen"/>
          <w:sz w:val="24"/>
          <w:szCs w:val="24"/>
          <w:lang w:val="ka-GE"/>
        </w:rPr>
        <w:t>ექიმს.</w:t>
      </w:r>
    </w:p>
    <w:p w14:paraId="3F0214AB" w14:textId="77777777" w:rsidR="003437B4" w:rsidRPr="00EA6463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A6463">
        <w:rPr>
          <w:rFonts w:ascii="Sylfaen" w:hAnsi="Sylfaen"/>
          <w:b/>
          <w:bCs/>
          <w:sz w:val="24"/>
          <w:szCs w:val="24"/>
          <w:lang w:val="ka-GE"/>
        </w:rPr>
        <w:t>ჭარბი დოზირება</w:t>
      </w:r>
    </w:p>
    <w:p w14:paraId="47B4388F" w14:textId="77777777" w:rsidR="00EA6463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დოზის გადაჭარბების შემთხვევები</w:t>
      </w:r>
      <w:r w:rsidR="00EA6463">
        <w:rPr>
          <w:rFonts w:ascii="Sylfaen" w:hAnsi="Sylfaen"/>
          <w:sz w:val="24"/>
          <w:szCs w:val="24"/>
          <w:lang w:val="ka-GE"/>
        </w:rPr>
        <w:t>ს შესახებ შეტყობინებები</w:t>
      </w:r>
      <w:r w:rsidRPr="003437B4">
        <w:rPr>
          <w:rFonts w:ascii="Sylfaen" w:hAnsi="Sylfaen"/>
          <w:sz w:val="24"/>
          <w:szCs w:val="24"/>
          <w:lang w:val="ka-GE"/>
        </w:rPr>
        <w:t xml:space="preserve"> არ დაფიქსირებულა. ლიტერატურ</w:t>
      </w:r>
      <w:r w:rsidR="00EA6463">
        <w:rPr>
          <w:rFonts w:ascii="Sylfaen" w:hAnsi="Sylfaen"/>
          <w:sz w:val="24"/>
          <w:szCs w:val="24"/>
          <w:lang w:val="ka-GE"/>
        </w:rPr>
        <w:t>ული მონაცემების</w:t>
      </w:r>
      <w:r w:rsidRPr="003437B4">
        <w:rPr>
          <w:rFonts w:ascii="Sylfaen" w:hAnsi="Sylfaen"/>
          <w:sz w:val="24"/>
          <w:szCs w:val="24"/>
          <w:lang w:val="ka-GE"/>
        </w:rPr>
        <w:t xml:space="preserve"> მიხედვით, ვინპოცეტინის ხანგრძლივი გამოყენება დღეში 60 მგ დოზით უსაფრთხოა. ვინპოცეტინის 360 მგ ერთჯერადი პერორალური დოზაც კი არ იწვევდა რაიმე კლინიკურად მნიშვნელოვან გულ-სისხლძარღვთა ან სხვა გვერდით მოვლენებს. </w:t>
      </w:r>
    </w:p>
    <w:p w14:paraId="4DDFB2CC" w14:textId="0FE78F67" w:rsidR="003437B4" w:rsidRPr="00EA6463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A6463">
        <w:rPr>
          <w:rFonts w:ascii="Sylfaen" w:hAnsi="Sylfaen"/>
          <w:b/>
          <w:bCs/>
          <w:sz w:val="24"/>
          <w:szCs w:val="24"/>
          <w:lang w:val="ka-GE"/>
        </w:rPr>
        <w:t>ურთიერთქმედება</w:t>
      </w:r>
      <w:r w:rsidR="00EA6463" w:rsidRPr="00EA6463">
        <w:rPr>
          <w:rFonts w:ascii="Sylfaen" w:hAnsi="Sylfaen"/>
          <w:b/>
          <w:bCs/>
          <w:sz w:val="24"/>
          <w:szCs w:val="24"/>
          <w:lang w:val="ka-GE"/>
        </w:rPr>
        <w:t xml:space="preserve"> სხვა სამკურნალო საშუალებებთან</w:t>
      </w:r>
    </w:p>
    <w:p w14:paraId="19DB0B50" w14:textId="37AF3E5E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კლინიკურ კვლევებში ვინპოცეტინისა და ბეტა-ბლოკატორების (როგორიცაა ქლორანოლოლი და პინდოლოლი), კლოპამიდის, გლიბენკლამიდის, დიგოქსინის, აცენოკუმაროლის ან ჰიდროქლოროთიაზიდის ერთდროული გამოყენებისას ურთიერთქმედება არ დაფიქსირებულა. </w:t>
      </w:r>
    </w:p>
    <w:p w14:paraId="034DAF51" w14:textId="2053A886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იშვიათ შემთხვევებში, ალფა-მეთილდოპასა და ვინპოცეტინის ერთდროული გამოყენებისას აღინიშნა </w:t>
      </w:r>
      <w:r w:rsidR="00EA6463">
        <w:rPr>
          <w:rFonts w:ascii="Sylfaen" w:hAnsi="Sylfaen"/>
          <w:sz w:val="24"/>
          <w:szCs w:val="24"/>
          <w:lang w:val="ka-GE"/>
        </w:rPr>
        <w:t>უმნიშვნელო დამატებითი</w:t>
      </w:r>
      <w:r w:rsidRPr="003437B4">
        <w:rPr>
          <w:rFonts w:ascii="Sylfaen" w:hAnsi="Sylfaen"/>
          <w:sz w:val="24"/>
          <w:szCs w:val="24"/>
          <w:lang w:val="ka-GE"/>
        </w:rPr>
        <w:t xml:space="preserve"> ეფექტი. ამ კომბინაციის გამოყენებისას რეკომენდებულია არტერიული წნევის რეგულარული მონიტორინგი.</w:t>
      </w:r>
    </w:p>
    <w:p w14:paraId="564B7331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მიუხედავად იმისა, რომ არ არსებობს ურთიერთქმედების შესაძლებლობის დამადასტურებელი მონაცემები, სიფრთხილეა რეკომენდებული ვინპოცეტინის ცენტრალურ ნერვულ სისტემაზე მოქმედ პრეპარატებთან, ასევე ანტიარითმული და ანტიკოაგულანტული ეფექტის მქონე პრეპარატებთან ერთად მიღებისას.</w:t>
      </w:r>
    </w:p>
    <w:p w14:paraId="278F048F" w14:textId="77777777" w:rsidR="003437B4" w:rsidRPr="00EA6463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A6463">
        <w:rPr>
          <w:rFonts w:ascii="Sylfaen" w:hAnsi="Sylfaen"/>
          <w:b/>
          <w:bCs/>
          <w:sz w:val="24"/>
          <w:szCs w:val="24"/>
          <w:lang w:val="ka-GE"/>
        </w:rPr>
        <w:lastRenderedPageBreak/>
        <w:t>სიფრთხილის ზომები</w:t>
      </w:r>
    </w:p>
    <w:p w14:paraId="34AE9FB1" w14:textId="77777777" w:rsidR="003437B4" w:rsidRPr="00EA6463" w:rsidRDefault="003437B4" w:rsidP="003437B4">
      <w:pPr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A6463">
        <w:rPr>
          <w:rFonts w:ascii="Sylfaen" w:hAnsi="Sylfaen"/>
          <w:sz w:val="24"/>
          <w:szCs w:val="24"/>
          <w:u w:val="single"/>
          <w:lang w:val="ka-GE"/>
        </w:rPr>
        <w:t>QT ინტერვალის გახანგრძლივება</w:t>
      </w:r>
    </w:p>
    <w:p w14:paraId="163127E2" w14:textId="77777777" w:rsidR="00EA6463" w:rsidRDefault="00EA6463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რეკომენდებულია </w:t>
      </w:r>
      <w:r w:rsidR="003437B4" w:rsidRPr="003437B4">
        <w:rPr>
          <w:rFonts w:ascii="Sylfaen" w:hAnsi="Sylfaen"/>
          <w:sz w:val="24"/>
          <w:szCs w:val="24"/>
          <w:lang w:val="ka-GE"/>
        </w:rPr>
        <w:t>ეკგ</w:t>
      </w:r>
      <w:r>
        <w:rPr>
          <w:rFonts w:ascii="Sylfaen" w:hAnsi="Sylfaen"/>
          <w:sz w:val="24"/>
          <w:szCs w:val="24"/>
          <w:lang w:val="ka-GE"/>
        </w:rPr>
        <w:t xml:space="preserve">-კონტროლი </w:t>
      </w:r>
      <w:r w:rsidR="003437B4" w:rsidRPr="003437B4">
        <w:rPr>
          <w:rFonts w:ascii="Sylfaen" w:hAnsi="Sylfaen"/>
          <w:sz w:val="24"/>
          <w:szCs w:val="24"/>
          <w:lang w:val="ka-GE"/>
        </w:rPr>
        <w:t xml:space="preserve">გახანგრძლივებული QT სინდრომის არსებობისას ან QT ინტერვალის გახანგრძლივების გამომწვევი პრეპარატების ერთდროული გამოყენებისას. </w:t>
      </w:r>
    </w:p>
    <w:p w14:paraId="2A31168E" w14:textId="5FD8AB51" w:rsidR="003437B4" w:rsidRPr="00EA6463" w:rsidRDefault="003437B4" w:rsidP="003437B4">
      <w:pPr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A6463">
        <w:rPr>
          <w:rFonts w:ascii="Sylfaen" w:hAnsi="Sylfaen"/>
          <w:sz w:val="24"/>
          <w:szCs w:val="24"/>
          <w:u w:val="single"/>
          <w:lang w:val="ka-GE"/>
        </w:rPr>
        <w:t>დამხმარე ნივთიერებები</w:t>
      </w:r>
    </w:p>
    <w:p w14:paraId="383B037A" w14:textId="60D82C6B" w:rsidR="003437B4" w:rsidRPr="003437B4" w:rsidRDefault="00EA6463" w:rsidP="003437B4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კავინტონი</w:t>
      </w:r>
      <w:r w:rsidR="003437B4" w:rsidRPr="003437B4">
        <w:rPr>
          <w:rFonts w:ascii="Sylfaen" w:hAnsi="Sylfaen"/>
          <w:sz w:val="24"/>
          <w:szCs w:val="24"/>
          <w:lang w:val="ka-GE"/>
        </w:rPr>
        <w:t xml:space="preserve">® და </w:t>
      </w:r>
      <w:r>
        <w:rPr>
          <w:rFonts w:ascii="Sylfaen" w:hAnsi="Sylfaen"/>
          <w:sz w:val="24"/>
          <w:szCs w:val="24"/>
          <w:lang w:val="ka-GE"/>
        </w:rPr>
        <w:t>კავინტონი</w:t>
      </w:r>
      <w:r w:rsidR="003437B4" w:rsidRPr="003437B4">
        <w:rPr>
          <w:rFonts w:ascii="Sylfaen" w:hAnsi="Sylfaen"/>
          <w:sz w:val="24"/>
          <w:szCs w:val="24"/>
          <w:lang w:val="ka-GE"/>
        </w:rPr>
        <w:t xml:space="preserve">® </w:t>
      </w:r>
      <w:r>
        <w:rPr>
          <w:rFonts w:ascii="Sylfaen" w:hAnsi="Sylfaen"/>
          <w:sz w:val="24"/>
          <w:szCs w:val="24"/>
          <w:lang w:val="ka-GE"/>
        </w:rPr>
        <w:t>ფორტე</w:t>
      </w:r>
      <w:r w:rsidR="003437B4" w:rsidRPr="003437B4">
        <w:rPr>
          <w:rFonts w:ascii="Sylfaen" w:hAnsi="Sylfaen"/>
          <w:sz w:val="24"/>
          <w:szCs w:val="24"/>
          <w:lang w:val="ka-GE"/>
        </w:rPr>
        <w:t xml:space="preserve"> ტაბლეტები შეიცავს ლაქტოზას. პაციენტებმა, რომლებსაც აქვთ გალაქტოზის აუტანლობის იშვიათი მემკვიდრეობითი პრობლემები, ლაქტაზას სრული დეფიციტი ან გლუკოზა-გალაქტოზის მალაბსორბცია, არ უნდა მიიღონ ეს </w:t>
      </w:r>
      <w:r>
        <w:rPr>
          <w:rFonts w:ascii="Sylfaen" w:hAnsi="Sylfaen"/>
          <w:sz w:val="24"/>
          <w:szCs w:val="24"/>
          <w:lang w:val="ka-GE"/>
        </w:rPr>
        <w:t xml:space="preserve">პრეპარატი. </w:t>
      </w:r>
    </w:p>
    <w:p w14:paraId="4B013A82" w14:textId="77777777" w:rsidR="003437B4" w:rsidRPr="00EA6463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A6463">
        <w:rPr>
          <w:rFonts w:ascii="Sylfaen" w:hAnsi="Sylfaen"/>
          <w:b/>
          <w:bCs/>
          <w:sz w:val="24"/>
          <w:szCs w:val="24"/>
          <w:lang w:val="ka-GE"/>
        </w:rPr>
        <w:t>ზემოქმედება ავტომობილის მართვისა და მექანიზმების გამოყენების უნარზე</w:t>
      </w:r>
    </w:p>
    <w:p w14:paraId="092E693E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კვლევები ვინპოცეტინის გავლენის შესახებ ავტომობილის მართვისა და მექანიზმების გამოყენების უნარზე არ ჩატარებულა.</w:t>
      </w:r>
    </w:p>
    <w:p w14:paraId="54882519" w14:textId="620402EA" w:rsidR="003437B4" w:rsidRPr="00EA6463" w:rsidRDefault="00EA6463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გამოშვების</w:t>
      </w:r>
      <w:r w:rsidR="003437B4" w:rsidRPr="00EA6463">
        <w:rPr>
          <w:rFonts w:ascii="Sylfaen" w:hAnsi="Sylfaen"/>
          <w:b/>
          <w:bCs/>
          <w:sz w:val="24"/>
          <w:szCs w:val="24"/>
          <w:lang w:val="ka-GE"/>
        </w:rPr>
        <w:t xml:space="preserve"> ფორმა</w:t>
      </w:r>
    </w:p>
    <w:p w14:paraId="0604050E" w14:textId="53ED6E2C" w:rsidR="003437B4" w:rsidRPr="00EA6463" w:rsidRDefault="00EA6463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A6463">
        <w:rPr>
          <w:rFonts w:ascii="Sylfaen" w:hAnsi="Sylfaen"/>
          <w:b/>
          <w:bCs/>
          <w:sz w:val="24"/>
          <w:szCs w:val="24"/>
          <w:lang w:val="ka-GE"/>
        </w:rPr>
        <w:t>კავინტონი</w:t>
      </w:r>
      <w:r w:rsidR="003437B4" w:rsidRPr="00EA6463">
        <w:rPr>
          <w:rFonts w:ascii="Sylfaen" w:hAnsi="Sylfaen"/>
          <w:b/>
          <w:bCs/>
          <w:sz w:val="24"/>
          <w:szCs w:val="24"/>
          <w:lang w:val="ka-GE"/>
        </w:rPr>
        <w:t>®</w:t>
      </w:r>
    </w:p>
    <w:p w14:paraId="63429CD0" w14:textId="132625B9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50 ტაბლეტი </w:t>
      </w:r>
      <w:r w:rsidR="00EA6463">
        <w:rPr>
          <w:rFonts w:ascii="Sylfaen" w:hAnsi="Sylfaen"/>
          <w:sz w:val="24"/>
          <w:szCs w:val="24"/>
          <w:lang w:val="ka-GE"/>
        </w:rPr>
        <w:t>პვქ</w:t>
      </w:r>
      <w:r w:rsidRPr="003437B4">
        <w:rPr>
          <w:rFonts w:ascii="Sylfaen" w:hAnsi="Sylfaen"/>
          <w:sz w:val="24"/>
          <w:szCs w:val="24"/>
          <w:lang w:val="ka-GE"/>
        </w:rPr>
        <w:t>/ალუმინის ბლისტერებში, მოთავსებული მუყაოს კოლოფში.</w:t>
      </w:r>
    </w:p>
    <w:p w14:paraId="0D86B048" w14:textId="3981E720" w:rsidR="003437B4" w:rsidRPr="00EA6463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A6463">
        <w:rPr>
          <w:rFonts w:ascii="Sylfaen" w:hAnsi="Sylfaen"/>
          <w:b/>
          <w:bCs/>
          <w:sz w:val="24"/>
          <w:szCs w:val="24"/>
          <w:lang w:val="ka-GE"/>
        </w:rPr>
        <w:t>კავინტონ</w:t>
      </w:r>
      <w:r w:rsidR="00EA6463" w:rsidRPr="00EA6463">
        <w:rPr>
          <w:rFonts w:ascii="Sylfaen" w:hAnsi="Sylfaen"/>
          <w:b/>
          <w:bCs/>
          <w:sz w:val="24"/>
          <w:szCs w:val="24"/>
          <w:lang w:val="ka-GE"/>
        </w:rPr>
        <w:t>ი</w:t>
      </w:r>
      <w:r w:rsidRPr="00EA6463">
        <w:rPr>
          <w:rFonts w:ascii="Sylfaen" w:hAnsi="Sylfaen"/>
          <w:b/>
          <w:bCs/>
          <w:sz w:val="24"/>
          <w:szCs w:val="24"/>
          <w:lang w:val="ka-GE"/>
        </w:rPr>
        <w:t>® ფორტე</w:t>
      </w:r>
    </w:p>
    <w:p w14:paraId="03257009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30 ან 90 ტაბლეტი უფერო, გამჭვირვალე პვქ/ალუმინის ბლისტერებში, მოთავსებული მუყაოს კოლოფში.</w:t>
      </w:r>
    </w:p>
    <w:p w14:paraId="4E47AD62" w14:textId="77777777" w:rsidR="003437B4" w:rsidRPr="00EA6463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A6463">
        <w:rPr>
          <w:rFonts w:ascii="Sylfaen" w:hAnsi="Sylfaen"/>
          <w:b/>
          <w:bCs/>
          <w:sz w:val="24"/>
          <w:szCs w:val="24"/>
          <w:lang w:val="ka-GE"/>
        </w:rPr>
        <w:t>შენახვის პირობები</w:t>
      </w:r>
    </w:p>
    <w:p w14:paraId="2ED37793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შეინახეთ 15°C-დან 30°C-მდე ტემპერატურაზე, სინათლისგან დაცულ ადგილას.</w:t>
      </w:r>
    </w:p>
    <w:p w14:paraId="74AEEC7F" w14:textId="77777777" w:rsidR="00EA6463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შეინახეთ ბავშვებისთვის მიუწვდომელ ადგილას. </w:t>
      </w:r>
    </w:p>
    <w:p w14:paraId="019F0D43" w14:textId="478C83F3" w:rsidR="003437B4" w:rsidRPr="00EA6463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A6463">
        <w:rPr>
          <w:rFonts w:ascii="Sylfaen" w:hAnsi="Sylfaen"/>
          <w:b/>
          <w:bCs/>
          <w:sz w:val="24"/>
          <w:szCs w:val="24"/>
          <w:lang w:val="ka-GE"/>
        </w:rPr>
        <w:t>ვარგისიანობის ვადა</w:t>
      </w:r>
    </w:p>
    <w:p w14:paraId="4DCC620F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5 წელი.</w:t>
      </w:r>
    </w:p>
    <w:p w14:paraId="34DAC56C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არ გამოიყენოთ შეფუთვაზე მითითებული ვარგისიანობის ვადის გასვლის შემდეგ.</w:t>
      </w:r>
    </w:p>
    <w:p w14:paraId="5D69AE11" w14:textId="77777777" w:rsidR="006A653A" w:rsidRDefault="006A653A" w:rsidP="006A653A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0" w:name="_Hlk234845842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3A47AE73" w14:textId="77777777" w:rsidR="006A653A" w:rsidRPr="004A07C1" w:rsidRDefault="006A653A" w:rsidP="006A653A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4A07C1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/>
          <w:noProof/>
          <w:lang w:val="ka-GE"/>
        </w:rPr>
        <w:t>III, გაიცემა რეცეპტის გარეშე</w:t>
      </w:r>
    </w:p>
    <w:bookmarkEnd w:id="0"/>
    <w:p w14:paraId="7EBBA662" w14:textId="77777777" w:rsidR="003437B4" w:rsidRPr="00EA6463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A6463">
        <w:rPr>
          <w:rFonts w:ascii="Sylfaen" w:hAnsi="Sylfaen"/>
          <w:b/>
          <w:bCs/>
          <w:sz w:val="24"/>
          <w:szCs w:val="24"/>
          <w:lang w:val="ka-GE"/>
        </w:rPr>
        <w:lastRenderedPageBreak/>
        <w:t>მწარმოებელი</w:t>
      </w:r>
    </w:p>
    <w:p w14:paraId="7FEAFA6E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სს „გედეონ რიხტერი“</w:t>
      </w:r>
    </w:p>
    <w:p w14:paraId="74963F79" w14:textId="2F862055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ბუდაპეშტი, დ</w:t>
      </w:r>
      <w:r w:rsidR="00EA6463">
        <w:rPr>
          <w:rFonts w:ascii="Sylfaen" w:hAnsi="Sylfaen"/>
          <w:sz w:val="24"/>
          <w:szCs w:val="24"/>
          <w:lang w:val="ka-GE"/>
        </w:rPr>
        <w:t>ე</w:t>
      </w:r>
      <w:r w:rsidRPr="003437B4">
        <w:rPr>
          <w:rFonts w:ascii="Sylfaen" w:hAnsi="Sylfaen"/>
          <w:sz w:val="24"/>
          <w:szCs w:val="24"/>
          <w:lang w:val="ka-GE"/>
        </w:rPr>
        <w:t>მრ</w:t>
      </w:r>
      <w:r w:rsidR="00EA6463">
        <w:rPr>
          <w:rFonts w:ascii="Sylfaen" w:hAnsi="Sylfaen"/>
          <w:sz w:val="24"/>
          <w:szCs w:val="24"/>
          <w:lang w:val="ka-GE"/>
        </w:rPr>
        <w:t>ე</w:t>
      </w:r>
      <w:r w:rsidRPr="003437B4">
        <w:rPr>
          <w:rFonts w:ascii="Sylfaen" w:hAnsi="Sylfaen"/>
          <w:sz w:val="24"/>
          <w:szCs w:val="24"/>
          <w:lang w:val="ka-GE"/>
        </w:rPr>
        <w:t>ის ქუჩა 1103, 19-21, უნგრეთი</w:t>
      </w:r>
    </w:p>
    <w:p w14:paraId="430E0C5A" w14:textId="33ECDB71" w:rsidR="003437B4" w:rsidRPr="00EA6463" w:rsidRDefault="003437B4" w:rsidP="003437B4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A6463">
        <w:rPr>
          <w:rFonts w:ascii="Sylfaen" w:hAnsi="Sylfaen"/>
          <w:b/>
          <w:bCs/>
          <w:sz w:val="24"/>
          <w:szCs w:val="24"/>
          <w:lang w:val="ka-GE"/>
        </w:rPr>
        <w:t xml:space="preserve">პრეპარატთან დაკავშირებული ნებისმიერი ინფორმაციისთვის ან ნებისმიერი საჩივრის შემთხვევაში, გთხოვთ, დაუკავშირდეთ </w:t>
      </w:r>
      <w:r w:rsidR="00EA6463" w:rsidRPr="00EA6463">
        <w:rPr>
          <w:rFonts w:ascii="Sylfaen" w:hAnsi="Sylfaen"/>
          <w:b/>
          <w:bCs/>
          <w:sz w:val="24"/>
          <w:szCs w:val="24"/>
          <w:lang w:val="ka-GE"/>
        </w:rPr>
        <w:t>სავაჭრო ნებართვის</w:t>
      </w:r>
      <w:r w:rsidRPr="00EA6463">
        <w:rPr>
          <w:rFonts w:ascii="Sylfaen" w:hAnsi="Sylfaen"/>
          <w:b/>
          <w:bCs/>
          <w:sz w:val="24"/>
          <w:szCs w:val="24"/>
          <w:lang w:val="ka-GE"/>
        </w:rPr>
        <w:t xml:space="preserve"> მფლობელის წარმომადგენელს:</w:t>
      </w:r>
    </w:p>
    <w:p w14:paraId="0CFCBB3B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სს „გედეონ რიხტერი“-ს წარმომადგენლობა საქართველოში</w:t>
      </w:r>
    </w:p>
    <w:p w14:paraId="56A77470" w14:textId="0D386F4C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მისამართი: საქართველო, 0160 თბილისი, </w:t>
      </w:r>
      <w:r w:rsidR="00EA6463">
        <w:rPr>
          <w:rFonts w:ascii="Sylfaen" w:hAnsi="Sylfaen"/>
          <w:sz w:val="24"/>
          <w:szCs w:val="24"/>
          <w:lang w:val="ka-GE"/>
        </w:rPr>
        <w:t>ს.</w:t>
      </w:r>
      <w:r w:rsidRPr="003437B4">
        <w:rPr>
          <w:rFonts w:ascii="Sylfaen" w:hAnsi="Sylfaen"/>
          <w:sz w:val="24"/>
          <w:szCs w:val="24"/>
          <w:lang w:val="ka-GE"/>
        </w:rPr>
        <w:t>კანდელაკის ქ. 19-21, No8</w:t>
      </w:r>
    </w:p>
    <w:p w14:paraId="141717CD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ტელეფონი: +995-322-37-11-00</w:t>
      </w:r>
    </w:p>
    <w:p w14:paraId="54F8C659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ელ. ფოსტა: drugsafety.ge@gedeonrichter.eu</w:t>
      </w:r>
    </w:p>
    <w:p w14:paraId="66DE2AFB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სს „გედეონ რიხტერის“ წარმომადგენლობა ტაჯიკეთის რესპუბლიკაში</w:t>
      </w:r>
    </w:p>
    <w:p w14:paraId="7423D98A" w14:textId="65C11A0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მისამართი: ტაჯიკეთის რესპუბლიკა, 734003, </w:t>
      </w:r>
      <w:r w:rsidR="00EA6463">
        <w:rPr>
          <w:rFonts w:ascii="Sylfaen" w:hAnsi="Sylfaen"/>
          <w:sz w:val="24"/>
          <w:szCs w:val="24"/>
          <w:lang w:val="ka-GE"/>
        </w:rPr>
        <w:t>ქ.</w:t>
      </w:r>
      <w:r w:rsidRPr="003437B4">
        <w:rPr>
          <w:rFonts w:ascii="Sylfaen" w:hAnsi="Sylfaen"/>
          <w:sz w:val="24"/>
          <w:szCs w:val="24"/>
          <w:lang w:val="ka-GE"/>
        </w:rPr>
        <w:t>დუშანბე, ისმოილი სომონის რაიონი,</w:t>
      </w:r>
    </w:p>
    <w:p w14:paraId="1E5D74BA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რუდაკის გამზირი 127, შპს „რუდაკი პლაზა“, მე-5 სართული, ოფისები 507, 508.</w:t>
      </w:r>
    </w:p>
    <w:p w14:paraId="0253C523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ტელეფონი: +992-44-603-33-36</w:t>
      </w:r>
    </w:p>
    <w:p w14:paraId="62BE80B7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ელ. ფოსტა: drugsafety.tj@gedeonrichter.eu</w:t>
      </w:r>
    </w:p>
    <w:p w14:paraId="415CE4BE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სს „გედეონ რიხტერის“ წარმომადგენლობა თურქმენეთში</w:t>
      </w:r>
    </w:p>
    <w:p w14:paraId="23C02BF6" w14:textId="16579C64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მისამართი: თურქმენეთი, 744036, აშხაბადი, ათა</w:t>
      </w:r>
      <w:r w:rsidR="00EA6463">
        <w:rPr>
          <w:rFonts w:ascii="Sylfaen" w:hAnsi="Sylfaen"/>
          <w:sz w:val="24"/>
          <w:szCs w:val="24"/>
          <w:lang w:val="ka-GE"/>
        </w:rPr>
        <w:t>თ</w:t>
      </w:r>
      <w:r w:rsidRPr="003437B4">
        <w:rPr>
          <w:rFonts w:ascii="Sylfaen" w:hAnsi="Sylfaen"/>
          <w:sz w:val="24"/>
          <w:szCs w:val="24"/>
          <w:lang w:val="ka-GE"/>
        </w:rPr>
        <w:t>ურ</w:t>
      </w:r>
      <w:r w:rsidR="00EA6463">
        <w:rPr>
          <w:rFonts w:ascii="Sylfaen" w:hAnsi="Sylfaen"/>
          <w:sz w:val="24"/>
          <w:szCs w:val="24"/>
          <w:lang w:val="ka-GE"/>
        </w:rPr>
        <w:t>ქ</w:t>
      </w:r>
      <w:r w:rsidRPr="003437B4">
        <w:rPr>
          <w:rFonts w:ascii="Sylfaen" w:hAnsi="Sylfaen"/>
          <w:sz w:val="24"/>
          <w:szCs w:val="24"/>
          <w:lang w:val="ka-GE"/>
        </w:rPr>
        <w:t>ი</w:t>
      </w:r>
      <w:r w:rsidR="00EA6463">
        <w:rPr>
          <w:rFonts w:ascii="Sylfaen" w:hAnsi="Sylfaen"/>
          <w:sz w:val="24"/>
          <w:szCs w:val="24"/>
          <w:lang w:val="ka-GE"/>
        </w:rPr>
        <w:t>ს ქ.</w:t>
      </w:r>
      <w:r w:rsidRPr="003437B4">
        <w:rPr>
          <w:rFonts w:ascii="Sylfaen" w:hAnsi="Sylfaen"/>
          <w:sz w:val="24"/>
          <w:szCs w:val="24"/>
          <w:lang w:val="ka-GE"/>
        </w:rPr>
        <w:t xml:space="preserve"> 82,</w:t>
      </w:r>
    </w:p>
    <w:p w14:paraId="1E63352A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ბიზნეს ცენტრი „ბერკარარი“, B-7</w:t>
      </w:r>
    </w:p>
    <w:p w14:paraId="5EFB59F5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ტელეფონი: +993-12-46-82-11</w:t>
      </w:r>
    </w:p>
    <w:p w14:paraId="6BB6F3B4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ელ. ფოსტის მისამართი: drugsafety.tm@gedeonrichter.eu</w:t>
      </w:r>
    </w:p>
    <w:p w14:paraId="64B02937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სს „გედეონ რიხტერის“ წარმომადგენლობა მონღოლეთში</w:t>
      </w:r>
    </w:p>
    <w:p w14:paraId="47814E34" w14:textId="6DD6E4FF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 xml:space="preserve">მისამართი: მონღოლეთი, 17012 </w:t>
      </w:r>
      <w:r w:rsidR="00EA6463">
        <w:rPr>
          <w:rFonts w:ascii="Sylfaen" w:hAnsi="Sylfaen"/>
          <w:sz w:val="24"/>
          <w:szCs w:val="24"/>
          <w:lang w:val="ka-GE"/>
        </w:rPr>
        <w:t xml:space="preserve">ქ. </w:t>
      </w:r>
      <w:r w:rsidRPr="003437B4">
        <w:rPr>
          <w:rFonts w:ascii="Sylfaen" w:hAnsi="Sylfaen"/>
          <w:sz w:val="24"/>
          <w:szCs w:val="24"/>
          <w:lang w:val="ka-GE"/>
        </w:rPr>
        <w:t>ულან-ბატორი, ხან-უულის რაიონი, მე-11 ქვე</w:t>
      </w:r>
      <w:r w:rsidR="00EA6463">
        <w:rPr>
          <w:rFonts w:ascii="Sylfaen" w:hAnsi="Sylfaen"/>
          <w:sz w:val="24"/>
          <w:szCs w:val="24"/>
          <w:lang w:val="ka-GE"/>
        </w:rPr>
        <w:t>რაიონი</w:t>
      </w:r>
      <w:r w:rsidRPr="003437B4">
        <w:rPr>
          <w:rFonts w:ascii="Sylfaen" w:hAnsi="Sylfaen"/>
          <w:sz w:val="24"/>
          <w:szCs w:val="24"/>
          <w:lang w:val="ka-GE"/>
        </w:rPr>
        <w:t>, ორგილის სტადიონი,</w:t>
      </w:r>
      <w:r w:rsidR="00EA6463">
        <w:rPr>
          <w:rFonts w:ascii="Sylfaen" w:hAnsi="Sylfaen"/>
          <w:sz w:val="24"/>
          <w:szCs w:val="24"/>
          <w:lang w:val="ka-GE"/>
        </w:rPr>
        <w:t xml:space="preserve"> </w:t>
      </w:r>
      <w:r w:rsidRPr="003437B4">
        <w:rPr>
          <w:rFonts w:ascii="Sylfaen" w:hAnsi="Sylfaen"/>
          <w:sz w:val="24"/>
          <w:szCs w:val="24"/>
          <w:lang w:val="ka-GE"/>
        </w:rPr>
        <w:t xml:space="preserve">დიდი მონღოლეთის სახელმწიფოს ქ., 118, </w:t>
      </w:r>
      <w:r w:rsidR="00EA6463">
        <w:rPr>
          <w:rFonts w:ascii="Sylfaen" w:hAnsi="Sylfaen"/>
          <w:sz w:val="24"/>
          <w:szCs w:val="24"/>
          <w:lang w:val="ka-GE"/>
        </w:rPr>
        <w:t>ოფ.</w:t>
      </w:r>
      <w:r w:rsidRPr="003437B4">
        <w:rPr>
          <w:rFonts w:ascii="Sylfaen" w:hAnsi="Sylfaen"/>
          <w:sz w:val="24"/>
          <w:szCs w:val="24"/>
          <w:lang w:val="ka-GE"/>
        </w:rPr>
        <w:t xml:space="preserve"> 200/1</w:t>
      </w:r>
    </w:p>
    <w:p w14:paraId="46A1E932" w14:textId="77777777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ტელეფონი: +976-70-11-40-02</w:t>
      </w:r>
    </w:p>
    <w:p w14:paraId="171D6811" w14:textId="4C7C07DE" w:rsidR="003437B4" w:rsidRPr="003437B4" w:rsidRDefault="003437B4" w:rsidP="003437B4">
      <w:pPr>
        <w:jc w:val="both"/>
        <w:rPr>
          <w:rFonts w:ascii="Sylfaen" w:hAnsi="Sylfaen"/>
          <w:sz w:val="24"/>
          <w:szCs w:val="24"/>
          <w:lang w:val="ka-GE"/>
        </w:rPr>
      </w:pPr>
      <w:r w:rsidRPr="003437B4">
        <w:rPr>
          <w:rFonts w:ascii="Sylfaen" w:hAnsi="Sylfaen"/>
          <w:sz w:val="24"/>
          <w:szCs w:val="24"/>
          <w:lang w:val="ka-GE"/>
        </w:rPr>
        <w:t>ელ. ფოსტის მისამართი: drugsafety.mn@gedeonrichter.eu</w:t>
      </w:r>
    </w:p>
    <w:sectPr w:rsidR="003437B4" w:rsidRPr="003437B4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2F4C1E"/>
    <w:multiLevelType w:val="hybridMultilevel"/>
    <w:tmpl w:val="C63C5FB4"/>
    <w:lvl w:ilvl="0" w:tplc="BCEE9ED4">
      <w:start w:val="5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177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B4"/>
    <w:rsid w:val="000432B6"/>
    <w:rsid w:val="00251536"/>
    <w:rsid w:val="003110D2"/>
    <w:rsid w:val="003437B4"/>
    <w:rsid w:val="00390D0F"/>
    <w:rsid w:val="003A5B3A"/>
    <w:rsid w:val="003D6E56"/>
    <w:rsid w:val="004D588E"/>
    <w:rsid w:val="004F3C21"/>
    <w:rsid w:val="004F6163"/>
    <w:rsid w:val="0056591D"/>
    <w:rsid w:val="006A653A"/>
    <w:rsid w:val="006A7624"/>
    <w:rsid w:val="006E44E4"/>
    <w:rsid w:val="00767951"/>
    <w:rsid w:val="00A418F5"/>
    <w:rsid w:val="00C82418"/>
    <w:rsid w:val="00EA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1F814"/>
  <w15:chartTrackingRefBased/>
  <w15:docId w15:val="{B51AE482-960C-475A-A002-99FF2219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B4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3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7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7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7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7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7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7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7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7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7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7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7B4"/>
    <w:rPr>
      <w:b/>
      <w:bCs/>
      <w:smallCaps/>
      <w:color w:val="0F4761" w:themeColor="accent1" w:themeShade="BF"/>
      <w:spacing w:val="5"/>
    </w:rPr>
  </w:style>
  <w:style w:type="table" w:customStyle="1" w:styleId="1">
    <w:name w:val="Сетка таблицы1"/>
    <w:basedOn w:val="TableNormal"/>
    <w:next w:val="TableGrid"/>
    <w:uiPriority w:val="39"/>
    <w:rsid w:val="003437B4"/>
    <w:pPr>
      <w:spacing w:after="0" w:line="240" w:lineRule="auto"/>
    </w:pPr>
    <w:rPr>
      <w:kern w:val="0"/>
      <w:sz w:val="22"/>
      <w:szCs w:val="22"/>
      <w:lang w:val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43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link w:val="NormalChar"/>
    <w:rsid w:val="006A653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kern w:val="0"/>
      <w:lang w:val="ru-RU" w:eastAsia="zh-CN"/>
      <w14:ligatures w14:val="none"/>
    </w:rPr>
  </w:style>
  <w:style w:type="paragraph" w:customStyle="1" w:styleId="1CharChar">
    <w:name w:val=" Знак Знак1 Char Char Знак Знак"/>
    <w:basedOn w:val="Normal"/>
    <w:autoRedefine/>
    <w:rsid w:val="006A653A"/>
    <w:pPr>
      <w:spacing w:after="160" w:line="36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NormalChar">
    <w:name w:val="[Normal] Char"/>
    <w:link w:val="Normal0"/>
    <w:rsid w:val="006A653A"/>
    <w:rPr>
      <w:rFonts w:ascii="Arial" w:eastAsia="SimSun" w:hAnsi="Arial" w:cs="Arial"/>
      <w:kern w:val="0"/>
      <w:lang w:val="ru-R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11</Pages>
  <Words>2248</Words>
  <Characters>12817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Zaza Chapichadze</cp:lastModifiedBy>
  <cp:revision>7</cp:revision>
  <dcterms:created xsi:type="dcterms:W3CDTF">2026-06-20T09:38:00Z</dcterms:created>
  <dcterms:modified xsi:type="dcterms:W3CDTF">2026-07-28T11:27:00Z</dcterms:modified>
</cp:coreProperties>
</file>