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1D801" w14:textId="37D10264" w:rsidR="00F61B0C" w:rsidRPr="00840CA5" w:rsidRDefault="00490A5B" w:rsidP="007050C7">
      <w:pPr>
        <w:spacing w:after="0" w:line="240" w:lineRule="auto"/>
        <w:ind w:left="-900" w:right="-211" w:hanging="90"/>
        <w:jc w:val="center"/>
        <w:rPr>
          <w:rFonts w:ascii="Sylfaen" w:hAnsi="Sylfaen" w:cs="Sylfaen"/>
          <w:b/>
          <w:sz w:val="24"/>
          <w:szCs w:val="24"/>
          <w:u w:val="single"/>
          <w:lang w:val="ka-GE"/>
        </w:rPr>
      </w:pPr>
      <w:r w:rsidRPr="00840CA5">
        <w:rPr>
          <w:rFonts w:ascii="Sylfaen" w:hAnsi="Sylfaen" w:cs="Sylfaen"/>
          <w:b/>
          <w:sz w:val="24"/>
          <w:szCs w:val="24"/>
          <w:u w:val="single"/>
          <w:lang w:val="ka-GE"/>
        </w:rPr>
        <w:t>პროდუქტის მახასიათებლების შემაჯამებელი ანგარიში</w:t>
      </w:r>
    </w:p>
    <w:p w14:paraId="68559662" w14:textId="77777777" w:rsidR="0049191E" w:rsidRPr="00840CA5" w:rsidRDefault="0049191E" w:rsidP="007050C7">
      <w:pPr>
        <w:spacing w:after="0" w:line="240" w:lineRule="auto"/>
        <w:ind w:left="-900" w:right="-211" w:hanging="90"/>
        <w:jc w:val="center"/>
        <w:rPr>
          <w:rFonts w:ascii="Sylfaen" w:hAnsi="Sylfaen" w:cs="Sylfaen"/>
          <w:b/>
          <w:sz w:val="24"/>
          <w:szCs w:val="24"/>
          <w:u w:val="single"/>
          <w:lang w:val="ka-GE"/>
        </w:rPr>
      </w:pPr>
    </w:p>
    <w:p w14:paraId="5AD2819A" w14:textId="150D8272" w:rsidR="00097E20" w:rsidRPr="00840CA5" w:rsidRDefault="006002D1" w:rsidP="007050C7">
      <w:pPr>
        <w:pStyle w:val="ListParagraph"/>
        <w:numPr>
          <w:ilvl w:val="0"/>
          <w:numId w:val="37"/>
        </w:numPr>
        <w:spacing w:after="0" w:line="240" w:lineRule="auto"/>
        <w:ind w:left="-630" w:right="-211"/>
        <w:jc w:val="both"/>
        <w:rPr>
          <w:rFonts w:ascii="Sylfaen" w:hAnsi="Sylfaen" w:cs="Sylfaen"/>
          <w:b/>
          <w:bCs/>
          <w:sz w:val="24"/>
          <w:szCs w:val="24"/>
          <w:lang w:val="ka-GE"/>
        </w:rPr>
      </w:pPr>
      <w:r w:rsidRPr="00840CA5">
        <w:rPr>
          <w:rFonts w:ascii="Sylfaen" w:hAnsi="Sylfaen" w:cs="Sylfaen"/>
          <w:b/>
          <w:sz w:val="24"/>
          <w:szCs w:val="24"/>
          <w:lang w:val="ka-GE"/>
        </w:rPr>
        <w:t>სამკურნალო საშუალების დასახელება</w:t>
      </w:r>
    </w:p>
    <w:p w14:paraId="422EFBC7" w14:textId="69FB0CFE" w:rsidR="008B325E" w:rsidRPr="00840CA5" w:rsidRDefault="008B325E" w:rsidP="007050C7">
      <w:pPr>
        <w:spacing w:after="0" w:line="240" w:lineRule="auto"/>
        <w:ind w:left="-990" w:right="-211"/>
        <w:jc w:val="both"/>
        <w:rPr>
          <w:rFonts w:ascii="Sylfaen" w:hAnsi="Sylfaen"/>
          <w:sz w:val="24"/>
          <w:szCs w:val="24"/>
          <w:lang w:val="ka-GE"/>
        </w:rPr>
      </w:pPr>
      <w:r w:rsidRPr="00840CA5">
        <w:rPr>
          <w:rFonts w:ascii="Sylfaen" w:hAnsi="Sylfaen"/>
          <w:sz w:val="24"/>
          <w:szCs w:val="24"/>
          <w:lang w:val="ka-GE"/>
        </w:rPr>
        <w:t xml:space="preserve">ლოზატენზი - RM/ </w:t>
      </w:r>
      <w:r w:rsidR="00824815">
        <w:rPr>
          <w:rFonts w:ascii="Sylfaen" w:hAnsi="Sylfaen"/>
          <w:sz w:val="24"/>
          <w:szCs w:val="24"/>
        </w:rPr>
        <w:t>LOZATENZ</w:t>
      </w:r>
      <w:r w:rsidRPr="00840CA5">
        <w:rPr>
          <w:rFonts w:ascii="Sylfaen" w:hAnsi="Sylfaen"/>
          <w:sz w:val="24"/>
          <w:szCs w:val="24"/>
          <w:lang w:val="ka-GE"/>
        </w:rPr>
        <w:t xml:space="preserve"> -RM/</w:t>
      </w:r>
      <w:r w:rsidRPr="00840CA5">
        <w:rPr>
          <w:rFonts w:ascii="Sylfaen" w:hAnsi="Sylfaen"/>
          <w:sz w:val="24"/>
          <w:szCs w:val="24"/>
        </w:rPr>
        <w:t xml:space="preserve">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 და  ჰიდროქლოროთიაზიდის ტაბლეტები USP 50მგ/12.5მგ</w:t>
      </w:r>
      <w:r w:rsidRPr="00840CA5">
        <w:rPr>
          <w:rFonts w:ascii="Sylfaen" w:hAnsi="Sylfaen"/>
          <w:sz w:val="24"/>
          <w:szCs w:val="24"/>
        </w:rPr>
        <w:t>)</w:t>
      </w:r>
      <w:r w:rsidRPr="00840CA5">
        <w:rPr>
          <w:rFonts w:ascii="Sylfaen" w:hAnsi="Sylfaen"/>
          <w:sz w:val="24"/>
          <w:szCs w:val="24"/>
          <w:lang w:val="ka-GE"/>
        </w:rPr>
        <w:t xml:space="preserve"> </w:t>
      </w:r>
    </w:p>
    <w:p w14:paraId="1F7DCFAC" w14:textId="635EA54C" w:rsidR="008B325E" w:rsidRPr="00840CA5" w:rsidRDefault="008B325E" w:rsidP="007050C7">
      <w:pPr>
        <w:spacing w:after="0" w:line="240" w:lineRule="auto"/>
        <w:ind w:left="-990" w:right="-211"/>
        <w:jc w:val="both"/>
        <w:rPr>
          <w:rFonts w:ascii="Sylfaen" w:hAnsi="Sylfaen"/>
          <w:sz w:val="24"/>
          <w:szCs w:val="24"/>
        </w:rPr>
      </w:pPr>
      <w:r w:rsidRPr="00840CA5">
        <w:rPr>
          <w:rFonts w:ascii="Sylfaen" w:hAnsi="Sylfaen"/>
          <w:sz w:val="24"/>
          <w:szCs w:val="24"/>
          <w:lang w:val="ka-GE"/>
        </w:rPr>
        <w:t xml:space="preserve">ლოზატენზი - RM/ </w:t>
      </w:r>
      <w:r w:rsidR="00824815">
        <w:rPr>
          <w:rFonts w:ascii="Sylfaen" w:hAnsi="Sylfaen"/>
          <w:sz w:val="24"/>
          <w:szCs w:val="24"/>
        </w:rPr>
        <w:t>LOZATENZ</w:t>
      </w:r>
      <w:r w:rsidR="00824815" w:rsidRPr="00840CA5">
        <w:rPr>
          <w:rFonts w:ascii="Sylfaen" w:hAnsi="Sylfaen"/>
          <w:sz w:val="24"/>
          <w:szCs w:val="24"/>
          <w:lang w:val="ka-GE"/>
        </w:rPr>
        <w:t xml:space="preserve"> </w:t>
      </w:r>
      <w:r w:rsidRPr="00840CA5">
        <w:rPr>
          <w:rFonts w:ascii="Sylfaen" w:hAnsi="Sylfaen"/>
          <w:sz w:val="24"/>
          <w:szCs w:val="24"/>
          <w:lang w:val="ka-GE"/>
        </w:rPr>
        <w:t>-RM/</w:t>
      </w:r>
      <w:r w:rsidRPr="00840CA5">
        <w:rPr>
          <w:rFonts w:ascii="Sylfaen" w:hAnsi="Sylfaen"/>
          <w:sz w:val="24"/>
          <w:szCs w:val="24"/>
        </w:rPr>
        <w:t>(</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 და  ჰიდროქლოროთიაზიდის ტაბლეტები USP 100მგ/25მგ</w:t>
      </w:r>
      <w:r w:rsidRPr="00840CA5">
        <w:rPr>
          <w:rFonts w:ascii="Sylfaen" w:hAnsi="Sylfaen"/>
          <w:sz w:val="24"/>
          <w:szCs w:val="24"/>
        </w:rPr>
        <w:t>)</w:t>
      </w:r>
    </w:p>
    <w:p w14:paraId="3894ACD0" w14:textId="77777777" w:rsidR="008B325E" w:rsidRPr="00840CA5" w:rsidRDefault="008B325E" w:rsidP="007050C7">
      <w:pPr>
        <w:pStyle w:val="ListParagraph"/>
        <w:numPr>
          <w:ilvl w:val="0"/>
          <w:numId w:val="37"/>
        </w:numPr>
        <w:spacing w:after="0" w:line="240" w:lineRule="auto"/>
        <w:ind w:left="-630" w:right="-211"/>
        <w:jc w:val="both"/>
        <w:rPr>
          <w:rFonts w:ascii="Sylfaen" w:hAnsi="Sylfaen" w:cs="Sylfaen"/>
          <w:b/>
          <w:sz w:val="24"/>
          <w:szCs w:val="24"/>
          <w:lang w:val="ka-GE"/>
        </w:rPr>
      </w:pPr>
      <w:r w:rsidRPr="00840CA5">
        <w:rPr>
          <w:rFonts w:ascii="Sylfaen" w:hAnsi="Sylfaen" w:cs="Sylfaen"/>
          <w:b/>
          <w:sz w:val="24"/>
          <w:szCs w:val="24"/>
          <w:lang w:val="ka-GE"/>
        </w:rPr>
        <w:t>შემადგენლობა</w:t>
      </w:r>
    </w:p>
    <w:p w14:paraId="3AB66B4C" w14:textId="56232EDD" w:rsidR="008B325E" w:rsidRPr="00840CA5" w:rsidRDefault="008B325E" w:rsidP="007050C7">
      <w:pPr>
        <w:spacing w:after="0" w:line="240" w:lineRule="auto"/>
        <w:ind w:left="-990" w:right="-211"/>
        <w:jc w:val="both"/>
        <w:rPr>
          <w:rFonts w:ascii="Sylfaen" w:hAnsi="Sylfaen" w:cs="Sylfaen"/>
          <w:b/>
          <w:sz w:val="24"/>
          <w:szCs w:val="24"/>
          <w:lang w:val="ka-GE"/>
        </w:rPr>
      </w:pPr>
      <w:r w:rsidRPr="00840CA5">
        <w:rPr>
          <w:rFonts w:ascii="Sylfaen" w:hAnsi="Sylfaen"/>
          <w:b/>
          <w:sz w:val="24"/>
          <w:szCs w:val="24"/>
          <w:lang w:val="ka-GE"/>
        </w:rPr>
        <w:t>ლო</w:t>
      </w:r>
      <w:r w:rsidR="0039482E" w:rsidRPr="00840CA5">
        <w:rPr>
          <w:rFonts w:ascii="Sylfaen" w:hAnsi="Sylfaen"/>
          <w:b/>
          <w:sz w:val="24"/>
          <w:szCs w:val="24"/>
          <w:lang w:val="ka-GE"/>
        </w:rPr>
        <w:t>ზ</w:t>
      </w:r>
      <w:r w:rsidRPr="00840CA5">
        <w:rPr>
          <w:rFonts w:ascii="Sylfaen" w:hAnsi="Sylfaen"/>
          <w:b/>
          <w:sz w:val="24"/>
          <w:szCs w:val="24"/>
          <w:lang w:val="ka-GE"/>
        </w:rPr>
        <w:t xml:space="preserve">არტანის კალიუმი და  ჰიდროქლოროთიაზიდის ტაბლეტები USP 50მგ/12.5მგ </w:t>
      </w:r>
    </w:p>
    <w:p w14:paraId="033F243F"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თითო შემოგარსული ტაბლეტის შემადგენლობაში შედის:</w:t>
      </w:r>
    </w:p>
    <w:p w14:paraId="285E2C00" w14:textId="13EE5379"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ლო</w:t>
      </w:r>
      <w:r w:rsidR="0039482E" w:rsidRPr="00840CA5">
        <w:rPr>
          <w:rFonts w:ascii="Sylfaen" w:hAnsi="Sylfaen" w:cs="Sylfaen"/>
          <w:bCs/>
          <w:sz w:val="24"/>
          <w:szCs w:val="24"/>
          <w:lang w:val="ka-GE"/>
        </w:rPr>
        <w:t>ზ</w:t>
      </w:r>
      <w:r w:rsidRPr="00840CA5">
        <w:rPr>
          <w:rFonts w:ascii="Sylfaen" w:hAnsi="Sylfaen" w:cs="Sylfaen"/>
          <w:bCs/>
          <w:sz w:val="24"/>
          <w:szCs w:val="24"/>
          <w:lang w:val="ka-GE"/>
        </w:rPr>
        <w:t>არტანის კალიუმი USP ...................50 მგ</w:t>
      </w:r>
    </w:p>
    <w:p w14:paraId="3FCACECC"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ჰიდროქლოროთიაზიდი USP ................12.5 მგ</w:t>
      </w:r>
    </w:p>
    <w:p w14:paraId="626C4DEF"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შემავსებლები….................................……….q.s.</w:t>
      </w:r>
    </w:p>
    <w:p w14:paraId="6FF6C441"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ფერი: ტიტანის დიოქსიდი BP</w:t>
      </w:r>
    </w:p>
    <w:p w14:paraId="68D3EA2C" w14:textId="3D8B0C5F"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b/>
          <w:sz w:val="24"/>
          <w:szCs w:val="24"/>
          <w:lang w:val="ka-GE"/>
        </w:rPr>
        <w:t>ლო</w:t>
      </w:r>
      <w:r w:rsidR="0039482E" w:rsidRPr="00840CA5">
        <w:rPr>
          <w:rFonts w:ascii="Sylfaen" w:hAnsi="Sylfaen"/>
          <w:b/>
          <w:sz w:val="24"/>
          <w:szCs w:val="24"/>
          <w:lang w:val="ka-GE"/>
        </w:rPr>
        <w:t>ზ</w:t>
      </w:r>
      <w:r w:rsidRPr="00840CA5">
        <w:rPr>
          <w:rFonts w:ascii="Sylfaen" w:hAnsi="Sylfaen"/>
          <w:b/>
          <w:sz w:val="24"/>
          <w:szCs w:val="24"/>
          <w:lang w:val="ka-GE"/>
        </w:rPr>
        <w:t>არტანის კალიუმი და  ჰიდროქლოროთიაზიდის ტაბლეტები USP 100მგ/25მგ</w:t>
      </w:r>
    </w:p>
    <w:p w14:paraId="24CB7DDE"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თითო შემოგარსული ტაბლეტის შემადგენლობაში შედის:</w:t>
      </w:r>
    </w:p>
    <w:p w14:paraId="2DA865FF" w14:textId="6540EF42"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ლო</w:t>
      </w:r>
      <w:r w:rsidR="0039482E" w:rsidRPr="00840CA5">
        <w:rPr>
          <w:rFonts w:ascii="Sylfaen" w:hAnsi="Sylfaen" w:cs="Sylfaen"/>
          <w:bCs/>
          <w:sz w:val="24"/>
          <w:szCs w:val="24"/>
          <w:lang w:val="ka-GE"/>
        </w:rPr>
        <w:t>ზ</w:t>
      </w:r>
      <w:r w:rsidRPr="00840CA5">
        <w:rPr>
          <w:rFonts w:ascii="Sylfaen" w:hAnsi="Sylfaen" w:cs="Sylfaen"/>
          <w:bCs/>
          <w:sz w:val="24"/>
          <w:szCs w:val="24"/>
          <w:lang w:val="ka-GE"/>
        </w:rPr>
        <w:t>არტანის კალიუმი USP ...................100 მგ</w:t>
      </w:r>
    </w:p>
    <w:p w14:paraId="305DB1E4"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ჰიდროქლოროთიაზიდი USP ................25 მგ</w:t>
      </w:r>
    </w:p>
    <w:p w14:paraId="157E51E5"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შემავსებლები….................................……….q.s.</w:t>
      </w:r>
    </w:p>
    <w:p w14:paraId="2A187E68" w14:textId="77777777" w:rsidR="008B325E" w:rsidRPr="00840CA5" w:rsidRDefault="008B325E" w:rsidP="007050C7">
      <w:pPr>
        <w:spacing w:after="0" w:line="240" w:lineRule="auto"/>
        <w:ind w:left="-990" w:right="-211"/>
        <w:jc w:val="both"/>
        <w:rPr>
          <w:rFonts w:ascii="Sylfaen" w:hAnsi="Sylfaen" w:cs="Sylfaen"/>
          <w:bCs/>
          <w:sz w:val="24"/>
          <w:szCs w:val="24"/>
          <w:lang w:val="ka-GE"/>
        </w:rPr>
      </w:pPr>
      <w:r w:rsidRPr="00840CA5">
        <w:rPr>
          <w:rFonts w:ascii="Sylfaen" w:hAnsi="Sylfaen" w:cs="Sylfaen"/>
          <w:bCs/>
          <w:sz w:val="24"/>
          <w:szCs w:val="24"/>
          <w:lang w:val="ka-GE"/>
        </w:rPr>
        <w:t>ფერი: ტიტანის დიოქსიდი BP</w:t>
      </w:r>
    </w:p>
    <w:p w14:paraId="1572482E" w14:textId="77777777" w:rsidR="00D95163" w:rsidRPr="00840CA5" w:rsidRDefault="00D95163" w:rsidP="007050C7">
      <w:pPr>
        <w:pStyle w:val="ListParagraph"/>
        <w:numPr>
          <w:ilvl w:val="0"/>
          <w:numId w:val="37"/>
        </w:numPr>
        <w:spacing w:after="0" w:line="240" w:lineRule="auto"/>
        <w:ind w:left="-630" w:right="-211"/>
        <w:jc w:val="both"/>
        <w:rPr>
          <w:rFonts w:ascii="Sylfaen" w:hAnsi="Sylfaen" w:cs="Sylfaen"/>
          <w:b/>
          <w:sz w:val="24"/>
          <w:szCs w:val="24"/>
          <w:lang w:val="ka-GE"/>
        </w:rPr>
      </w:pPr>
      <w:r w:rsidRPr="00840CA5">
        <w:rPr>
          <w:rFonts w:ascii="Sylfaen" w:hAnsi="Sylfaen" w:cs="Sylfaen"/>
          <w:b/>
          <w:sz w:val="24"/>
          <w:szCs w:val="24"/>
          <w:lang w:val="ka-GE"/>
        </w:rPr>
        <w:t>წამლის ფორმა</w:t>
      </w:r>
    </w:p>
    <w:p w14:paraId="3140682E" w14:textId="71B59551" w:rsidR="00D95163" w:rsidRPr="00840CA5" w:rsidRDefault="00CB37AF" w:rsidP="007050C7">
      <w:pPr>
        <w:spacing w:after="0" w:line="240" w:lineRule="auto"/>
        <w:ind w:left="-990" w:right="-301"/>
        <w:rPr>
          <w:rFonts w:ascii="Sylfaen" w:hAnsi="Sylfaen" w:cs="Sylfaen"/>
          <w:bCs/>
          <w:sz w:val="24"/>
          <w:szCs w:val="24"/>
          <w:lang w:val="ka-GE"/>
        </w:rPr>
      </w:pPr>
      <w:r w:rsidRPr="00840CA5">
        <w:rPr>
          <w:rFonts w:ascii="Sylfaen" w:hAnsi="Sylfaen" w:cs="Sylfaen"/>
          <w:bCs/>
          <w:sz w:val="24"/>
          <w:szCs w:val="24"/>
          <w:lang w:val="ka-GE"/>
        </w:rPr>
        <w:t xml:space="preserve">შემოგარსული </w:t>
      </w:r>
      <w:r w:rsidR="00BA4B2A" w:rsidRPr="00840CA5">
        <w:rPr>
          <w:rFonts w:ascii="Sylfaen" w:hAnsi="Sylfaen" w:cs="Sylfaen"/>
          <w:bCs/>
          <w:sz w:val="24"/>
          <w:szCs w:val="24"/>
          <w:lang w:val="ka-GE"/>
        </w:rPr>
        <w:t>ტაბლეტ</w:t>
      </w:r>
      <w:r w:rsidR="0086618E" w:rsidRPr="00840CA5">
        <w:rPr>
          <w:rFonts w:ascii="Sylfaen" w:hAnsi="Sylfaen" w:cs="Sylfaen"/>
          <w:bCs/>
          <w:sz w:val="24"/>
          <w:szCs w:val="24"/>
          <w:lang w:val="ka-GE"/>
        </w:rPr>
        <w:t>ებ</w:t>
      </w:r>
      <w:r w:rsidR="00BA4B2A" w:rsidRPr="00840CA5">
        <w:rPr>
          <w:rFonts w:ascii="Sylfaen" w:hAnsi="Sylfaen" w:cs="Sylfaen"/>
          <w:bCs/>
          <w:sz w:val="24"/>
          <w:szCs w:val="24"/>
          <w:lang w:val="ka-GE"/>
        </w:rPr>
        <w:t>ი</w:t>
      </w:r>
    </w:p>
    <w:p w14:paraId="34A2CE87" w14:textId="64D9EBB4" w:rsidR="00D95163" w:rsidRPr="00840CA5" w:rsidRDefault="00D95163" w:rsidP="007050C7">
      <w:pPr>
        <w:pStyle w:val="ListParagraph"/>
        <w:numPr>
          <w:ilvl w:val="0"/>
          <w:numId w:val="37"/>
        </w:numPr>
        <w:spacing w:after="0" w:line="240" w:lineRule="auto"/>
        <w:ind w:left="-630" w:right="-211"/>
        <w:jc w:val="both"/>
        <w:rPr>
          <w:rFonts w:ascii="Sylfaen" w:hAnsi="Sylfaen" w:cs="Sylfaen"/>
          <w:b/>
          <w:sz w:val="24"/>
          <w:szCs w:val="24"/>
          <w:lang w:val="ka-GE"/>
        </w:rPr>
      </w:pPr>
      <w:r w:rsidRPr="00840CA5">
        <w:rPr>
          <w:rFonts w:ascii="Sylfaen" w:hAnsi="Sylfaen" w:cs="Sylfaen"/>
          <w:b/>
          <w:sz w:val="24"/>
          <w:szCs w:val="24"/>
          <w:lang w:val="ka-GE"/>
        </w:rPr>
        <w:t>აღწერა</w:t>
      </w:r>
    </w:p>
    <w:p w14:paraId="2B883127" w14:textId="0EA5A7E3" w:rsidR="00CB37AF" w:rsidRPr="00840CA5" w:rsidRDefault="00CB37AF"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ლო</w:t>
      </w:r>
      <w:r w:rsidR="0039482E" w:rsidRPr="00840CA5">
        <w:rPr>
          <w:rFonts w:ascii="Sylfaen" w:hAnsi="Sylfaen" w:cs="Sylfaen"/>
          <w:b/>
          <w:bCs/>
          <w:sz w:val="24"/>
          <w:szCs w:val="24"/>
          <w:lang w:val="ka-GE"/>
        </w:rPr>
        <w:t>ზ</w:t>
      </w:r>
      <w:r w:rsidRPr="00840CA5">
        <w:rPr>
          <w:rFonts w:ascii="Sylfaen" w:hAnsi="Sylfaen" w:cs="Sylfaen"/>
          <w:b/>
          <w:bCs/>
          <w:sz w:val="24"/>
          <w:szCs w:val="24"/>
          <w:lang w:val="ka-GE"/>
        </w:rPr>
        <w:t xml:space="preserve">არტანის კალიუმი და  ჰიდროქლოროთიაზიდის ტაბლეტები USP 50მგ/12.5მგ </w:t>
      </w:r>
    </w:p>
    <w:p w14:paraId="46D1AD3E" w14:textId="3AA4C33E" w:rsidR="00097E20" w:rsidRPr="00840CA5" w:rsidRDefault="00097E20" w:rsidP="007050C7">
      <w:pPr>
        <w:spacing w:after="0" w:line="240" w:lineRule="auto"/>
        <w:ind w:left="-990" w:right="-301"/>
        <w:jc w:val="both"/>
        <w:rPr>
          <w:rFonts w:ascii="Sylfaen" w:hAnsi="Sylfaen" w:cs="Sylfaen"/>
          <w:bCs/>
          <w:sz w:val="24"/>
          <w:szCs w:val="24"/>
          <w:lang w:val="ka-GE"/>
        </w:rPr>
      </w:pPr>
      <w:r w:rsidRPr="00840CA5">
        <w:rPr>
          <w:rFonts w:ascii="Sylfaen" w:hAnsi="Sylfaen" w:cs="Sylfaen"/>
          <w:bCs/>
          <w:sz w:val="24"/>
          <w:szCs w:val="24"/>
          <w:lang w:val="ka-GE"/>
        </w:rPr>
        <w:t>თეთრი ფერის, მრგვალი ფორმის, ორმხრივ ამობურცული, შემოგარსული ტაბლეტები, ორივე მხრიდან გლუვი.</w:t>
      </w:r>
    </w:p>
    <w:p w14:paraId="69673E38" w14:textId="52CAC566" w:rsidR="003D632F" w:rsidRPr="00840CA5" w:rsidRDefault="003D632F" w:rsidP="007050C7">
      <w:pPr>
        <w:spacing w:after="0" w:line="240" w:lineRule="auto"/>
        <w:ind w:left="-990" w:right="-211"/>
        <w:jc w:val="both"/>
        <w:rPr>
          <w:rFonts w:ascii="Sylfaen" w:hAnsi="Sylfaen" w:cs="Sylfaen"/>
          <w:bCs/>
          <w:sz w:val="24"/>
          <w:szCs w:val="24"/>
          <w:lang w:val="ka-GE"/>
        </w:rPr>
      </w:pPr>
      <w:r w:rsidRPr="00840CA5">
        <w:rPr>
          <w:rFonts w:ascii="Sylfaen" w:hAnsi="Sylfaen"/>
          <w:b/>
          <w:sz w:val="24"/>
          <w:szCs w:val="24"/>
          <w:lang w:val="ka-GE"/>
        </w:rPr>
        <w:t>ლო</w:t>
      </w:r>
      <w:r w:rsidR="0039482E" w:rsidRPr="00840CA5">
        <w:rPr>
          <w:rFonts w:ascii="Sylfaen" w:hAnsi="Sylfaen"/>
          <w:b/>
          <w:sz w:val="24"/>
          <w:szCs w:val="24"/>
          <w:lang w:val="ka-GE"/>
        </w:rPr>
        <w:t>ზ</w:t>
      </w:r>
      <w:r w:rsidRPr="00840CA5">
        <w:rPr>
          <w:rFonts w:ascii="Sylfaen" w:hAnsi="Sylfaen"/>
          <w:b/>
          <w:sz w:val="24"/>
          <w:szCs w:val="24"/>
          <w:lang w:val="ka-GE"/>
        </w:rPr>
        <w:t>არტანის კალიუმი და  ჰიდროქლოროთიაზიდის ტაბლეტები USP 100მგ/25მგ</w:t>
      </w:r>
    </w:p>
    <w:p w14:paraId="5DE305ED" w14:textId="4F9FCFE9" w:rsidR="003D632F" w:rsidRPr="00840CA5" w:rsidRDefault="003D632F" w:rsidP="007050C7">
      <w:pPr>
        <w:spacing w:after="0" w:line="240" w:lineRule="auto"/>
        <w:ind w:left="-990" w:right="-301"/>
        <w:jc w:val="both"/>
        <w:rPr>
          <w:rFonts w:ascii="Sylfaen" w:hAnsi="Sylfaen" w:cs="Sylfaen"/>
          <w:bCs/>
          <w:sz w:val="24"/>
          <w:szCs w:val="24"/>
          <w:lang w:val="ka-GE"/>
        </w:rPr>
      </w:pPr>
      <w:r w:rsidRPr="00840CA5">
        <w:rPr>
          <w:rFonts w:ascii="Sylfaen" w:hAnsi="Sylfaen" w:cs="Sylfaen"/>
          <w:bCs/>
          <w:sz w:val="24"/>
          <w:szCs w:val="24"/>
          <w:lang w:val="ka-GE"/>
        </w:rPr>
        <w:t>თეთრი ფერის, მრგვალი ფორმის, ორმხრივ ამობურცული, შემოგარსული ტაბლეტები, ორივე მხრიდან გლუვი.</w:t>
      </w:r>
    </w:p>
    <w:p w14:paraId="0462763E" w14:textId="77777777" w:rsidR="00097E20" w:rsidRPr="00840CA5" w:rsidRDefault="00D95163" w:rsidP="007050C7">
      <w:pPr>
        <w:pStyle w:val="ListParagraph"/>
        <w:numPr>
          <w:ilvl w:val="0"/>
          <w:numId w:val="37"/>
        </w:numPr>
        <w:spacing w:after="0" w:line="240" w:lineRule="auto"/>
        <w:ind w:left="-630" w:right="-211"/>
        <w:jc w:val="both"/>
        <w:rPr>
          <w:rFonts w:ascii="Sylfaen" w:hAnsi="Sylfaen" w:cs="Sylfaen"/>
          <w:b/>
          <w:sz w:val="24"/>
          <w:szCs w:val="24"/>
          <w:lang w:val="ka-GE"/>
        </w:rPr>
      </w:pPr>
      <w:r w:rsidRPr="00840CA5">
        <w:rPr>
          <w:rFonts w:ascii="Sylfaen" w:hAnsi="Sylfaen" w:cs="Sylfaen"/>
          <w:b/>
          <w:sz w:val="24"/>
          <w:szCs w:val="24"/>
          <w:lang w:val="ka-GE"/>
        </w:rPr>
        <w:t>კლინიკური მონაცემები</w:t>
      </w:r>
    </w:p>
    <w:p w14:paraId="42DE7085" w14:textId="7C2847B2" w:rsidR="00D95163" w:rsidRPr="00840CA5" w:rsidRDefault="00D95163" w:rsidP="007050C7">
      <w:pPr>
        <w:pStyle w:val="ListParagraph"/>
        <w:numPr>
          <w:ilvl w:val="1"/>
          <w:numId w:val="37"/>
        </w:numPr>
        <w:spacing w:after="0" w:line="240" w:lineRule="auto"/>
        <w:ind w:left="-540" w:right="-211"/>
        <w:jc w:val="both"/>
        <w:rPr>
          <w:rFonts w:ascii="Sylfaen" w:hAnsi="Sylfaen" w:cs="Sylfaen"/>
          <w:b/>
          <w:sz w:val="24"/>
          <w:szCs w:val="24"/>
          <w:lang w:val="ka-GE"/>
        </w:rPr>
      </w:pPr>
      <w:r w:rsidRPr="00840CA5">
        <w:rPr>
          <w:rFonts w:ascii="Sylfaen" w:hAnsi="Sylfaen" w:cs="Sylfaen"/>
          <w:b/>
          <w:sz w:val="24"/>
          <w:szCs w:val="24"/>
          <w:lang w:val="ka-GE"/>
        </w:rPr>
        <w:t xml:space="preserve">უსაფრთხოების </w:t>
      </w:r>
      <w:r w:rsidR="00ED3460" w:rsidRPr="00840CA5">
        <w:rPr>
          <w:rFonts w:ascii="Sylfaen" w:hAnsi="Sylfaen" w:cs="Sylfaen"/>
          <w:b/>
          <w:sz w:val="24"/>
          <w:szCs w:val="24"/>
          <w:lang w:val="ka-GE"/>
        </w:rPr>
        <w:t xml:space="preserve">პრეკლინიკური </w:t>
      </w:r>
      <w:r w:rsidRPr="00840CA5">
        <w:rPr>
          <w:rFonts w:ascii="Sylfaen" w:hAnsi="Sylfaen" w:cs="Sylfaen"/>
          <w:b/>
          <w:sz w:val="24"/>
          <w:szCs w:val="24"/>
          <w:lang w:val="ka-GE"/>
        </w:rPr>
        <w:t>მონაცემები</w:t>
      </w:r>
    </w:p>
    <w:p w14:paraId="10605CE1" w14:textId="535B3AC5" w:rsidR="00AA3BEC" w:rsidRPr="00840CA5" w:rsidRDefault="00B33312" w:rsidP="007050C7">
      <w:pPr>
        <w:spacing w:after="0" w:line="240" w:lineRule="auto"/>
        <w:ind w:left="-990" w:right="-301"/>
        <w:jc w:val="both"/>
        <w:rPr>
          <w:rFonts w:ascii="Sylfaen" w:hAnsi="Sylfaen" w:cs="Sylfaen"/>
          <w:bCs/>
          <w:sz w:val="24"/>
          <w:szCs w:val="24"/>
          <w:lang w:val="ka-GE"/>
        </w:rPr>
      </w:pPr>
      <w:r w:rsidRPr="00840CA5">
        <w:rPr>
          <w:rFonts w:ascii="Sylfaen" w:hAnsi="Sylfaen" w:cs="Sylfaen"/>
          <w:bCs/>
          <w:sz w:val="24"/>
          <w:szCs w:val="24"/>
          <w:lang w:val="ka-GE"/>
        </w:rPr>
        <w:t xml:space="preserve">ზოგადი ფარმაკოლოგიის, გენოტოქსიკურობისა და კანცეროგენული პოტენციალის </w:t>
      </w:r>
      <w:r w:rsidR="008A658E" w:rsidRPr="00840CA5">
        <w:rPr>
          <w:rFonts w:ascii="Sylfaen" w:hAnsi="Sylfaen" w:cs="Sylfaen"/>
          <w:bCs/>
          <w:sz w:val="24"/>
          <w:szCs w:val="24"/>
          <w:lang w:val="ka-GE"/>
        </w:rPr>
        <w:t>სტანდარტული</w:t>
      </w:r>
      <w:r w:rsidRPr="00840CA5">
        <w:rPr>
          <w:rFonts w:ascii="Sylfaen" w:hAnsi="Sylfaen" w:cs="Sylfaen"/>
          <w:bCs/>
          <w:sz w:val="24"/>
          <w:szCs w:val="24"/>
          <w:lang w:val="ka-GE"/>
        </w:rPr>
        <w:t xml:space="preserve"> კვლევების საფუძველზე პრეკლინიკურმა მონაცემებმა არ გამოავლინა რაიმე განსაკუთრებული საფრთხე ადამიანისთვის.</w:t>
      </w:r>
      <w:r w:rsidR="00AA3BEC" w:rsidRPr="00840CA5">
        <w:rPr>
          <w:rFonts w:ascii="Sylfaen" w:hAnsi="Sylfaen" w:cs="Sylfaen"/>
          <w:bCs/>
          <w:sz w:val="24"/>
          <w:szCs w:val="24"/>
          <w:lang w:val="ka-GE"/>
        </w:rPr>
        <w:t xml:space="preserve"> ლო</w:t>
      </w:r>
      <w:r w:rsidR="0039482E" w:rsidRPr="00840CA5">
        <w:rPr>
          <w:rFonts w:ascii="Sylfaen" w:hAnsi="Sylfaen" w:cs="Sylfaen"/>
          <w:bCs/>
          <w:sz w:val="24"/>
          <w:szCs w:val="24"/>
          <w:lang w:val="ka-GE"/>
        </w:rPr>
        <w:t>ზ</w:t>
      </w:r>
      <w:r w:rsidR="00AA3BEC" w:rsidRPr="00840CA5">
        <w:rPr>
          <w:rFonts w:ascii="Sylfaen" w:hAnsi="Sylfaen" w:cs="Sylfaen"/>
          <w:bCs/>
          <w:sz w:val="24"/>
          <w:szCs w:val="24"/>
          <w:lang w:val="ka-GE"/>
        </w:rPr>
        <w:t>არტანი/ჰიდროქლოროთიაზიდის კომბინაციის ტოქსიკური პოტენციალი შეფასდა ქრონიკული ტოქსიკურობის ექვსთვიან კვლევებში ვირთხებსა და ძაღლებში პერორალურ</w:t>
      </w:r>
      <w:r w:rsidR="008A658E" w:rsidRPr="00840CA5">
        <w:rPr>
          <w:rFonts w:ascii="Sylfaen" w:hAnsi="Sylfaen" w:cs="Sylfaen"/>
          <w:bCs/>
          <w:sz w:val="24"/>
          <w:szCs w:val="24"/>
          <w:lang w:val="ka-GE"/>
        </w:rPr>
        <w:t>ად</w:t>
      </w:r>
      <w:r w:rsidR="00AA3BEC" w:rsidRPr="00840CA5">
        <w:rPr>
          <w:rFonts w:ascii="Sylfaen" w:hAnsi="Sylfaen" w:cs="Sylfaen"/>
          <w:bCs/>
          <w:sz w:val="24"/>
          <w:szCs w:val="24"/>
          <w:lang w:val="ka-GE"/>
        </w:rPr>
        <w:t xml:space="preserve"> </w:t>
      </w:r>
      <w:r w:rsidR="008A658E" w:rsidRPr="00840CA5">
        <w:rPr>
          <w:rFonts w:ascii="Sylfaen" w:hAnsi="Sylfaen" w:cs="Sylfaen"/>
          <w:bCs/>
          <w:sz w:val="24"/>
          <w:szCs w:val="24"/>
          <w:lang w:val="ka-GE"/>
        </w:rPr>
        <w:t>გამოყენების</w:t>
      </w:r>
      <w:r w:rsidR="00AA3BEC" w:rsidRPr="00840CA5">
        <w:rPr>
          <w:rFonts w:ascii="Sylfaen" w:hAnsi="Sylfaen" w:cs="Sylfaen"/>
          <w:bCs/>
          <w:sz w:val="24"/>
          <w:szCs w:val="24"/>
          <w:lang w:val="ka-GE"/>
        </w:rPr>
        <w:t xml:space="preserve"> შემდეგ, </w:t>
      </w:r>
      <w:r w:rsidR="008A658E" w:rsidRPr="00840CA5">
        <w:rPr>
          <w:rFonts w:ascii="Sylfaen" w:hAnsi="Sylfaen" w:cs="Sylfaen"/>
          <w:bCs/>
          <w:sz w:val="24"/>
          <w:szCs w:val="24"/>
          <w:lang w:val="ka-GE"/>
        </w:rPr>
        <w:t>აღნიშნულ</w:t>
      </w:r>
      <w:r w:rsidR="00AA3BEC" w:rsidRPr="00840CA5">
        <w:rPr>
          <w:rFonts w:ascii="Sylfaen" w:hAnsi="Sylfaen" w:cs="Sylfaen"/>
          <w:bCs/>
          <w:sz w:val="24"/>
          <w:szCs w:val="24"/>
          <w:lang w:val="ka-GE"/>
        </w:rPr>
        <w:t xml:space="preserve"> კვლევებში დაფიქსირებული ცვლილებები ძირითადად დაკავშირებული იყო ლო</w:t>
      </w:r>
      <w:r w:rsidR="0039482E" w:rsidRPr="00840CA5">
        <w:rPr>
          <w:rFonts w:ascii="Sylfaen" w:hAnsi="Sylfaen" w:cs="Sylfaen"/>
          <w:bCs/>
          <w:sz w:val="24"/>
          <w:szCs w:val="24"/>
          <w:lang w:val="ka-GE"/>
        </w:rPr>
        <w:t>ზ</w:t>
      </w:r>
      <w:r w:rsidR="00AA3BEC" w:rsidRPr="00840CA5">
        <w:rPr>
          <w:rFonts w:ascii="Sylfaen" w:hAnsi="Sylfaen" w:cs="Sylfaen"/>
          <w:bCs/>
          <w:sz w:val="24"/>
          <w:szCs w:val="24"/>
          <w:lang w:val="ka-GE"/>
        </w:rPr>
        <w:t>არტანის კომპონენტთან. ლო</w:t>
      </w:r>
      <w:r w:rsidR="0039482E" w:rsidRPr="00840CA5">
        <w:rPr>
          <w:rFonts w:ascii="Sylfaen" w:hAnsi="Sylfaen" w:cs="Sylfaen"/>
          <w:bCs/>
          <w:sz w:val="24"/>
          <w:szCs w:val="24"/>
          <w:lang w:val="ka-GE"/>
        </w:rPr>
        <w:t>ზ</w:t>
      </w:r>
      <w:r w:rsidR="00AA3BEC" w:rsidRPr="00840CA5">
        <w:rPr>
          <w:rFonts w:ascii="Sylfaen" w:hAnsi="Sylfaen" w:cs="Sylfaen"/>
          <w:bCs/>
          <w:sz w:val="24"/>
          <w:szCs w:val="24"/>
          <w:lang w:val="ka-GE"/>
        </w:rPr>
        <w:t>არტანი/ ჰიდროქლოროთიაზიდის კომბინაციის მიღებამ გამოიწვია სისხლის წითელი უჯრედების პარამეტრების (ერითროციტები, ჰემოგლობინი, ჰემატოკრიტი) შემცირება, შარდოვანა-N-ის მომატება შრატში, გულის წონის შემცირება (ჰისტოლოგიური კორელაციის გარეშე) და ცვლილებები კუჭ-ნაწლავის ტრაქტის მხრივ (ლორწოვანი გარსის დაზიანება, წყლული, ეროზია, ჰემორაგიები). ლო</w:t>
      </w:r>
      <w:r w:rsidR="0039482E" w:rsidRPr="00840CA5">
        <w:rPr>
          <w:rFonts w:ascii="Sylfaen" w:hAnsi="Sylfaen" w:cs="Sylfaen"/>
          <w:bCs/>
          <w:sz w:val="24"/>
          <w:szCs w:val="24"/>
          <w:lang w:val="ka-GE"/>
        </w:rPr>
        <w:t>ზ</w:t>
      </w:r>
      <w:r w:rsidR="00AA3BEC" w:rsidRPr="00840CA5">
        <w:rPr>
          <w:rFonts w:ascii="Sylfaen" w:hAnsi="Sylfaen" w:cs="Sylfaen"/>
          <w:bCs/>
          <w:sz w:val="24"/>
          <w:szCs w:val="24"/>
          <w:lang w:val="ka-GE"/>
        </w:rPr>
        <w:t xml:space="preserve">არტანი/ჰიდროქლოროთიაზიდის კომბინაციით ნამკურნალებ ვირთაგვებსა და ბოცვრებში ტერატოგენურობის ფაქტი არ დადასტურდა. </w:t>
      </w:r>
      <w:r w:rsidR="005152AD" w:rsidRPr="00840CA5">
        <w:rPr>
          <w:rFonts w:ascii="Sylfaen" w:hAnsi="Sylfaen" w:cs="Sylfaen"/>
          <w:bCs/>
          <w:sz w:val="24"/>
          <w:szCs w:val="24"/>
          <w:lang w:val="ka-GE"/>
        </w:rPr>
        <w:t xml:space="preserve">მაკეობამდე </w:t>
      </w:r>
      <w:r w:rsidR="00AA3BEC" w:rsidRPr="00840CA5">
        <w:rPr>
          <w:rFonts w:ascii="Sylfaen" w:hAnsi="Sylfaen" w:cs="Sylfaen"/>
          <w:bCs/>
          <w:sz w:val="24"/>
          <w:szCs w:val="24"/>
          <w:lang w:val="ka-GE"/>
        </w:rPr>
        <w:t xml:space="preserve">და </w:t>
      </w:r>
      <w:r w:rsidR="005152AD" w:rsidRPr="00840CA5">
        <w:rPr>
          <w:rFonts w:ascii="Sylfaen" w:hAnsi="Sylfaen" w:cs="Sylfaen"/>
          <w:bCs/>
          <w:sz w:val="24"/>
          <w:szCs w:val="24"/>
          <w:lang w:val="ka-GE"/>
        </w:rPr>
        <w:t>მაკეობის</w:t>
      </w:r>
      <w:r w:rsidR="00AA3BEC" w:rsidRPr="00840CA5">
        <w:rPr>
          <w:rFonts w:ascii="Sylfaen" w:hAnsi="Sylfaen" w:cs="Sylfaen"/>
          <w:bCs/>
          <w:sz w:val="24"/>
          <w:szCs w:val="24"/>
          <w:lang w:val="ka-GE"/>
        </w:rPr>
        <w:t xml:space="preserve"> პერიოდში გამოყენების</w:t>
      </w:r>
      <w:r w:rsidR="008A658E" w:rsidRPr="00840CA5">
        <w:rPr>
          <w:rFonts w:ascii="Sylfaen" w:hAnsi="Sylfaen" w:cs="Sylfaen"/>
          <w:bCs/>
          <w:sz w:val="24"/>
          <w:szCs w:val="24"/>
          <w:lang w:val="ka-GE"/>
        </w:rPr>
        <w:t xml:space="preserve">ას </w:t>
      </w:r>
      <w:r w:rsidR="00AA3BEC" w:rsidRPr="00840CA5">
        <w:rPr>
          <w:rFonts w:ascii="Sylfaen" w:hAnsi="Sylfaen" w:cs="Sylfaen"/>
          <w:bCs/>
          <w:sz w:val="24"/>
          <w:szCs w:val="24"/>
          <w:lang w:val="ka-GE"/>
        </w:rPr>
        <w:t xml:space="preserve">ვირთაგვებში დაფიქსირდა ნაყოფის ტოქსიკურობა, რაც </w:t>
      </w:r>
      <w:r w:rsidR="005152AD" w:rsidRPr="00840CA5">
        <w:rPr>
          <w:rFonts w:ascii="Sylfaen" w:hAnsi="Sylfaen" w:cs="Sylfaen"/>
          <w:bCs/>
          <w:sz w:val="24"/>
          <w:szCs w:val="24"/>
          <w:lang w:val="ka-GE"/>
        </w:rPr>
        <w:t>დადასტურდა</w:t>
      </w:r>
      <w:r w:rsidR="00AA3BEC" w:rsidRPr="00840CA5">
        <w:rPr>
          <w:rFonts w:ascii="Sylfaen" w:hAnsi="Sylfaen" w:cs="Sylfaen"/>
          <w:bCs/>
          <w:sz w:val="24"/>
          <w:szCs w:val="24"/>
          <w:lang w:val="ka-GE"/>
        </w:rPr>
        <w:t xml:space="preserve"> დამატებითი ნეკნების წარმოქმნის მცირედი ზრდით F1 თაობაში. ლო</w:t>
      </w:r>
      <w:r w:rsidR="0039482E" w:rsidRPr="00840CA5">
        <w:rPr>
          <w:rFonts w:ascii="Sylfaen" w:hAnsi="Sylfaen" w:cs="Sylfaen"/>
          <w:bCs/>
          <w:sz w:val="24"/>
          <w:szCs w:val="24"/>
          <w:lang w:val="ka-GE"/>
        </w:rPr>
        <w:t>ზ</w:t>
      </w:r>
      <w:r w:rsidR="00AA3BEC" w:rsidRPr="00840CA5">
        <w:rPr>
          <w:rFonts w:ascii="Sylfaen" w:hAnsi="Sylfaen" w:cs="Sylfaen"/>
          <w:bCs/>
          <w:sz w:val="24"/>
          <w:szCs w:val="24"/>
          <w:lang w:val="ka-GE"/>
        </w:rPr>
        <w:t xml:space="preserve">არტანის მონოთერაპიის </w:t>
      </w:r>
      <w:r w:rsidR="005152AD" w:rsidRPr="00840CA5">
        <w:rPr>
          <w:rFonts w:ascii="Sylfaen" w:hAnsi="Sylfaen" w:cs="Sylfaen"/>
          <w:bCs/>
          <w:sz w:val="24"/>
          <w:szCs w:val="24"/>
          <w:lang w:val="ka-GE"/>
        </w:rPr>
        <w:t>კვლევისას</w:t>
      </w:r>
      <w:r w:rsidR="00AA3BEC" w:rsidRPr="00840CA5">
        <w:rPr>
          <w:rFonts w:ascii="Sylfaen" w:hAnsi="Sylfaen" w:cs="Sylfaen"/>
          <w:bCs/>
          <w:sz w:val="24"/>
          <w:szCs w:val="24"/>
          <w:lang w:val="ka-GE"/>
        </w:rPr>
        <w:t xml:space="preserve"> ნაყოფისა და </w:t>
      </w:r>
      <w:r w:rsidR="005152AD" w:rsidRPr="00840CA5">
        <w:rPr>
          <w:rFonts w:ascii="Sylfaen" w:hAnsi="Sylfaen" w:cs="Sylfaen"/>
          <w:bCs/>
          <w:sz w:val="24"/>
          <w:szCs w:val="24"/>
          <w:lang w:val="ka-GE"/>
        </w:rPr>
        <w:t xml:space="preserve">ნაშიერების </w:t>
      </w:r>
      <w:r w:rsidR="00AA3BEC" w:rsidRPr="00840CA5">
        <w:rPr>
          <w:rFonts w:ascii="Sylfaen" w:hAnsi="Sylfaen" w:cs="Sylfaen"/>
          <w:bCs/>
          <w:sz w:val="24"/>
          <w:szCs w:val="24"/>
          <w:lang w:val="ka-GE"/>
        </w:rPr>
        <w:t xml:space="preserve">გვერდითი მოვლენები, მათ შორის თირკმლის ტოქსიკურობა და ნაყოფის </w:t>
      </w:r>
      <w:r w:rsidR="00AA3BEC" w:rsidRPr="00840CA5">
        <w:rPr>
          <w:rFonts w:ascii="Sylfaen" w:hAnsi="Sylfaen" w:cs="Sylfaen"/>
          <w:bCs/>
          <w:sz w:val="24"/>
          <w:szCs w:val="24"/>
          <w:lang w:val="ka-GE"/>
        </w:rPr>
        <w:lastRenderedPageBreak/>
        <w:t xml:space="preserve">სიკვდილიანობა, </w:t>
      </w:r>
      <w:r w:rsidR="005152AD" w:rsidRPr="00840CA5">
        <w:rPr>
          <w:rFonts w:ascii="Sylfaen" w:hAnsi="Sylfaen" w:cs="Sylfaen"/>
          <w:bCs/>
          <w:sz w:val="24"/>
          <w:szCs w:val="24"/>
          <w:lang w:val="ka-GE"/>
        </w:rPr>
        <w:t>დაფიქსირდა</w:t>
      </w:r>
      <w:r w:rsidR="00AA3BEC" w:rsidRPr="00840CA5">
        <w:rPr>
          <w:rFonts w:ascii="Sylfaen" w:hAnsi="Sylfaen" w:cs="Sylfaen"/>
          <w:bCs/>
          <w:sz w:val="24"/>
          <w:szCs w:val="24"/>
          <w:lang w:val="ka-GE"/>
        </w:rPr>
        <w:t xml:space="preserve"> </w:t>
      </w:r>
      <w:r w:rsidR="005152AD" w:rsidRPr="00840CA5">
        <w:rPr>
          <w:rFonts w:ascii="Sylfaen" w:hAnsi="Sylfaen" w:cs="Sylfaen"/>
          <w:bCs/>
          <w:sz w:val="24"/>
          <w:szCs w:val="24"/>
          <w:lang w:val="ka-GE"/>
        </w:rPr>
        <w:t>მაკე</w:t>
      </w:r>
      <w:r w:rsidR="00AA3BEC" w:rsidRPr="00840CA5">
        <w:rPr>
          <w:rFonts w:ascii="Sylfaen" w:hAnsi="Sylfaen" w:cs="Sylfaen"/>
          <w:bCs/>
          <w:sz w:val="24"/>
          <w:szCs w:val="24"/>
          <w:lang w:val="ka-GE"/>
        </w:rPr>
        <w:t xml:space="preserve"> ვირთაგვებ</w:t>
      </w:r>
      <w:r w:rsidR="008A658E" w:rsidRPr="00840CA5">
        <w:rPr>
          <w:rFonts w:ascii="Sylfaen" w:hAnsi="Sylfaen" w:cs="Sylfaen"/>
          <w:bCs/>
          <w:sz w:val="24"/>
          <w:szCs w:val="24"/>
          <w:lang w:val="ka-GE"/>
        </w:rPr>
        <w:t>ში</w:t>
      </w:r>
      <w:r w:rsidR="00AA3BEC" w:rsidRPr="00840CA5">
        <w:rPr>
          <w:rFonts w:ascii="Sylfaen" w:hAnsi="Sylfaen" w:cs="Sylfaen"/>
          <w:bCs/>
          <w:sz w:val="24"/>
          <w:szCs w:val="24"/>
          <w:lang w:val="ka-GE"/>
        </w:rPr>
        <w:t xml:space="preserve"> ლო</w:t>
      </w:r>
      <w:r w:rsidR="0039482E" w:rsidRPr="00840CA5">
        <w:rPr>
          <w:rFonts w:ascii="Sylfaen" w:hAnsi="Sylfaen" w:cs="Sylfaen"/>
          <w:bCs/>
          <w:sz w:val="24"/>
          <w:szCs w:val="24"/>
          <w:lang w:val="ka-GE"/>
        </w:rPr>
        <w:t>ზ</w:t>
      </w:r>
      <w:r w:rsidR="00AA3BEC" w:rsidRPr="00840CA5">
        <w:rPr>
          <w:rFonts w:ascii="Sylfaen" w:hAnsi="Sylfaen" w:cs="Sylfaen"/>
          <w:bCs/>
          <w:sz w:val="24"/>
          <w:szCs w:val="24"/>
          <w:lang w:val="ka-GE"/>
        </w:rPr>
        <w:t>არტანი/ჰიდროქლორთიაზიდის კომბინაციი</w:t>
      </w:r>
      <w:r w:rsidR="008A658E" w:rsidRPr="00840CA5">
        <w:rPr>
          <w:rFonts w:ascii="Sylfaen" w:hAnsi="Sylfaen" w:cs="Sylfaen"/>
          <w:bCs/>
          <w:sz w:val="24"/>
          <w:szCs w:val="24"/>
          <w:lang w:val="ka-GE"/>
        </w:rPr>
        <w:t>ს გამოყენებისას</w:t>
      </w:r>
      <w:r w:rsidR="00AA3BEC" w:rsidRPr="00840CA5">
        <w:rPr>
          <w:rFonts w:ascii="Sylfaen" w:hAnsi="Sylfaen" w:cs="Sylfaen"/>
          <w:bCs/>
          <w:sz w:val="24"/>
          <w:szCs w:val="24"/>
          <w:lang w:val="ka-GE"/>
        </w:rPr>
        <w:t xml:space="preserve"> </w:t>
      </w:r>
      <w:r w:rsidR="005152AD" w:rsidRPr="00840CA5">
        <w:rPr>
          <w:rFonts w:ascii="Sylfaen" w:hAnsi="Sylfaen" w:cs="Sylfaen"/>
          <w:bCs/>
          <w:sz w:val="24"/>
          <w:szCs w:val="24"/>
          <w:lang w:val="ka-GE"/>
        </w:rPr>
        <w:t xml:space="preserve">მაკეობის </w:t>
      </w:r>
      <w:r w:rsidR="00AA3BEC" w:rsidRPr="00840CA5">
        <w:rPr>
          <w:rFonts w:ascii="Sylfaen" w:hAnsi="Sylfaen" w:cs="Sylfaen"/>
          <w:bCs/>
          <w:sz w:val="24"/>
          <w:szCs w:val="24"/>
          <w:lang w:val="ka-GE"/>
        </w:rPr>
        <w:t>გვიან პერიოდში და/ან ლაქტაციის პერიოდში.</w:t>
      </w:r>
    </w:p>
    <w:p w14:paraId="2B6C84A5" w14:textId="234BD233" w:rsidR="00D95163" w:rsidRPr="00840CA5" w:rsidRDefault="00D95163" w:rsidP="007050C7">
      <w:pPr>
        <w:pStyle w:val="ListParagraph"/>
        <w:numPr>
          <w:ilvl w:val="1"/>
          <w:numId w:val="37"/>
        </w:numPr>
        <w:spacing w:after="0" w:line="240" w:lineRule="auto"/>
        <w:ind w:left="-540" w:right="-211"/>
        <w:jc w:val="both"/>
        <w:rPr>
          <w:rFonts w:ascii="Sylfaen" w:hAnsi="Sylfaen" w:cs="Sylfaen"/>
          <w:b/>
          <w:sz w:val="24"/>
          <w:szCs w:val="24"/>
          <w:lang w:val="ka-GE"/>
        </w:rPr>
      </w:pPr>
      <w:r w:rsidRPr="00840CA5">
        <w:rPr>
          <w:rFonts w:ascii="Sylfaen" w:hAnsi="Sylfaen" w:cs="Sylfaen"/>
          <w:b/>
          <w:sz w:val="24"/>
          <w:szCs w:val="24"/>
          <w:lang w:val="ka-GE"/>
        </w:rPr>
        <w:t>თერაპიული ჩვენებები</w:t>
      </w:r>
    </w:p>
    <w:p w14:paraId="1564A1A7" w14:textId="59F8A751" w:rsidR="005152AD" w:rsidRPr="00840CA5" w:rsidRDefault="005152AD"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კალიუმი/ჰიდროქლორთიაზიდი გამოიყენება ესენციური ჰიპერტენზიის სამკურნალოდ იმ პაციენტებში, რომელთა არტერიული წნევა ვერ კონტროლდება სათანადოდ მხოლოდ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არტანით ან ჰიდროქლოროთიაზიდით. </w:t>
      </w:r>
    </w:p>
    <w:p w14:paraId="0B2085E1" w14:textId="2FECBE9E" w:rsidR="00A05BBB" w:rsidRPr="00840CA5" w:rsidRDefault="00A05BBB" w:rsidP="007050C7">
      <w:pPr>
        <w:pStyle w:val="ListParagraph"/>
        <w:numPr>
          <w:ilvl w:val="0"/>
          <w:numId w:val="37"/>
        </w:numPr>
        <w:spacing w:after="0" w:line="240" w:lineRule="auto"/>
        <w:ind w:left="-450" w:right="-211" w:hanging="450"/>
        <w:jc w:val="both"/>
        <w:rPr>
          <w:rFonts w:ascii="Sylfaen" w:hAnsi="Sylfaen" w:cs="Sylfaen"/>
          <w:b/>
          <w:sz w:val="24"/>
          <w:szCs w:val="24"/>
          <w:lang w:val="ka-GE"/>
        </w:rPr>
      </w:pPr>
      <w:r w:rsidRPr="00840CA5">
        <w:rPr>
          <w:rFonts w:ascii="Sylfaen" w:hAnsi="Sylfaen" w:cs="Sylfaen"/>
          <w:b/>
          <w:sz w:val="24"/>
          <w:szCs w:val="24"/>
          <w:lang w:val="ka-GE"/>
        </w:rPr>
        <w:t>ფარმაკოდინამი</w:t>
      </w:r>
      <w:r w:rsidR="00D532DE" w:rsidRPr="00840CA5">
        <w:rPr>
          <w:rFonts w:ascii="Sylfaen" w:hAnsi="Sylfaen" w:cs="Sylfaen"/>
          <w:b/>
          <w:sz w:val="24"/>
          <w:szCs w:val="24"/>
          <w:lang w:val="ka-GE"/>
        </w:rPr>
        <w:t>კ</w:t>
      </w:r>
      <w:r w:rsidRPr="00840CA5">
        <w:rPr>
          <w:rFonts w:ascii="Sylfaen" w:hAnsi="Sylfaen" w:cs="Sylfaen"/>
          <w:b/>
          <w:sz w:val="24"/>
          <w:szCs w:val="24"/>
          <w:lang w:val="ka-GE"/>
        </w:rPr>
        <w:t>ური თვისებები</w:t>
      </w:r>
    </w:p>
    <w:p w14:paraId="05D9181E" w14:textId="6EAD7AF7" w:rsidR="00A35920" w:rsidRPr="00840CA5" w:rsidRDefault="005151E0" w:rsidP="007050C7">
      <w:pPr>
        <w:spacing w:after="0" w:line="240" w:lineRule="auto"/>
        <w:ind w:left="-990" w:right="-301"/>
        <w:jc w:val="both"/>
        <w:rPr>
          <w:rFonts w:ascii="Sylfaen" w:hAnsi="Sylfaen" w:cs="Sylfaen"/>
          <w:bCs/>
          <w:sz w:val="24"/>
          <w:szCs w:val="24"/>
          <w:lang w:val="ka-GE"/>
        </w:rPr>
      </w:pPr>
      <w:r w:rsidRPr="00840CA5">
        <w:rPr>
          <w:rFonts w:ascii="Sylfaen" w:hAnsi="Sylfaen" w:cs="Sylfaen"/>
          <w:sz w:val="24"/>
          <w:szCs w:val="24"/>
          <w:lang w:val="ka-GE"/>
        </w:rPr>
        <w:t>ფარმაკოთერაპიული ჯგუფი:  ანგიოტენზინ II რეცეპტორების ანტაგონისტები და შარდმდენები, ათქ კოდი: C09DA01</w:t>
      </w:r>
    </w:p>
    <w:p w14:paraId="25BDAF8C" w14:textId="7C1EE944" w:rsidR="00A35920" w:rsidRPr="00840CA5" w:rsidRDefault="00A35920"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ლო</w:t>
      </w:r>
      <w:r w:rsidR="0039482E" w:rsidRPr="00840CA5">
        <w:rPr>
          <w:rFonts w:ascii="Sylfaen" w:hAnsi="Sylfaen" w:cs="Sylfaen"/>
          <w:b/>
          <w:bCs/>
          <w:sz w:val="24"/>
          <w:szCs w:val="24"/>
          <w:lang w:val="ka-GE"/>
        </w:rPr>
        <w:t>ზ</w:t>
      </w:r>
      <w:r w:rsidRPr="00840CA5">
        <w:rPr>
          <w:rFonts w:ascii="Sylfaen" w:hAnsi="Sylfaen" w:cs="Sylfaen"/>
          <w:b/>
          <w:bCs/>
          <w:sz w:val="24"/>
          <w:szCs w:val="24"/>
          <w:lang w:val="ka-GE"/>
        </w:rPr>
        <w:t>არტან</w:t>
      </w:r>
      <w:r w:rsidR="009B1EEB" w:rsidRPr="00840CA5">
        <w:rPr>
          <w:rFonts w:ascii="Sylfaen" w:hAnsi="Sylfaen" w:cs="Sylfaen"/>
          <w:b/>
          <w:bCs/>
          <w:sz w:val="24"/>
          <w:szCs w:val="24"/>
          <w:lang w:val="ka-GE"/>
        </w:rPr>
        <w:t>ი/</w:t>
      </w:r>
      <w:r w:rsidRPr="00840CA5">
        <w:rPr>
          <w:rFonts w:ascii="Sylfaen" w:hAnsi="Sylfaen" w:cs="Sylfaen"/>
          <w:b/>
          <w:bCs/>
          <w:sz w:val="24"/>
          <w:szCs w:val="24"/>
          <w:lang w:val="ka-GE"/>
        </w:rPr>
        <w:t>ჰიდროქლორთიაზიდი</w:t>
      </w:r>
    </w:p>
    <w:p w14:paraId="2B847EBA" w14:textId="2A1920B5" w:rsidR="00DD315F" w:rsidRPr="00840CA5" w:rsidRDefault="00DD315F"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მოქმედების მექანიზმი</w:t>
      </w:r>
    </w:p>
    <w:p w14:paraId="754CF84A" w14:textId="59803011" w:rsidR="00A35920" w:rsidRPr="00840CA5" w:rsidRDefault="00A35920" w:rsidP="007050C7">
      <w:pPr>
        <w:spacing w:after="0" w:line="240" w:lineRule="auto"/>
        <w:ind w:left="-990" w:right="-301"/>
        <w:jc w:val="both"/>
        <w:rPr>
          <w:rFonts w:ascii="Sylfaen" w:hAnsi="Sylfaen" w:cs="Sylfaen"/>
          <w:bCs/>
          <w:sz w:val="24"/>
          <w:szCs w:val="24"/>
          <w:lang w:val="ka-GE"/>
        </w:rPr>
      </w:pPr>
      <w:r w:rsidRPr="00840CA5">
        <w:rPr>
          <w:rFonts w:ascii="Sylfaen" w:hAnsi="Sylfaen" w:cs="Sylfaen"/>
          <w:sz w:val="24"/>
          <w:szCs w:val="24"/>
          <w:lang w:val="ka-GE"/>
        </w:rPr>
        <w:t xml:space="preserve">დადგენილია, რომ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w:t>
      </w:r>
      <w:r w:rsidRPr="00840CA5">
        <w:rPr>
          <w:rFonts w:ascii="Sylfaen" w:hAnsi="Sylfaen" w:cs="Sylfaen"/>
          <w:sz w:val="24"/>
          <w:szCs w:val="24"/>
          <w:lang w:val="ka-GE"/>
        </w:rPr>
        <w:t>ჰიდროქლორთიაზიდის</w:t>
      </w:r>
      <w:r w:rsidRPr="00840CA5">
        <w:rPr>
          <w:rFonts w:ascii="Sylfaen" w:hAnsi="Sylfaen"/>
          <w:sz w:val="24"/>
          <w:szCs w:val="24"/>
          <w:lang w:val="ka-GE"/>
        </w:rPr>
        <w:t xml:space="preserve"> </w:t>
      </w:r>
      <w:r w:rsidRPr="00840CA5">
        <w:rPr>
          <w:rFonts w:ascii="Sylfaen" w:hAnsi="Sylfaen" w:cs="Sylfaen"/>
          <w:sz w:val="24"/>
          <w:szCs w:val="24"/>
          <w:lang w:val="ka-GE"/>
        </w:rPr>
        <w:t>კომპონენტებს აქვთ არტერიული წნევის დამწევი ადიტიური ეფექტი; არტერიულ წნევას ერთად ამცირებენ უკეთ, ვიდრე მხოლოდ ერთი რომელიმე კომპონენტი. ითვლება, რომ ეს ეფექტი არის ორივე კომპონენტის ურთიერთშემავსებელი მოქმედების შედეგი. გარდა ამისა, მისი დიურეზული მოქმედების შედეგად, ჰიდროქლოროთიაზიდი ზრდის პლაზმური რენინის აქტივობას, ზრდის ალდოსტერონის სეკრეციას, ამცირებს შრატში კალიუმის დონეს და ზრდის ანგიოტენზინ II-ის დონეს.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მიღება ბლოკავს ანგიოტენზინ II-ის ყველა ფიზიოლოგიურად მნიშვნელოვან მოქმედებას და ალდოსტერონის ინჰიბირების საშუალებით შეუძლია შეამციროს დიურეზული საშუალებების მიღებით გამოწვეული კალიუმის კარგვა.</w:t>
      </w:r>
    </w:p>
    <w:p w14:paraId="42B8AF25" w14:textId="26C4CBB8" w:rsidR="00A35920" w:rsidRPr="00840CA5" w:rsidRDefault="00A35920" w:rsidP="007050C7">
      <w:pPr>
        <w:spacing w:after="0" w:line="240" w:lineRule="auto"/>
        <w:ind w:left="-990" w:right="-301"/>
        <w:jc w:val="both"/>
        <w:rPr>
          <w:rFonts w:ascii="Sylfaen" w:hAnsi="Sylfaen" w:cs="Sylfaen"/>
          <w:bCs/>
          <w:sz w:val="24"/>
          <w:szCs w:val="24"/>
          <w:lang w:val="ka-GE"/>
        </w:rPr>
      </w:pPr>
      <w:r w:rsidRPr="00840CA5">
        <w:rPr>
          <w:rFonts w:ascii="Sylfaen" w:hAnsi="Sylfaen" w:cs="Sylfaen"/>
          <w:sz w:val="24"/>
          <w:szCs w:val="24"/>
          <w:lang w:val="ka-GE"/>
        </w:rPr>
        <w:t>დადგენილია, რომ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არტანს აქვს მსუბუქი და გარდამავალი </w:t>
      </w:r>
      <w:r w:rsidR="00CC11AA" w:rsidRPr="00840CA5">
        <w:rPr>
          <w:rFonts w:ascii="Sylfaen" w:hAnsi="Sylfaen" w:cs="Sylfaen"/>
          <w:sz w:val="24"/>
          <w:szCs w:val="24"/>
          <w:lang w:val="ka-GE"/>
        </w:rPr>
        <w:t xml:space="preserve">ურიკოზურიული </w:t>
      </w:r>
      <w:r w:rsidRPr="00840CA5">
        <w:rPr>
          <w:rFonts w:ascii="Sylfaen" w:hAnsi="Sylfaen" w:cs="Sylfaen"/>
          <w:sz w:val="24"/>
          <w:szCs w:val="24"/>
          <w:lang w:val="ka-GE"/>
        </w:rPr>
        <w:t>ეფექტი. დადგენილია, რომ ჰიდროქლოროთიაზიდი იწვევს შარდმჟავას დონის უმნიშვნელო მატებას; ლო</w:t>
      </w:r>
      <w:r w:rsidR="0039482E" w:rsidRPr="00840CA5">
        <w:rPr>
          <w:rFonts w:ascii="Sylfaen" w:hAnsi="Sylfaen" w:cs="Sylfaen"/>
          <w:sz w:val="24"/>
          <w:szCs w:val="24"/>
          <w:lang w:val="ka-GE"/>
        </w:rPr>
        <w:t>ზ</w:t>
      </w:r>
      <w:r w:rsidR="009B1EEB" w:rsidRPr="00840CA5">
        <w:rPr>
          <w:rFonts w:ascii="Sylfaen" w:hAnsi="Sylfaen" w:cs="Sylfaen"/>
          <w:sz w:val="24"/>
          <w:szCs w:val="24"/>
          <w:lang w:val="ka-GE"/>
        </w:rPr>
        <w:t>ა</w:t>
      </w:r>
      <w:r w:rsidRPr="00840CA5">
        <w:rPr>
          <w:rFonts w:ascii="Sylfaen" w:hAnsi="Sylfaen" w:cs="Sylfaen"/>
          <w:sz w:val="24"/>
          <w:szCs w:val="24"/>
          <w:lang w:val="ka-GE"/>
        </w:rPr>
        <w:t>რტანისა და ჰიდროქლორთიაზიდის კომბინაცია იწვევს დიურეტიკებით გამოწვეული ჰიპერურიკემიის შესუსტებას.</w:t>
      </w:r>
    </w:p>
    <w:p w14:paraId="3179761A" w14:textId="7E14D8E8" w:rsidR="00040B02" w:rsidRPr="00840CA5" w:rsidRDefault="00A35920" w:rsidP="007050C7">
      <w:pPr>
        <w:spacing w:after="0" w:line="240" w:lineRule="auto"/>
        <w:ind w:left="-990" w:right="-301"/>
        <w:jc w:val="both"/>
        <w:rPr>
          <w:rFonts w:ascii="Sylfaen" w:hAnsi="Sylfaen" w:cs="Sylfaen"/>
          <w:bCs/>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w:t>
      </w:r>
      <w:r w:rsidRPr="00840CA5">
        <w:rPr>
          <w:rFonts w:ascii="Sylfaen" w:hAnsi="Sylfaen" w:cs="Sylfaen"/>
          <w:sz w:val="24"/>
          <w:szCs w:val="24"/>
          <w:lang w:val="ka-GE"/>
        </w:rPr>
        <w:t>ჰიდროქლორთიაზიდის</w:t>
      </w:r>
      <w:r w:rsidRPr="00840CA5">
        <w:rPr>
          <w:rFonts w:ascii="Sylfaen" w:hAnsi="Sylfaen"/>
          <w:sz w:val="24"/>
          <w:szCs w:val="24"/>
          <w:lang w:val="ka-GE"/>
        </w:rPr>
        <w:t xml:space="preserve"> </w:t>
      </w:r>
      <w:r w:rsidRPr="00840CA5">
        <w:rPr>
          <w:rFonts w:ascii="Sylfaen" w:hAnsi="Sylfaen" w:cs="Sylfaen"/>
          <w:sz w:val="24"/>
          <w:szCs w:val="24"/>
          <w:lang w:val="ka-GE"/>
        </w:rPr>
        <w:t xml:space="preserve">ანტიჰიპერტენზიული მოქმედება ნარჩუნდება 24 საათის განმავლობაში. ერთწლიანი ხანგრძლივობის კლინიკურ კვლევებში, ანტიჰიპერტენზიული ეფექტი შენარჩუნდა თერაპიის გაგრძელებით. არტერიული წნევის მნიშვნელოვანი შემცირების მიუხედავად,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w:t>
      </w:r>
      <w:r w:rsidRPr="00840CA5">
        <w:rPr>
          <w:rFonts w:ascii="Sylfaen" w:hAnsi="Sylfaen" w:cs="Sylfaen"/>
          <w:sz w:val="24"/>
          <w:szCs w:val="24"/>
          <w:lang w:val="ka-GE"/>
        </w:rPr>
        <w:t>ჰიდროქლორთიაზიდის</w:t>
      </w:r>
      <w:r w:rsidRPr="00840CA5">
        <w:rPr>
          <w:rFonts w:ascii="Sylfaen" w:hAnsi="Sylfaen"/>
          <w:sz w:val="24"/>
          <w:szCs w:val="24"/>
          <w:lang w:val="ka-GE"/>
        </w:rPr>
        <w:t xml:space="preserve"> </w:t>
      </w:r>
      <w:r w:rsidRPr="00840CA5">
        <w:rPr>
          <w:rFonts w:ascii="Sylfaen" w:hAnsi="Sylfaen" w:cs="Sylfaen"/>
          <w:sz w:val="24"/>
          <w:szCs w:val="24"/>
          <w:lang w:val="ka-GE"/>
        </w:rPr>
        <w:t xml:space="preserve">მიღებამ არ მოახდინა კლინიკურად მნიშვნელოვანი გავლენა გულის რითმზე. კლინიკურ კვლევებში, </w:t>
      </w:r>
      <w:r w:rsidR="009B1EEB" w:rsidRPr="00840CA5">
        <w:rPr>
          <w:rFonts w:ascii="Sylfaen" w:hAnsi="Sylfaen" w:cs="Sylfaen"/>
          <w:sz w:val="24"/>
          <w:szCs w:val="24"/>
          <w:lang w:val="ka-GE"/>
        </w:rPr>
        <w:t xml:space="preserve">12 კვირის განმავლობაში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w:t>
      </w:r>
      <w:r w:rsidRPr="00840CA5">
        <w:rPr>
          <w:rFonts w:ascii="Sylfaen" w:hAnsi="Sylfaen" w:cs="Sylfaen"/>
          <w:sz w:val="24"/>
          <w:szCs w:val="24"/>
          <w:lang w:val="ka-GE"/>
        </w:rPr>
        <w:t>50მგ/ ჰიდროქლოროთიაზიდის 12,5მგ დოზით მიღებისას</w:t>
      </w:r>
      <w:r w:rsidR="009B1EEB" w:rsidRPr="00840CA5">
        <w:rPr>
          <w:rFonts w:ascii="Sylfaen" w:hAnsi="Sylfaen" w:cs="Sylfaen"/>
          <w:sz w:val="24"/>
          <w:szCs w:val="24"/>
          <w:lang w:val="ka-GE"/>
        </w:rPr>
        <w:t xml:space="preserve"> </w:t>
      </w:r>
      <w:r w:rsidRPr="00840CA5">
        <w:rPr>
          <w:rFonts w:ascii="Sylfaen" w:hAnsi="Sylfaen" w:cs="Sylfaen"/>
          <w:sz w:val="24"/>
          <w:szCs w:val="24"/>
          <w:lang w:val="ka-GE"/>
        </w:rPr>
        <w:t>დიასტოლური წნევა მჯდომარე პოზიციაში შემცირდა საშუალოდ 13.2 მმ.ვწყ.სვ-მდე.</w:t>
      </w:r>
    </w:p>
    <w:p w14:paraId="344A7E73" w14:textId="1E35FDE6" w:rsidR="005F344B" w:rsidRPr="00840CA5" w:rsidRDefault="00040B02" w:rsidP="007050C7">
      <w:pPr>
        <w:spacing w:after="0" w:line="240" w:lineRule="auto"/>
        <w:ind w:left="-990" w:right="-301"/>
        <w:jc w:val="both"/>
        <w:rPr>
          <w:rFonts w:ascii="Sylfaen" w:hAnsi="Sylfaen" w:cs="Sylfaen"/>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w:t>
      </w:r>
      <w:r w:rsidRPr="00840CA5">
        <w:rPr>
          <w:rFonts w:ascii="Sylfaen" w:hAnsi="Sylfaen" w:cs="Sylfaen"/>
          <w:sz w:val="24"/>
          <w:szCs w:val="24"/>
          <w:lang w:val="ka-GE"/>
        </w:rPr>
        <w:t>ჰიდროქლორთიაზიდი</w:t>
      </w:r>
      <w:r w:rsidR="00A35920" w:rsidRPr="00840CA5">
        <w:rPr>
          <w:rFonts w:ascii="Sylfaen" w:hAnsi="Sylfaen" w:cs="Sylfaen"/>
          <w:sz w:val="24"/>
          <w:szCs w:val="24"/>
          <w:lang w:val="ka-GE"/>
        </w:rPr>
        <w:t xml:space="preserve"> ეფექტურია არტერიული წნევის შესამცირებლად მამაკაცებსა და ქალებში, შავკანიანებსა და არაშავკანიანებში და ახალგაზრდა (&lt;65 წ</w:t>
      </w:r>
      <w:r w:rsidRPr="00840CA5">
        <w:rPr>
          <w:rFonts w:ascii="Sylfaen" w:hAnsi="Sylfaen" w:cs="Sylfaen"/>
          <w:sz w:val="24"/>
          <w:szCs w:val="24"/>
          <w:lang w:val="ka-GE"/>
        </w:rPr>
        <w:t>ლის</w:t>
      </w:r>
      <w:r w:rsidR="00A35920" w:rsidRPr="00840CA5">
        <w:rPr>
          <w:rFonts w:ascii="Sylfaen" w:hAnsi="Sylfaen" w:cs="Sylfaen"/>
          <w:sz w:val="24"/>
          <w:szCs w:val="24"/>
          <w:lang w:val="ka-GE"/>
        </w:rPr>
        <w:t>) და ხანდაზმულ (≥65 წ</w:t>
      </w:r>
      <w:r w:rsidRPr="00840CA5">
        <w:rPr>
          <w:rFonts w:ascii="Sylfaen" w:hAnsi="Sylfaen" w:cs="Sylfaen"/>
          <w:sz w:val="24"/>
          <w:szCs w:val="24"/>
          <w:lang w:val="ka-GE"/>
        </w:rPr>
        <w:t>ლის</w:t>
      </w:r>
      <w:r w:rsidR="00A35920" w:rsidRPr="00840CA5">
        <w:rPr>
          <w:rFonts w:ascii="Sylfaen" w:hAnsi="Sylfaen" w:cs="Sylfaen"/>
          <w:sz w:val="24"/>
          <w:szCs w:val="24"/>
          <w:lang w:val="ka-GE"/>
        </w:rPr>
        <w:t xml:space="preserve">) პაციენტებში და ეფექტურია ყველა ხარისხის </w:t>
      </w:r>
      <w:r w:rsidR="008A658E" w:rsidRPr="00840CA5">
        <w:rPr>
          <w:rFonts w:ascii="Sylfaen" w:hAnsi="Sylfaen" w:cs="Sylfaen"/>
          <w:sz w:val="24"/>
          <w:szCs w:val="24"/>
          <w:lang w:val="ka-GE"/>
        </w:rPr>
        <w:t xml:space="preserve">ჰიპერტენზიის </w:t>
      </w:r>
      <w:r w:rsidR="00A35920" w:rsidRPr="00840CA5">
        <w:rPr>
          <w:rFonts w:ascii="Sylfaen" w:hAnsi="Sylfaen" w:cs="Sylfaen"/>
          <w:sz w:val="24"/>
          <w:szCs w:val="24"/>
          <w:lang w:val="ka-GE"/>
        </w:rPr>
        <w:t>დროს.</w:t>
      </w:r>
    </w:p>
    <w:p w14:paraId="39778269" w14:textId="4E96DA0A" w:rsidR="005F344B" w:rsidRPr="00840CA5" w:rsidRDefault="005F344B"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ლო</w:t>
      </w:r>
      <w:r w:rsidR="0039482E" w:rsidRPr="00840CA5">
        <w:rPr>
          <w:rFonts w:ascii="Sylfaen" w:hAnsi="Sylfaen" w:cs="Sylfaen"/>
          <w:b/>
          <w:bCs/>
          <w:sz w:val="24"/>
          <w:szCs w:val="24"/>
          <w:lang w:val="ka-GE"/>
        </w:rPr>
        <w:t>ზ</w:t>
      </w:r>
      <w:r w:rsidRPr="00840CA5">
        <w:rPr>
          <w:rFonts w:ascii="Sylfaen" w:hAnsi="Sylfaen" w:cs="Sylfaen"/>
          <w:b/>
          <w:bCs/>
          <w:sz w:val="24"/>
          <w:szCs w:val="24"/>
          <w:lang w:val="ka-GE"/>
        </w:rPr>
        <w:t>არტანი</w:t>
      </w:r>
    </w:p>
    <w:p w14:paraId="0112F77D" w14:textId="4267871E" w:rsidR="00280756"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არის სინთეზურად წარმოებული პერორალური ანგიოტენზინ II რეცეპტორის (ტიპი AT1) ანტაგონისტი. ანგიოტენზინ II, ძლიერი ვაზოკონსტრიქტორი, არის რენინ-ანგიოტენზინის სისტემის მთავარი აქტიური ჰორმონი და ჰიპერტენზიის პათოფიზიოლოგიის მნიშვნელოვანი განმსაზღვრელი. ანგიოტენზინ II უკავშირდება AT1 რეცეპტორს, რომელიც გვხვდება ბევრ ქსოვილში (მაგ., სისხლძარღვების გლუვ კუნთებში, თირკმელზედა ჯირკვალში, თირკმელებ</w:t>
      </w:r>
      <w:r w:rsidR="009E4CA3" w:rsidRPr="00840CA5">
        <w:rPr>
          <w:rFonts w:ascii="Sylfaen" w:hAnsi="Sylfaen" w:cs="Sylfaen"/>
          <w:sz w:val="24"/>
          <w:szCs w:val="24"/>
          <w:lang w:val="ka-GE"/>
        </w:rPr>
        <w:t>სა</w:t>
      </w:r>
      <w:r w:rsidRPr="00840CA5">
        <w:rPr>
          <w:rFonts w:ascii="Sylfaen" w:hAnsi="Sylfaen" w:cs="Sylfaen"/>
          <w:sz w:val="24"/>
          <w:szCs w:val="24"/>
          <w:lang w:val="ka-GE"/>
        </w:rPr>
        <w:t xml:space="preserve"> და გულში) და იწვევს რამდენიმე მნიშვნელოვან ბიოლოგიურ მოქმედებას, მათ შორის ვაზოკონსტრიქციას და ალდოსტერონის გამოთავისუფლებას. ანგიოტენზინ II ასევე ასტიმულირებს გლუვი კუნთების უჯრედების პროლიფერაციას.</w:t>
      </w:r>
    </w:p>
    <w:p w14:paraId="2D76BA37" w14:textId="56BBC62B" w:rsidR="00AA264C"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შერჩევით ბლოკავს AT1 რეცეპტორს. In vitro და in vivo კვლევებით,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 და მისი ფარმაკოლოგიურად აქტიური კარბოქსილის მჟავას მეტაბოლიტი E-3174 ბლოკავს </w:t>
      </w:r>
      <w:r w:rsidRPr="00840CA5">
        <w:rPr>
          <w:rFonts w:ascii="Sylfaen" w:hAnsi="Sylfaen" w:cs="Sylfaen"/>
          <w:sz w:val="24"/>
          <w:szCs w:val="24"/>
          <w:lang w:val="ka-GE"/>
        </w:rPr>
        <w:lastRenderedPageBreak/>
        <w:t>ანგიოტენზინ II-ის ყველა ფიზიოლოგიურად მნიშვნელოვან მოქმედებას,  მისი წარმოქმნის წყაროს ან სინთეზის გზის მიუხედავად.</w:t>
      </w:r>
    </w:p>
    <w:p w14:paraId="3F237EB1" w14:textId="0ADF7025" w:rsidR="00AA264C"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არტანს არ გააჩნია აგონისტური ეფექტი და არ ბლოკავს სხვა ჰორმონალურ რეცეპტორებს ან იონურ არხებს, რომლებიც მნიშვნელოვანია გულ-სისხლძარღვთა სისტემის რეგულირებისთვის. გარდა ამისა,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არ აინჰიბირებს აგფ-ს (კინინაზა II), ფერმენტს, რომელიც ამცირებს ბრადიკინინს. შესაბამისად, ბრადიკინინით გამოწვეული გვერდითი მოვლენების ზრდა არ შეიმჩნევა.</w:t>
      </w:r>
    </w:p>
    <w:p w14:paraId="54C260B4" w14:textId="003921D8" w:rsidR="00AA264C"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მიღებისას, ანგიოტენზინ II-ის უარყოფითი უკუკავშირის მოშორება რენინის სეკრეციიდან იწვევს პლაზმური რენინის აქტივობის (PRA) გაზრდას. PRA-ს მომატება იწვევს პლაზმაში ანგიოტენზინ II-ის მატებას. ა</w:t>
      </w:r>
      <w:r w:rsidR="000C393A" w:rsidRPr="00840CA5">
        <w:rPr>
          <w:rFonts w:ascii="Sylfaen" w:hAnsi="Sylfaen" w:cs="Sylfaen"/>
          <w:sz w:val="24"/>
          <w:szCs w:val="24"/>
          <w:lang w:val="ka-GE"/>
        </w:rPr>
        <w:t>ღნიშნული</w:t>
      </w:r>
      <w:r w:rsidRPr="00840CA5">
        <w:rPr>
          <w:rFonts w:ascii="Sylfaen" w:hAnsi="Sylfaen" w:cs="Sylfaen"/>
          <w:sz w:val="24"/>
          <w:szCs w:val="24"/>
          <w:lang w:val="ka-GE"/>
        </w:rPr>
        <w:t xml:space="preserve"> ზრდის მიუხედავად, შენარჩუნებულია ანტიჰიპერტენზიული მოქმედება და პლაზმაში ალდოსტერონის კონცენტრაციის დათრგუნვა, რაც მიუთითებს ანგიოტენზინ II რეცეპტორების ეფექტურ ბლოკადაზე.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მიღების შეწყვეტის შე</w:t>
      </w:r>
      <w:r w:rsidR="00AA264C" w:rsidRPr="00840CA5">
        <w:rPr>
          <w:rFonts w:ascii="Sylfaen" w:hAnsi="Sylfaen" w:cs="Sylfaen"/>
          <w:sz w:val="24"/>
          <w:szCs w:val="24"/>
          <w:lang w:val="ka-GE"/>
        </w:rPr>
        <w:t>მთხვევაში</w:t>
      </w:r>
      <w:r w:rsidRPr="00840CA5">
        <w:rPr>
          <w:rFonts w:ascii="Sylfaen" w:hAnsi="Sylfaen" w:cs="Sylfaen"/>
          <w:sz w:val="24"/>
          <w:szCs w:val="24"/>
          <w:lang w:val="ka-GE"/>
        </w:rPr>
        <w:t>, PRA და ანგიოტენზინ II მაჩვენებლები 3 დღის განმავლობაში ეცემა საბაზისო მაჩვენებლებამდე.</w:t>
      </w:r>
    </w:p>
    <w:p w14:paraId="059D4671" w14:textId="5D031664" w:rsidR="00AA264C"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როგორც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არტანს ასევე, მის ძირითად აქტიურ მეტაბოლიტს გაცილებით მეტი აფინობა აქვთ AT1 რეცეპტორის მიმართ, ვიდრე AT2 რეცეპტორის მიმართ.  აქტიური მეტაბოლიტი 10-40-ჯერ უფრო აქტიურია ვიდრე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სხეულის წონის მიხედვით.</w:t>
      </w:r>
    </w:p>
    <w:p w14:paraId="11CBE27E" w14:textId="51E5A187" w:rsidR="00657863"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ხველის სიხშირის შეფასების მიზნით ჩატარებულმა კვლევამ გამოავლინა, რომ  ხველის სიხშირე იმ პაციენტებში, რომლებიც იღებდნენ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არტანს ან ჰიდროქლორთიაზიდს, იყო მსგავსი და მნიშვნელოვნად ნაკლები, ვიდრე პაციენტებში, რომლებიც მკურნალობ</w:t>
      </w:r>
      <w:r w:rsidR="00657863" w:rsidRPr="00840CA5">
        <w:rPr>
          <w:rFonts w:ascii="Sylfaen" w:hAnsi="Sylfaen" w:cs="Sylfaen"/>
          <w:sz w:val="24"/>
          <w:szCs w:val="24"/>
          <w:lang w:val="ka-GE"/>
        </w:rPr>
        <w:t>დნ</w:t>
      </w:r>
      <w:r w:rsidRPr="00840CA5">
        <w:rPr>
          <w:rFonts w:ascii="Sylfaen" w:hAnsi="Sylfaen" w:cs="Sylfaen"/>
          <w:sz w:val="24"/>
          <w:szCs w:val="24"/>
          <w:lang w:val="ka-GE"/>
        </w:rPr>
        <w:t>ენ აგფ ინჰიბიტორით. გარდა ამისა,  4131 პაციენტის მონაწილეობით ჩატარებული 16 ორმაგი ბრმა კლინიკური კვლევის საერთო ანალიზის დროს, სპონტანური ხველის სიხშირე პაციენტებში, რომლებიც მკურნალობდნენ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არტანით, მსგავსი </w:t>
      </w:r>
      <w:r w:rsidR="00462EC0" w:rsidRPr="00840CA5">
        <w:rPr>
          <w:rFonts w:ascii="Sylfaen" w:hAnsi="Sylfaen" w:cs="Sylfaen"/>
          <w:sz w:val="24"/>
          <w:szCs w:val="24"/>
          <w:lang w:val="ka-GE"/>
        </w:rPr>
        <w:t xml:space="preserve">(3.1%) </w:t>
      </w:r>
      <w:r w:rsidRPr="00840CA5">
        <w:rPr>
          <w:rFonts w:ascii="Sylfaen" w:hAnsi="Sylfaen" w:cs="Sylfaen"/>
          <w:sz w:val="24"/>
          <w:szCs w:val="24"/>
          <w:lang w:val="ka-GE"/>
        </w:rPr>
        <w:t>იყო იმ პაციენტებში დაფიქსირებული სიხშირისა, რომლებიც მკურნალობდნენ პლაცებოთი (2.6%) ან ჰიდროქლოროთიაზიდით (4.1%), მაშინ, როცა აგფ ინჰიბიტორების მიღებისას სიხშირემ შეადგინა 8.8%.</w:t>
      </w:r>
    </w:p>
    <w:p w14:paraId="2B1C572B" w14:textId="56E573A6" w:rsidR="005B3C8B"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არადიაბეტური ჰიპერტენზიის მქონე პაციენტებში, რომლებსაც აწუხებთ პროტეინურია,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კალიუმის მიღება მნიშვნელოვნად ამცირებს პროტეინურიას, ალბუმინის და IgG-ის ფრაქციულ გამოყოფას.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ინარჩუნებს გორგლისებური ფილტრაციის სიჩქარეს და ამცირებს ფილტრაციის ფრაქციას. ზოგადად,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იწვევს შრატში შარდმჟავას (ჩვეულებრივ &lt;0.4მგ/დლ) შემცირებას, რაც მუდმივი იყო ქრონიკული თერაპიის დროს.</w:t>
      </w:r>
    </w:p>
    <w:p w14:paraId="62D3DE52" w14:textId="7D2C9BA6" w:rsidR="005B3C8B"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არ ახდენს გავლენას ავტონომიურ რეფლექსებზე და არ აქვს მდგრადი ეფექტი პლაზმურ ნორეპინეფრინზე.</w:t>
      </w:r>
    </w:p>
    <w:p w14:paraId="70CE09CB" w14:textId="7D74457E" w:rsidR="00227B07" w:rsidRPr="00840CA5" w:rsidRDefault="005F344B"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მარცხენა პარკუჭის უკმარისობის მქონე პაციენტებში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25მგ და 50მგ დოზებ</w:t>
      </w:r>
      <w:r w:rsidR="005B3C8B" w:rsidRPr="00840CA5">
        <w:rPr>
          <w:rFonts w:ascii="Sylfaen" w:hAnsi="Sylfaen" w:cs="Sylfaen"/>
          <w:sz w:val="24"/>
          <w:szCs w:val="24"/>
          <w:lang w:val="ka-GE"/>
        </w:rPr>
        <w:t>ით</w:t>
      </w:r>
      <w:r w:rsidRPr="00840CA5">
        <w:rPr>
          <w:rFonts w:ascii="Sylfaen" w:hAnsi="Sylfaen" w:cs="Sylfaen"/>
          <w:sz w:val="24"/>
          <w:szCs w:val="24"/>
          <w:lang w:val="ka-GE"/>
        </w:rPr>
        <w:t xml:space="preserve"> </w:t>
      </w:r>
      <w:r w:rsidR="005B3C8B" w:rsidRPr="00840CA5">
        <w:rPr>
          <w:rFonts w:ascii="Sylfaen" w:hAnsi="Sylfaen" w:cs="Sylfaen"/>
          <w:sz w:val="24"/>
          <w:szCs w:val="24"/>
          <w:lang w:val="ka-GE"/>
        </w:rPr>
        <w:t xml:space="preserve">გამოყენებამ </w:t>
      </w:r>
      <w:r w:rsidRPr="00840CA5">
        <w:rPr>
          <w:rFonts w:ascii="Sylfaen" w:hAnsi="Sylfaen" w:cs="Sylfaen"/>
          <w:sz w:val="24"/>
          <w:szCs w:val="24"/>
          <w:lang w:val="ka-GE"/>
        </w:rPr>
        <w:t>გამოიწვია დადებითი ჰემოდინამიკური და ნეიროჰორმონალურ</w:t>
      </w:r>
      <w:r w:rsidR="002126E9" w:rsidRPr="00840CA5">
        <w:rPr>
          <w:rFonts w:ascii="Sylfaen" w:hAnsi="Sylfaen" w:cs="Sylfaen"/>
          <w:sz w:val="24"/>
          <w:szCs w:val="24"/>
          <w:lang w:val="ka-GE"/>
        </w:rPr>
        <w:t>ი</w:t>
      </w:r>
      <w:r w:rsidRPr="00840CA5">
        <w:rPr>
          <w:rFonts w:ascii="Sylfaen" w:hAnsi="Sylfaen" w:cs="Sylfaen"/>
          <w:sz w:val="24"/>
          <w:szCs w:val="24"/>
          <w:lang w:val="ka-GE"/>
        </w:rPr>
        <w:t xml:space="preserve"> ეფექტები,  გულის ინდექსის მატებ</w:t>
      </w:r>
      <w:r w:rsidR="002126E9" w:rsidRPr="00840CA5">
        <w:rPr>
          <w:rFonts w:ascii="Sylfaen" w:hAnsi="Sylfaen" w:cs="Sylfaen"/>
          <w:sz w:val="24"/>
          <w:szCs w:val="24"/>
          <w:lang w:val="ka-GE"/>
        </w:rPr>
        <w:t>ა</w:t>
      </w:r>
      <w:r w:rsidRPr="00840CA5">
        <w:rPr>
          <w:rFonts w:ascii="Sylfaen" w:hAnsi="Sylfaen" w:cs="Sylfaen"/>
          <w:sz w:val="24"/>
          <w:szCs w:val="24"/>
          <w:lang w:val="ka-GE"/>
        </w:rPr>
        <w:t xml:space="preserve"> და </w:t>
      </w:r>
      <w:r w:rsidR="00CD5FCF" w:rsidRPr="00840CA5">
        <w:rPr>
          <w:rFonts w:ascii="Sylfaen" w:hAnsi="Sylfaen" w:cs="Sylfaen"/>
          <w:sz w:val="24"/>
          <w:szCs w:val="24"/>
          <w:lang w:val="ka-GE"/>
        </w:rPr>
        <w:t xml:space="preserve">ფილტვის არტერიების ჩაჭედვის წნევის (PCWP) </w:t>
      </w:r>
      <w:r w:rsidRPr="00840CA5">
        <w:rPr>
          <w:rFonts w:ascii="Sylfaen" w:hAnsi="Sylfaen" w:cs="Sylfaen"/>
          <w:sz w:val="24"/>
          <w:szCs w:val="24"/>
          <w:lang w:val="ka-GE"/>
        </w:rPr>
        <w:t>დაქვეითებ</w:t>
      </w:r>
      <w:r w:rsidR="002126E9" w:rsidRPr="00840CA5">
        <w:rPr>
          <w:rFonts w:ascii="Sylfaen" w:hAnsi="Sylfaen" w:cs="Sylfaen"/>
          <w:sz w:val="24"/>
          <w:szCs w:val="24"/>
          <w:lang w:val="ka-GE"/>
        </w:rPr>
        <w:t>ა</w:t>
      </w:r>
      <w:r w:rsidRPr="00840CA5">
        <w:rPr>
          <w:rFonts w:ascii="Sylfaen" w:hAnsi="Sylfaen" w:cs="Sylfaen"/>
          <w:sz w:val="24"/>
          <w:szCs w:val="24"/>
          <w:lang w:val="ka-GE"/>
        </w:rPr>
        <w:t>, სისტემური სისხლძარღვოვანი რეზისტენტობ</w:t>
      </w:r>
      <w:r w:rsidR="002126E9" w:rsidRPr="00840CA5">
        <w:rPr>
          <w:rFonts w:ascii="Sylfaen" w:hAnsi="Sylfaen" w:cs="Sylfaen"/>
          <w:sz w:val="24"/>
          <w:szCs w:val="24"/>
          <w:lang w:val="ka-GE"/>
        </w:rPr>
        <w:t>ა</w:t>
      </w:r>
      <w:r w:rsidRPr="00840CA5">
        <w:rPr>
          <w:rFonts w:ascii="Sylfaen" w:hAnsi="Sylfaen" w:cs="Sylfaen"/>
          <w:sz w:val="24"/>
          <w:szCs w:val="24"/>
          <w:lang w:val="ka-GE"/>
        </w:rPr>
        <w:t>, საშუალო სისტემური არტერიული წნევ</w:t>
      </w:r>
      <w:r w:rsidR="002126E9" w:rsidRPr="00840CA5">
        <w:rPr>
          <w:rFonts w:ascii="Sylfaen" w:hAnsi="Sylfaen" w:cs="Sylfaen"/>
          <w:sz w:val="24"/>
          <w:szCs w:val="24"/>
          <w:lang w:val="ka-GE"/>
        </w:rPr>
        <w:t>ა</w:t>
      </w:r>
      <w:r w:rsidRPr="00840CA5">
        <w:rPr>
          <w:rFonts w:ascii="Sylfaen" w:hAnsi="Sylfaen" w:cs="Sylfaen"/>
          <w:sz w:val="24"/>
          <w:szCs w:val="24"/>
          <w:lang w:val="ka-GE"/>
        </w:rPr>
        <w:t xml:space="preserve"> და გულისცემ</w:t>
      </w:r>
      <w:r w:rsidR="002126E9" w:rsidRPr="00840CA5">
        <w:rPr>
          <w:rFonts w:ascii="Sylfaen" w:hAnsi="Sylfaen" w:cs="Sylfaen"/>
          <w:sz w:val="24"/>
          <w:szCs w:val="24"/>
          <w:lang w:val="ka-GE"/>
        </w:rPr>
        <w:t>ა</w:t>
      </w:r>
      <w:r w:rsidRPr="00840CA5">
        <w:rPr>
          <w:rFonts w:ascii="Sylfaen" w:hAnsi="Sylfaen" w:cs="Sylfaen"/>
          <w:sz w:val="24"/>
          <w:szCs w:val="24"/>
          <w:lang w:val="ka-GE"/>
        </w:rPr>
        <w:t xml:space="preserve"> და ალდოსტერონისა და ნორეპინეფრინის შემცირებ</w:t>
      </w:r>
      <w:r w:rsidR="002126E9" w:rsidRPr="00840CA5">
        <w:rPr>
          <w:rFonts w:ascii="Sylfaen" w:hAnsi="Sylfaen" w:cs="Sylfaen"/>
          <w:sz w:val="24"/>
          <w:szCs w:val="24"/>
          <w:lang w:val="ka-GE"/>
        </w:rPr>
        <w:t>ა</w:t>
      </w:r>
      <w:r w:rsidRPr="00840CA5">
        <w:rPr>
          <w:rFonts w:ascii="Sylfaen" w:hAnsi="Sylfaen" w:cs="Sylfaen"/>
          <w:sz w:val="24"/>
          <w:szCs w:val="24"/>
          <w:lang w:val="ka-GE"/>
        </w:rPr>
        <w:t xml:space="preserve"> ცირკულირებად დონეზე, შესაბამისად. ჰიპოტენზიის განვითარება გულის უკმარისობის მქონე პაციენტებში დაკავშირებული იყო დოზასთან.</w:t>
      </w:r>
    </w:p>
    <w:p w14:paraId="59F03491" w14:textId="77777777" w:rsidR="00227B07" w:rsidRPr="00840CA5" w:rsidRDefault="00227B07"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ჰიპერტენზიის კვლევები</w:t>
      </w:r>
    </w:p>
    <w:p w14:paraId="68376AE4" w14:textId="6FEB3EC0" w:rsidR="00227B07" w:rsidRPr="00840CA5" w:rsidRDefault="00227B0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კონტროლირებადი კლინიკური კვლევებისას,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 დღეში ერთხელ მიღებამ მსუბუქი და </w:t>
      </w:r>
      <w:r w:rsidR="00536C1D" w:rsidRPr="00840CA5">
        <w:rPr>
          <w:rFonts w:ascii="Sylfaen" w:hAnsi="Sylfaen" w:cs="Sylfaen"/>
          <w:sz w:val="24"/>
          <w:szCs w:val="24"/>
          <w:lang w:val="ka-GE"/>
        </w:rPr>
        <w:t>საშუალო სიმძიმის</w:t>
      </w:r>
      <w:r w:rsidRPr="00840CA5">
        <w:rPr>
          <w:rFonts w:ascii="Sylfaen" w:hAnsi="Sylfaen" w:cs="Sylfaen"/>
          <w:sz w:val="24"/>
          <w:szCs w:val="24"/>
          <w:lang w:val="ka-GE"/>
        </w:rPr>
        <w:t xml:space="preserve"> ესენციური ჰიპერტენზიის მქონე პაციენტებში გამოიწვია სისტოლური და დიასტოლური არტერიული წნევის სტატისტიკურად მნიშვნელოვანი შემცირება. არტერიული წნევის მაჩვენებლებმა დოზის მიღებიდან 24 საათის შემდეგ, დოზის მიღებიდან 5-6 საათის შემდეგ მაჩვენებელთან შედარებით, აჩვენა არტერიული წნევის შემცირება 24 საათის განმავლობაში; </w:t>
      </w:r>
      <w:r w:rsidRPr="00840CA5">
        <w:rPr>
          <w:rFonts w:ascii="Sylfaen" w:hAnsi="Sylfaen" w:cs="Sylfaen"/>
          <w:sz w:val="24"/>
          <w:szCs w:val="24"/>
          <w:lang w:val="ka-GE"/>
        </w:rPr>
        <w:lastRenderedPageBreak/>
        <w:t>შენარჩუნებული იყო ბუნებრივი დღიური რითმი. დოზირების ინტერვალის ბოლოს არტერიული წნევის შემცირება შეადგენდა ეფექტის 70-80%-ს, დოზის მიღებიდან 5-6 საათის შემდეგ.</w:t>
      </w:r>
    </w:p>
    <w:p w14:paraId="343351A4" w14:textId="521CFA41" w:rsidR="00227B07" w:rsidRPr="00840CA5" w:rsidRDefault="00227B0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მიღების შეწყვეტამ ჰიპერტენზიის მქონე პაციენტებში არ გამოიწვია არტერიული წნევის მკვეთრი ზრდა (უკუეფექტი). არტერიული წნევის შესამჩნევი შემცირების მიუხედავად,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კლინიკურად მნიშვნელოვან გავლენას არ ახდენს გულისცემის  მაჩვენებელზე.</w:t>
      </w:r>
    </w:p>
    <w:p w14:paraId="79295312" w14:textId="3100CDF3" w:rsidR="00227B07" w:rsidRPr="00840CA5" w:rsidRDefault="00227B0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თანაბრად ეფექტურია მამაკაცებსა და ქალებში, ახალგაზრდა (65 წლამდე ასაკის) და ხანდაზმულ ჰიპერტენზიის მქონე პაციენტებში.</w:t>
      </w:r>
    </w:p>
    <w:p w14:paraId="12C75784" w14:textId="77777777" w:rsidR="00227B07" w:rsidRPr="00840CA5" w:rsidRDefault="00227B07"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LIFE კვლევა</w:t>
      </w:r>
    </w:p>
    <w:p w14:paraId="49421144" w14:textId="4FD53BE6" w:rsidR="0013789C" w:rsidRPr="00840CA5" w:rsidRDefault="00227B0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 გამოყენებით მოსალოდნელი შედეგის შემცირების მიზნით (LIFE), ჩატარდა რანდომიზებული, სამმაგი ბრმა, აქტიურად კონტროლირებადი კვლევა ჰიპერტენზიის მქონე </w:t>
      </w:r>
      <w:r w:rsidR="002126E9" w:rsidRPr="00840CA5">
        <w:rPr>
          <w:rFonts w:ascii="Sylfaen" w:hAnsi="Sylfaen" w:cs="Sylfaen"/>
          <w:sz w:val="24"/>
          <w:szCs w:val="24"/>
          <w:lang w:val="ka-GE"/>
        </w:rPr>
        <w:t xml:space="preserve">9193 </w:t>
      </w:r>
      <w:r w:rsidRPr="00840CA5">
        <w:rPr>
          <w:rFonts w:ascii="Sylfaen" w:hAnsi="Sylfaen" w:cs="Sylfaen"/>
          <w:sz w:val="24"/>
          <w:szCs w:val="24"/>
          <w:lang w:val="ka-GE"/>
        </w:rPr>
        <w:t xml:space="preserve">პაციენტის მონაწილეობით, რომელთა ასაკი იყო 55-დან 80 წლამდე და ჰქონდათ ეკგ-ით დადასტურებული მარცხენა პარკუჭის ჰიპერტროფია. პაციენტები </w:t>
      </w:r>
      <w:r w:rsidR="0013789C" w:rsidRPr="00840CA5">
        <w:rPr>
          <w:rFonts w:ascii="Sylfaen" w:hAnsi="Sylfaen" w:cs="Sylfaen"/>
          <w:sz w:val="24"/>
          <w:szCs w:val="24"/>
          <w:lang w:val="ka-GE"/>
        </w:rPr>
        <w:t>იღებდნენ</w:t>
      </w:r>
      <w:r w:rsidRPr="00840CA5">
        <w:rPr>
          <w:rFonts w:ascii="Sylfaen" w:hAnsi="Sylfaen" w:cs="Sylfaen"/>
          <w:sz w:val="24"/>
          <w:szCs w:val="24"/>
          <w:lang w:val="ka-GE"/>
        </w:rPr>
        <w:t xml:space="preserve"> 50მგ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არტანს </w:t>
      </w:r>
      <w:r w:rsidR="0013789C" w:rsidRPr="00840CA5">
        <w:rPr>
          <w:rFonts w:ascii="Sylfaen" w:hAnsi="Sylfaen" w:cs="Sylfaen"/>
          <w:sz w:val="24"/>
          <w:szCs w:val="24"/>
          <w:lang w:val="ka-GE"/>
        </w:rPr>
        <w:t xml:space="preserve">დღეში ერთხელ </w:t>
      </w:r>
      <w:r w:rsidRPr="00840CA5">
        <w:rPr>
          <w:rFonts w:ascii="Sylfaen" w:hAnsi="Sylfaen" w:cs="Sylfaen"/>
          <w:sz w:val="24"/>
          <w:szCs w:val="24"/>
          <w:lang w:val="ka-GE"/>
        </w:rPr>
        <w:t>ან 50მგ ატენოლოლ</w:t>
      </w:r>
      <w:r w:rsidR="0013789C" w:rsidRPr="00840CA5">
        <w:rPr>
          <w:rFonts w:ascii="Sylfaen" w:hAnsi="Sylfaen" w:cs="Sylfaen"/>
          <w:sz w:val="24"/>
          <w:szCs w:val="24"/>
          <w:lang w:val="ka-GE"/>
        </w:rPr>
        <w:t>ს დღეში ერთხელ</w:t>
      </w:r>
      <w:r w:rsidRPr="00840CA5">
        <w:rPr>
          <w:rFonts w:ascii="Sylfaen" w:hAnsi="Sylfaen" w:cs="Sylfaen"/>
          <w:sz w:val="24"/>
          <w:szCs w:val="24"/>
          <w:lang w:val="ka-GE"/>
        </w:rPr>
        <w:t>. თუ ვერ ხერხდებოდა არტერიული წნევის სამიზნე მაჩვენებლების (&lt;140/90 მმ.ვწყ.სვ) მიღწევა, ჯერ ემატებოდა ჰიდროქლორთიაზიდი (12.5 მგ), ხოლო</w:t>
      </w:r>
      <w:r w:rsidR="00A43369" w:rsidRPr="00840CA5">
        <w:rPr>
          <w:rFonts w:ascii="Sylfaen" w:hAnsi="Sylfaen" w:cs="Sylfaen"/>
          <w:sz w:val="24"/>
          <w:szCs w:val="24"/>
          <w:lang w:val="ka-GE"/>
        </w:rPr>
        <w:t>,</w:t>
      </w:r>
      <w:r w:rsidRPr="00840CA5">
        <w:rPr>
          <w:rFonts w:ascii="Sylfaen" w:hAnsi="Sylfaen" w:cs="Sylfaen"/>
          <w:sz w:val="24"/>
          <w:szCs w:val="24"/>
          <w:lang w:val="ka-GE"/>
        </w:rPr>
        <w:t xml:space="preserve"> საჭიროების შემთხვევაში, შემდეგ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ან ატენოლოლის დოზა იზრდებოდა 100 მგ-მდე დღეში ერთხელ. არტერიული წნევის სამიზნე მაჩვენებლების მიღწევის მიზნით,  საჭიროების შემთხვევაში, ემატებოდა სხვა ანტიჰიპერტენზიული საშუალებები, გარდა აგფ ინჰიბიტორებისა, ანგიოტენზინ II რეცეპტორების  ანტაგონისტები ან ბეტა-ბლოკატორები.</w:t>
      </w:r>
    </w:p>
    <w:p w14:paraId="2BB2A3FD" w14:textId="77777777" w:rsidR="0013789C" w:rsidRPr="00840CA5" w:rsidRDefault="00227B0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დაკვირვების საშუალო ხანგრძლივობა შეადგენდა 4.8 წელს.</w:t>
      </w:r>
    </w:p>
    <w:p w14:paraId="7FA5118B" w14:textId="20D9B98A" w:rsidR="0013789C" w:rsidRPr="00840CA5" w:rsidRDefault="00227B0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პირველადი შედეგი იყო გულ-სისხლძარღვთა დაავადებებისა და სიკვდილიანობის კომბინაცია, რომელიც იზომებოდა გულსისხლძარღვთა დაავადებით გამოწვეული გარდაცვალების, ინსულტისა და მიოკარდიუმის ინფარქტის კომბინირებული შემთხვევების შემცირებით. ორივე ჯგუფში არტერიული წნევა მნიშვნელოვნად შემცირდა </w:t>
      </w:r>
      <w:r w:rsidR="002126E9" w:rsidRPr="00840CA5">
        <w:rPr>
          <w:rFonts w:ascii="Sylfaen" w:hAnsi="Sylfaen" w:cs="Sylfaen"/>
          <w:sz w:val="24"/>
          <w:szCs w:val="24"/>
          <w:lang w:val="ka-GE"/>
        </w:rPr>
        <w:t>ერთნაირ</w:t>
      </w:r>
      <w:r w:rsidRPr="00840CA5">
        <w:rPr>
          <w:rFonts w:ascii="Sylfaen" w:hAnsi="Sylfaen" w:cs="Sylfaen"/>
          <w:sz w:val="24"/>
          <w:szCs w:val="24"/>
          <w:lang w:val="ka-GE"/>
        </w:rPr>
        <w:t xml:space="preserve"> დონემდე.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არტანით მკურნალობამ გამოიწვია რისკის შემცირება 13.0%-ით (p=0.021, 95% ნდობის ინტერვალი 0.77-0.98) ატენოლოლთან შედარებით იმ პაციენტებში, რომლებმაც მიაღწიეს პირველადი კომბინაციის შედეგს. აღნიშნული ძირითადად უკავშირდებოდა ინსულტის სიხშირის შემცირებას.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არტანით მკურნალობამ 25%-ით შეამცირა ინსულტის რისკი, ატენოლოლთან შედარებით (p = 0.001 95% ნდობის ინტერვალი 0.63-0.89). სამკურნალო ჯგუფებს შორის არ იყო მნიშვნელოვანი განსხვავება გულსისხლძარღვთა დაავადებით გამოწვეული გარდაცვალებისა და მიოკარდიუმის ინფარქტის მაჩვენებლების თვალსაზრისით.</w:t>
      </w:r>
    </w:p>
    <w:p w14:paraId="737EA523" w14:textId="4F8DBA10" w:rsidR="00323921" w:rsidRPr="00840CA5" w:rsidRDefault="00323921"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რენინ-ანგიოტენზინ-ალდოსტერონის სისტემის (რაას) ორმაგი ბლოკადა</w:t>
      </w:r>
    </w:p>
    <w:p w14:paraId="5C9212C5" w14:textId="77777777"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ორი დიდი, რანდომიზებული, კონტროლირებადი კვლევის -ONTARGET (ONgoing Telmisartan Alone and in combination with Ramipril Global Endpoint Trail) და VA NEPHRON-D (The Veterans Affairs Nephropaty in Diabetes) - ფარგლებში შესწავლილ იქნა აგფ ინჰიბიტორებისა და ანგიოტენზინ II რეცეპტორების ბლოკატორების კომბინაციაში გამოყენება.</w:t>
      </w:r>
    </w:p>
    <w:p w14:paraId="6AE6EE80" w14:textId="77777777"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ONTARGET კვლევაში მონაწილეობას ღებულობდნენ პაციენტები, რომელთაც ანამნეზში აღენიშნებოდათ გულ-სისხლძარღვთა ან ცერებროვასკულარული დაავადებები, ან შაქრიანი დიაბეტი, ტიპი 2, ორგანოების გამოხატული დაზიანებით. VA NEPHRON-D კვლევაში მონაწილეობდნენ პაციენტები,  რომელთაც აღენიშნებოდათ  შაქრიანი დიაბეტი,  ტიპი 2, და დიაბეტური ნეფროპათია.</w:t>
      </w:r>
    </w:p>
    <w:p w14:paraId="385883A9" w14:textId="77777777"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აღნიშნულმა კვლევებმა არ გამოავლინა მნიშვნელოვანი სასარგებლო ეფექტი კლინიკურ შედეგებზე თირკმელების და/ან გულ-სისხლძარღვთა სისტემების ან ლეტარული შედეგის თვალსაზრისით, ხოლო, მონოთერაპიასთან შედარებით, დაფიქსირდა ჰიპერკალემიის, თირკმლის ფუნქციის მწვავე დარღვევის და/ან ჰიპოტენზიის მომატებული რისკი. მათი მსგავსი ფარმაკოდინამიკური თვისებების გათვალისწინებით, ეს შედეგები ვრცელდება სხვა აგფ ინჰიბიტორებსა და ანგიოტენზინ II რეცეპტორების ბლოკატორებზეც.</w:t>
      </w:r>
    </w:p>
    <w:p w14:paraId="36BFB83F" w14:textId="77777777"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lastRenderedPageBreak/>
        <w:t>აგფ ინჰიბიტორებისა და ანგიოტენზინ II რეცეპტორების ბლოკატორების ერთდროული გამოყენება არ შეიძლება დიაბეტური ნეფროპათიის მქონე პაციენტებში.</w:t>
      </w:r>
    </w:p>
    <w:p w14:paraId="740C1828" w14:textId="77777777"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ALTITUDE კვლევა (Aliskiren Trial in Type 2 Dibetes Using Cardiovascular and Renal Disease Endpoints) იკვლევდა  აგფ ინჰიბიტორების და ანგიოტენზინ II რეცეპტორების ბლოკატორების სტანდარტულ თერაპიაში ალისკირენის დამატების სარგებელს იმ პაციენტებში, რომელთაც აღენიშნებოდათ  შაქრიანი დიაბეტი, ტიპი 2, და თირკმელების ქრონიკული დაავადებები, გულ-სისხლძარღვთა დაავადებები, ან დაავადებების ორივე ტიპი. გვერდითი მოვლენების გაზრდილი რისკის გამო, კვლევა ვადამდე ადრე შეწყდა. გულსისხლძარღვთა ან ინსულტის მიზეზით ლეტალური შედეგი უფრო ხშირად ვლინდებოდა ალისკირენის ჯგუფში, ვიდრე პლაცებოს ჯგუფში. ანალოგიურად, გვერდითი მოვლენები და სერიოზული გვერდითი მოვლენები (ჰიპერკალემია, ჰიპოტენზია და თირკმლის ფუნქციის დარღვევა) უფრო ხშირად დაფიქსირდა ალისკირენის ჯგუფში, ვიდრე პლაცებოს ჯგუფში.</w:t>
      </w:r>
    </w:p>
    <w:p w14:paraId="0F07BD7B" w14:textId="77777777" w:rsidR="00323921" w:rsidRPr="00840CA5" w:rsidRDefault="00323921"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ჰიდროქლორთიაზიდი</w:t>
      </w:r>
    </w:p>
    <w:p w14:paraId="36FCD068" w14:textId="77777777"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ჰიდროქლოროთიაზიდი არის თიაზიდური დიურეზული საშუალება. თიაზიდური დიურეზული საშუალებების ჰიპოტენზიური მოქმედების მექანიზმი სრულად არ არის შესწავლილი. თიაზიდური საშუალებები გავლენას ახდენენ ელექტროლიტების რეაბსორბციის თირკმლის მილაკოვან მექანიზმებზე, უშუალოდ ზრდიან ნატრიუმისა და ქლორიდის ექსკრეციას დაახლოებით თანაბარი რაოდენობით. ჰიდროქლოროთიაზიდის დიურეზული მოქმედების შედეგად მცირდება პლაზმის მოცულობა, იზრდება რენინის აქტივობა პლაზმაში და ალდოსტერონის სეკრეცია, რაც იწვევს კალიუმისა და ბიკარბონატების კარგვას შარდთან ერთად, რასაც თან სდევს კალიუმის დონის შემცირება შრატში. რენინ-ალდოსტერონის კავშირი განპირობებულია ანგიოტენზინ II-ით და, შესაბამისად, ანგიოტენზინ II რეცეპტორების ანტაგონისტის ერთდროული მიღება იწვევს დიურეზული საშუალებების მიღებით გამოწვეული კალიუმის დაკარგვის შემცირებას.</w:t>
      </w:r>
    </w:p>
    <w:p w14:paraId="3EF0153F" w14:textId="3EB65C65" w:rsidR="00323921" w:rsidRPr="00840CA5" w:rsidRDefault="00323921"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პერორალურად მიღების შემთხვევაში, დიურეზული მოქმედება იწყება 2 საათში, მაქსიმუმს აღწევს დაახლოებით 4 საათში და გრძელდება 6-12 საათს. ანტიჰიპერტენზიული მოქმედება გრძელდება 24 საათამდე.</w:t>
      </w:r>
    </w:p>
    <w:p w14:paraId="650ABA0F" w14:textId="77777777" w:rsidR="0013789C" w:rsidRPr="00840CA5" w:rsidRDefault="0013789C"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არამელანომური კანის კიბო</w:t>
      </w:r>
    </w:p>
    <w:p w14:paraId="4076AF4F" w14:textId="78E15C68" w:rsidR="00C010A6" w:rsidRPr="00840CA5" w:rsidRDefault="0013789C"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ეპიდემიოლოგიური კვლევების მონაცემების თანახმად, გამოვლინდა კავშირი HCTZ-ის კუმულაციურ დოზა-დამოკიდებულებასა და არამელანომურ კანის კიბოს შორის. ერთი კვლევა მოიცავდა პოპულაციას ბაზალური უჯრედის კარცინომის 71,533 შემთხვევით და 8,629 ბრტყელუჯრედოვანი კარცინომის შემთხვევით, რომელიც შეესაბამე</w:t>
      </w:r>
      <w:r w:rsidR="00D978D5" w:rsidRPr="00840CA5">
        <w:rPr>
          <w:rFonts w:ascii="Sylfaen" w:hAnsi="Sylfaen" w:cs="Sylfaen"/>
          <w:sz w:val="24"/>
          <w:szCs w:val="24"/>
          <w:lang w:val="ka-GE"/>
        </w:rPr>
        <w:t>ბ</w:t>
      </w:r>
      <w:r w:rsidRPr="00840CA5">
        <w:rPr>
          <w:rFonts w:ascii="Sylfaen" w:hAnsi="Sylfaen" w:cs="Sylfaen"/>
          <w:sz w:val="24"/>
          <w:szCs w:val="24"/>
          <w:lang w:val="ka-GE"/>
        </w:rPr>
        <w:t>ო</w:t>
      </w:r>
      <w:r w:rsidR="00D978D5" w:rsidRPr="00840CA5">
        <w:rPr>
          <w:rFonts w:ascii="Sylfaen" w:hAnsi="Sylfaen" w:cs="Sylfaen"/>
          <w:sz w:val="24"/>
          <w:szCs w:val="24"/>
          <w:lang w:val="ka-GE"/>
        </w:rPr>
        <w:t>დ</w:t>
      </w:r>
      <w:r w:rsidRPr="00840CA5">
        <w:rPr>
          <w:rFonts w:ascii="Sylfaen" w:hAnsi="Sylfaen" w:cs="Sylfaen"/>
          <w:sz w:val="24"/>
          <w:szCs w:val="24"/>
          <w:lang w:val="ka-GE"/>
        </w:rPr>
        <w:t xml:space="preserve">ა 1,430,833 და 172,462 პოპულაციის კონტროლს, შესაბამისად. HCTZ-ის </w:t>
      </w:r>
      <w:r w:rsidR="00D71DAC" w:rsidRPr="00840CA5">
        <w:rPr>
          <w:rFonts w:ascii="Sylfaen" w:hAnsi="Sylfaen" w:cs="Sylfaen"/>
          <w:sz w:val="24"/>
          <w:szCs w:val="24"/>
          <w:lang w:val="ka-GE"/>
        </w:rPr>
        <w:t>დიდი</w:t>
      </w:r>
      <w:r w:rsidRPr="00840CA5">
        <w:rPr>
          <w:rFonts w:ascii="Sylfaen" w:hAnsi="Sylfaen" w:cs="Sylfaen"/>
          <w:sz w:val="24"/>
          <w:szCs w:val="24"/>
          <w:lang w:val="ka-GE"/>
        </w:rPr>
        <w:t xml:space="preserve"> დოზის გამოყენებას (≥50,000მგ კუმულაციურად) უკავშირდებოდა ბაზალური უჯრედის კარცინომის დაზუსტებული შანსების თანაფარდობის (OR) 1.29 (95% ნდობის ინტერვალი: 1.23-1.35) მაჩვენებელი და ბრტყელუჯრედოვანი კარცინომის  3.98 (95% ნდობის ინტერვალი: 3.68- 4.31) მაჩვენებელი. სუფთა კუმულაციურ დოზაზე რეაგირება ჰქონდა, როგორც ბაზალური უჯრედის კარცინომას, ასევე ბრტყელუჯრედოვან კარცინომას. სხვა კვლევამ გამოავლინა შესაძლო კავშირი ტუჩის კიბოსა (ბრტყელუჯრედოვანი კარცინომა) და HCTZ-ის გავლენას შორის: ტუჩის კიბოს 633 შემთხვევა შეესაბამედობა 63,067 პოპულაციის კონტროლს, რისკების ნაკრების შერჩევითი სტრატეგიის გამოყენებით. კუმულაციურ დოზაზე რეაგირების თანაფარდობა, რომელიც გამოვლინდა დაზუსტებული შანსების თანაფარდობის 2.1 (95% ნდობის ინტერვალი: 1.7-2.6) მაჩვენებელით, გაიზარდა OR 3.9-მდე (3.0-4.9) </w:t>
      </w:r>
      <w:r w:rsidR="00D978D5" w:rsidRPr="00840CA5">
        <w:rPr>
          <w:rFonts w:ascii="Sylfaen" w:hAnsi="Sylfaen" w:cs="Sylfaen"/>
          <w:sz w:val="24"/>
          <w:szCs w:val="24"/>
          <w:lang w:val="ka-GE"/>
        </w:rPr>
        <w:t>დიდი</w:t>
      </w:r>
      <w:r w:rsidRPr="00840CA5">
        <w:rPr>
          <w:rFonts w:ascii="Sylfaen" w:hAnsi="Sylfaen" w:cs="Sylfaen"/>
          <w:sz w:val="24"/>
          <w:szCs w:val="24"/>
          <w:lang w:val="ka-GE"/>
        </w:rPr>
        <w:t xml:space="preserve"> დოზების გამოყენებისას (</w:t>
      </w:r>
      <w:r w:rsidRPr="00840CA5">
        <w:rPr>
          <w:rFonts w:ascii="Cambria Math" w:hAnsi="Cambria Math" w:cs="Cambria Math"/>
          <w:sz w:val="24"/>
          <w:szCs w:val="24"/>
          <w:lang w:val="ka-GE"/>
        </w:rPr>
        <w:t>∽</w:t>
      </w:r>
      <w:r w:rsidRPr="00840CA5">
        <w:rPr>
          <w:rFonts w:ascii="Sylfaen" w:hAnsi="Sylfaen" w:cs="Sylfaen"/>
          <w:sz w:val="24"/>
          <w:szCs w:val="24"/>
          <w:lang w:val="ka-GE"/>
        </w:rPr>
        <w:t xml:space="preserve">25,000მგ) და OR 7.7-მდე (5.7-10.5) </w:t>
      </w:r>
      <w:r w:rsidR="00D71DAC" w:rsidRPr="00840CA5">
        <w:rPr>
          <w:rFonts w:ascii="Sylfaen" w:hAnsi="Sylfaen" w:cs="Sylfaen"/>
          <w:sz w:val="24"/>
          <w:szCs w:val="24"/>
          <w:lang w:val="ka-GE"/>
        </w:rPr>
        <w:t>ყველაზე დიდი</w:t>
      </w:r>
      <w:r w:rsidRPr="00840CA5">
        <w:rPr>
          <w:rFonts w:ascii="Sylfaen" w:hAnsi="Sylfaen" w:cs="Sylfaen"/>
          <w:sz w:val="24"/>
          <w:szCs w:val="24"/>
          <w:lang w:val="ka-GE"/>
        </w:rPr>
        <w:t xml:space="preserve"> კუმულაციური დოზების მიღებისას (</w:t>
      </w:r>
      <w:r w:rsidRPr="00840CA5">
        <w:rPr>
          <w:rFonts w:ascii="Cambria Math" w:hAnsi="Cambria Math" w:cs="Cambria Math"/>
          <w:sz w:val="24"/>
          <w:szCs w:val="24"/>
          <w:lang w:val="ka-GE"/>
        </w:rPr>
        <w:t>∽</w:t>
      </w:r>
      <w:r w:rsidRPr="00840CA5">
        <w:rPr>
          <w:rFonts w:ascii="Sylfaen" w:hAnsi="Sylfaen" w:cs="Sylfaen"/>
          <w:sz w:val="24"/>
          <w:szCs w:val="24"/>
          <w:lang w:val="ka-GE"/>
        </w:rPr>
        <w:t>100,000მგ</w:t>
      </w:r>
      <w:r w:rsidR="00D71DAC" w:rsidRPr="00840CA5">
        <w:rPr>
          <w:rFonts w:ascii="Sylfaen" w:hAnsi="Sylfaen" w:cs="Sylfaen"/>
          <w:sz w:val="24"/>
          <w:szCs w:val="24"/>
          <w:lang w:val="ka-GE"/>
        </w:rPr>
        <w:t>).</w:t>
      </w:r>
    </w:p>
    <w:p w14:paraId="3AE9B416" w14:textId="0F593A2B" w:rsidR="00D50DBB" w:rsidRPr="00840CA5" w:rsidRDefault="006D7839" w:rsidP="007050C7">
      <w:pPr>
        <w:pStyle w:val="ListParagraph"/>
        <w:numPr>
          <w:ilvl w:val="0"/>
          <w:numId w:val="37"/>
        </w:numPr>
        <w:spacing w:after="0" w:line="240" w:lineRule="auto"/>
        <w:ind w:left="-630" w:right="-301"/>
        <w:jc w:val="both"/>
        <w:rPr>
          <w:rFonts w:ascii="Sylfaen" w:hAnsi="Sylfaen" w:cs="Sylfaen"/>
          <w:bCs/>
          <w:sz w:val="24"/>
          <w:szCs w:val="24"/>
          <w:lang w:val="ka-GE"/>
        </w:rPr>
      </w:pPr>
      <w:r w:rsidRPr="00840CA5">
        <w:rPr>
          <w:rFonts w:ascii="Sylfaen" w:hAnsi="Sylfaen" w:cs="Sylfaen"/>
          <w:b/>
          <w:sz w:val="24"/>
          <w:szCs w:val="24"/>
          <w:lang w:val="ka-GE"/>
        </w:rPr>
        <w:t>ფარმაკოკინეტიკური თვისებები</w:t>
      </w:r>
    </w:p>
    <w:p w14:paraId="73562B87" w14:textId="77777777" w:rsidR="00C010A6" w:rsidRPr="00840CA5" w:rsidRDefault="00BA4B2A" w:rsidP="007050C7">
      <w:pPr>
        <w:spacing w:after="0" w:line="240" w:lineRule="auto"/>
        <w:ind w:left="-990" w:right="-301"/>
        <w:jc w:val="both"/>
        <w:rPr>
          <w:rFonts w:ascii="Sylfaen" w:hAnsi="Sylfaen" w:cs="Sylfaen"/>
          <w:sz w:val="24"/>
          <w:szCs w:val="24"/>
          <w:lang w:val="ka-GE"/>
        </w:rPr>
      </w:pPr>
      <w:r w:rsidRPr="00840CA5">
        <w:rPr>
          <w:rFonts w:ascii="Sylfaen" w:hAnsi="Sylfaen" w:cs="Sylfaen"/>
          <w:b/>
          <w:bCs/>
          <w:sz w:val="24"/>
          <w:szCs w:val="24"/>
          <w:lang w:val="ka-GE"/>
        </w:rPr>
        <w:t>აბსორბცია</w:t>
      </w:r>
    </w:p>
    <w:p w14:paraId="6973CC18" w14:textId="6BB3328A" w:rsidR="00C010A6" w:rsidRPr="00840CA5" w:rsidRDefault="00C010A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w:t>
      </w:r>
    </w:p>
    <w:p w14:paraId="5758E0C5" w14:textId="4B703CB5" w:rsidR="000D7588" w:rsidRPr="00840CA5" w:rsidRDefault="00C010A6"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lastRenderedPageBreak/>
        <w:t>პერორალურად მიღებისას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კარგად შეიწოვება და განიცდის პირველი გავლის მეტაბოლიზმს, წარმოქმნის აქტიურ კარბოქსილის მჟავას მეტაბოლიტს და სხვა არააქტიურ მეტაბოლიტებს.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ტაბლეტების სისტემური ბიოშეღწევადობა შეადგენს დაახლოებით 33%-ს.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აქტიური მეტაბოლიტის საშუალო პიკური კონცენტრაცია მიიღწევა</w:t>
      </w:r>
      <w:r w:rsidR="004572E7" w:rsidRPr="00840CA5">
        <w:rPr>
          <w:rFonts w:ascii="Sylfaen" w:hAnsi="Sylfaen" w:cs="Sylfaen"/>
          <w:sz w:val="24"/>
          <w:szCs w:val="24"/>
          <w:lang w:val="ka-GE"/>
        </w:rPr>
        <w:t xml:space="preserve">, შესაბამისად, </w:t>
      </w:r>
      <w:r w:rsidRPr="00840CA5">
        <w:rPr>
          <w:rFonts w:ascii="Sylfaen" w:hAnsi="Sylfaen" w:cs="Sylfaen"/>
          <w:sz w:val="24"/>
          <w:szCs w:val="24"/>
          <w:lang w:val="ka-GE"/>
        </w:rPr>
        <w:t xml:space="preserve"> 1 საათში და 3-4 საათში</w:t>
      </w:r>
      <w:r w:rsidR="004572E7" w:rsidRPr="00840CA5">
        <w:rPr>
          <w:rFonts w:ascii="Sylfaen" w:hAnsi="Sylfaen" w:cs="Sylfaen"/>
          <w:sz w:val="24"/>
          <w:szCs w:val="24"/>
          <w:lang w:val="ka-GE"/>
        </w:rPr>
        <w:t>.</w:t>
      </w:r>
      <w:r w:rsidRPr="00840CA5">
        <w:rPr>
          <w:rFonts w:ascii="Sylfaen" w:hAnsi="Sylfaen" w:cs="Sylfaen"/>
          <w:sz w:val="24"/>
          <w:szCs w:val="24"/>
          <w:lang w:val="ka-GE"/>
        </w:rPr>
        <w:t xml:space="preserve">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პლაზმური კონცენტრაციის პროფილზე კლინიკურად მნიშვნელოვანი გავლენა არ აღინიშნა</w:t>
      </w:r>
      <w:r w:rsidRPr="00840CA5">
        <w:rPr>
          <w:rFonts w:ascii="Sylfaen" w:hAnsi="Sylfaen" w:cs="Sylfaen"/>
          <w:sz w:val="24"/>
          <w:szCs w:val="24"/>
        </w:rPr>
        <w:t xml:space="preserve"> </w:t>
      </w:r>
      <w:r w:rsidRPr="00840CA5">
        <w:rPr>
          <w:rFonts w:ascii="Sylfaen" w:hAnsi="Sylfaen" w:cs="Sylfaen"/>
          <w:sz w:val="24"/>
          <w:szCs w:val="24"/>
          <w:lang w:val="ka-GE"/>
        </w:rPr>
        <w:t>სტანდარტულ საკვებ</w:t>
      </w:r>
      <w:r w:rsidR="000D7588" w:rsidRPr="00840CA5">
        <w:rPr>
          <w:rFonts w:ascii="Sylfaen" w:hAnsi="Sylfaen" w:cs="Sylfaen"/>
          <w:sz w:val="24"/>
          <w:szCs w:val="24"/>
          <w:lang w:val="ka-GE"/>
        </w:rPr>
        <w:t xml:space="preserve">თან ერთად </w:t>
      </w:r>
      <w:r w:rsidRPr="00840CA5">
        <w:rPr>
          <w:rFonts w:ascii="Sylfaen" w:hAnsi="Sylfaen" w:cs="Sylfaen"/>
          <w:sz w:val="24"/>
          <w:szCs w:val="24"/>
          <w:lang w:val="ka-GE"/>
        </w:rPr>
        <w:t>მიღებისას.</w:t>
      </w:r>
    </w:p>
    <w:p w14:paraId="003FDD7E" w14:textId="77777777" w:rsidR="000D7588" w:rsidRPr="00840CA5" w:rsidRDefault="00C010A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განაწილება</w:t>
      </w:r>
    </w:p>
    <w:p w14:paraId="65A9D841" w14:textId="085C6E41" w:rsidR="000D7588" w:rsidRPr="00840CA5" w:rsidRDefault="00C010A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w:t>
      </w:r>
    </w:p>
    <w:p w14:paraId="0B0B71C5" w14:textId="225ECA54" w:rsidR="000D7588" w:rsidRPr="00840CA5" w:rsidRDefault="00C010A6"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როგორც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ასევე მისი აქტიური მეტაბოლიტი ≥99%-ით უკავშირდება პლაზმურ ცილებს, პირველ რიგში ალბუმინს.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განაწილების მოცულობა 34 ლიტრია. ვირთაგვებში ჩატარებული კვლევები მიუთითებს, რომ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 სუსტად კვეთს </w:t>
      </w:r>
      <w:r w:rsidR="003A2AB0" w:rsidRPr="00840CA5">
        <w:rPr>
          <w:rFonts w:ascii="Sylfaen" w:hAnsi="Sylfaen" w:cs="Sylfaen"/>
          <w:sz w:val="24"/>
          <w:szCs w:val="24"/>
          <w:lang w:val="ka-GE"/>
        </w:rPr>
        <w:t xml:space="preserve">ან საერთოდ არ კვეთს </w:t>
      </w:r>
      <w:r w:rsidRPr="00840CA5">
        <w:rPr>
          <w:rFonts w:ascii="Sylfaen" w:hAnsi="Sylfaen" w:cs="Sylfaen"/>
          <w:sz w:val="24"/>
          <w:szCs w:val="24"/>
          <w:lang w:val="ka-GE"/>
        </w:rPr>
        <w:t>ჰემატოენცეფალურ ბარიერს.</w:t>
      </w:r>
    </w:p>
    <w:p w14:paraId="6A7D5587" w14:textId="77777777" w:rsidR="000D7588" w:rsidRPr="00840CA5" w:rsidRDefault="00C010A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ჰიდროქლოროთიაზიდი</w:t>
      </w:r>
    </w:p>
    <w:p w14:paraId="6978AF5E" w14:textId="77777777" w:rsidR="000D7588" w:rsidRPr="00840CA5" w:rsidRDefault="00C010A6"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ჰიდროქლოროთიაზიდი კვეთს პლაცენტარულ, მაგრამ არა ჰემატოენცეფალურ ბარიერს და გამოიყოფა დედის რძეში.</w:t>
      </w:r>
    </w:p>
    <w:p w14:paraId="10387D8A" w14:textId="77777777" w:rsidR="000D7588" w:rsidRPr="00840CA5" w:rsidRDefault="00C010A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ბიოტრანსფორმაცია</w:t>
      </w:r>
    </w:p>
    <w:p w14:paraId="4852743B" w14:textId="42FF4837" w:rsidR="000D7588" w:rsidRPr="00840CA5" w:rsidRDefault="00C010A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w:t>
      </w:r>
    </w:p>
    <w:p w14:paraId="1562B6FC" w14:textId="642585A8" w:rsidR="000D7588" w:rsidRPr="00840CA5" w:rsidRDefault="00C010A6"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ინტრავენურად ან პერორალურად მიღებული დოზის დაახლოებით 14% გარდაიქმნება მის აქტიურ მეტაბოლიტად. 14C-მარკირებული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 კალიუმის პერორალურად და ინტრავენურად </w:t>
      </w:r>
      <w:r w:rsidR="004572E7" w:rsidRPr="00840CA5">
        <w:rPr>
          <w:rFonts w:ascii="Sylfaen" w:hAnsi="Sylfaen" w:cs="Sylfaen"/>
          <w:sz w:val="24"/>
          <w:szCs w:val="24"/>
          <w:lang w:val="ka-GE"/>
        </w:rPr>
        <w:t>გამოყენების</w:t>
      </w:r>
      <w:r w:rsidRPr="00840CA5">
        <w:rPr>
          <w:rFonts w:ascii="Sylfaen" w:hAnsi="Sylfaen" w:cs="Sylfaen"/>
          <w:sz w:val="24"/>
          <w:szCs w:val="24"/>
          <w:lang w:val="ka-GE"/>
        </w:rPr>
        <w:t xml:space="preserve"> </w:t>
      </w:r>
      <w:r w:rsidR="000D7588" w:rsidRPr="00840CA5">
        <w:rPr>
          <w:rFonts w:ascii="Sylfaen" w:hAnsi="Sylfaen" w:cs="Sylfaen"/>
          <w:sz w:val="24"/>
          <w:szCs w:val="24"/>
          <w:lang w:val="ka-GE"/>
        </w:rPr>
        <w:t>შემთხვევაში,</w:t>
      </w:r>
      <w:r w:rsidRPr="00840CA5">
        <w:rPr>
          <w:rFonts w:ascii="Sylfaen" w:hAnsi="Sylfaen" w:cs="Sylfaen"/>
          <w:sz w:val="24"/>
          <w:szCs w:val="24"/>
          <w:lang w:val="ka-GE"/>
        </w:rPr>
        <w:t xml:space="preserve"> მოცირკულირე პლაზმური რადიოაქტიურობა ძირითადად მოდი</w:t>
      </w:r>
      <w:r w:rsidR="004572E7" w:rsidRPr="00840CA5">
        <w:rPr>
          <w:rFonts w:ascii="Sylfaen" w:hAnsi="Sylfaen" w:cs="Sylfaen"/>
          <w:sz w:val="24"/>
          <w:szCs w:val="24"/>
          <w:lang w:val="ka-GE"/>
        </w:rPr>
        <w:t>ს</w:t>
      </w:r>
      <w:r w:rsidRPr="00840CA5">
        <w:rPr>
          <w:rFonts w:ascii="Sylfaen" w:hAnsi="Sylfaen" w:cs="Sylfaen"/>
          <w:sz w:val="24"/>
          <w:szCs w:val="24"/>
          <w:lang w:val="ka-GE"/>
        </w:rPr>
        <w:t xml:space="preserve">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არტანსა და მის აქტიურ მეტაბოლიტზე.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მინიმალური გარდაქმნა მის აქტიურ მეტაბოლიტად დაფიქსირდა შესწავლილი პირების დაახლოებით ერთ პროცენტში.</w:t>
      </w:r>
      <w:r w:rsidR="007D4115" w:rsidRPr="00840CA5">
        <w:rPr>
          <w:rFonts w:ascii="Sylfaen" w:hAnsi="Sylfaen" w:cs="Sylfaen"/>
          <w:sz w:val="24"/>
          <w:szCs w:val="24"/>
          <w:lang w:val="ka-GE"/>
        </w:rPr>
        <w:t xml:space="preserve"> </w:t>
      </w:r>
      <w:r w:rsidRPr="00840CA5">
        <w:rPr>
          <w:rFonts w:ascii="Sylfaen" w:hAnsi="Sylfaen" w:cs="Sylfaen"/>
          <w:sz w:val="24"/>
          <w:szCs w:val="24"/>
          <w:lang w:val="ka-GE"/>
        </w:rPr>
        <w:t>აქტიური მეტაბოლიტის გარდა, წარმოიქმნება არააქტიური მეტაბოლიტები, მათ შორის ორი ძირითადი მეტაბოლიტი, რომლებიც წარმოიქმნება ბუტილის გვერდითი ჯაჭვის ჰიდროქსილირებით და უმნიშვნელო მეტაბოლიტი, N-2 ტეტრაზოლის გლუკურონიდი.</w:t>
      </w:r>
    </w:p>
    <w:p w14:paraId="1E1667C5" w14:textId="77777777" w:rsidR="000D7588" w:rsidRPr="00840CA5" w:rsidRDefault="000D7588"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ელიმინაცია</w:t>
      </w:r>
    </w:p>
    <w:p w14:paraId="5533536D" w14:textId="31B98E67" w:rsidR="000D7588" w:rsidRPr="00840CA5" w:rsidRDefault="000D7588"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w:t>
      </w:r>
    </w:p>
    <w:p w14:paraId="57C1FF72" w14:textId="4C6ADC69" w:rsidR="000D7588" w:rsidRPr="00840CA5" w:rsidRDefault="000D7588"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აქტიური მეტაბოლიტის პლაზმური კლირენსი არის დაახლოებით  600მლ/წთ და 50მლ/წთ, შესაბამისად.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აქტიური მეტაბოლიტის თირკმლისმიერი კლირენსი არის</w:t>
      </w:r>
      <w:r w:rsidR="004572E7" w:rsidRPr="00840CA5">
        <w:rPr>
          <w:rFonts w:ascii="Sylfaen" w:hAnsi="Sylfaen" w:cs="Sylfaen"/>
          <w:sz w:val="24"/>
          <w:szCs w:val="24"/>
          <w:lang w:val="ka-GE"/>
        </w:rPr>
        <w:t xml:space="preserve">, შესაბამისად, </w:t>
      </w:r>
      <w:r w:rsidRPr="00840CA5">
        <w:rPr>
          <w:rFonts w:ascii="Sylfaen" w:hAnsi="Sylfaen" w:cs="Sylfaen"/>
          <w:sz w:val="24"/>
          <w:szCs w:val="24"/>
          <w:lang w:val="ka-GE"/>
        </w:rPr>
        <w:t>74 მლ/წთ და 26მლ/წთ</w:t>
      </w:r>
      <w:r w:rsidR="004572E7" w:rsidRPr="00840CA5">
        <w:rPr>
          <w:rFonts w:ascii="Sylfaen" w:hAnsi="Sylfaen" w:cs="Sylfaen"/>
          <w:sz w:val="24"/>
          <w:szCs w:val="24"/>
          <w:lang w:val="ka-GE"/>
        </w:rPr>
        <w:t>.</w:t>
      </w:r>
      <w:r w:rsidRPr="00840CA5">
        <w:rPr>
          <w:rFonts w:ascii="Sylfaen" w:hAnsi="Sylfaen" w:cs="Sylfaen"/>
          <w:sz w:val="24"/>
          <w:szCs w:val="24"/>
          <w:lang w:val="ka-GE"/>
        </w:rPr>
        <w:t xml:space="preserve">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პერორალურად მიღების შემთხვევაში დოზის დაახლოებით 4% გამოიყოფა შარდში უცვლელი სახით, ხოლო დოზის დაახლოებით 6% გამოიყოფა შარდში აქტიური მეტაბოლიტის სახით.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აქტიური მეტაბოლიტის ფარმაკოკინეტიკა ხაზოვანია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კალიუმის 200მგ-მდე დოზებით.</w:t>
      </w:r>
    </w:p>
    <w:p w14:paraId="309ACEFD" w14:textId="3DD13204" w:rsidR="00A12F03" w:rsidRPr="00840CA5" w:rsidRDefault="000D7588"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პერორალური მიღებისას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აქტიური მეტაბოლიტის პლაზმური კონცენტრაციები მცირდება პოლიექსპონენციალურად, ტერმინალური ნახევარგამოყოფის პერიოდი</w:t>
      </w:r>
      <w:r w:rsidR="00A12F03" w:rsidRPr="00840CA5">
        <w:rPr>
          <w:rFonts w:ascii="Sylfaen" w:hAnsi="Sylfaen" w:cs="Sylfaen"/>
          <w:sz w:val="24"/>
          <w:szCs w:val="24"/>
          <w:lang w:val="ka-GE"/>
        </w:rPr>
        <w:t xml:space="preserve"> შეადგენს</w:t>
      </w:r>
      <w:r w:rsidRPr="00840CA5">
        <w:rPr>
          <w:rFonts w:ascii="Sylfaen" w:hAnsi="Sylfaen" w:cs="Sylfaen"/>
          <w:sz w:val="24"/>
          <w:szCs w:val="24"/>
          <w:lang w:val="ka-GE"/>
        </w:rPr>
        <w:t xml:space="preserve"> დაახლოებით 2 საათ</w:t>
      </w:r>
      <w:r w:rsidR="00A12F03" w:rsidRPr="00840CA5">
        <w:rPr>
          <w:rFonts w:ascii="Sylfaen" w:hAnsi="Sylfaen" w:cs="Sylfaen"/>
          <w:sz w:val="24"/>
          <w:szCs w:val="24"/>
          <w:lang w:val="ka-GE"/>
        </w:rPr>
        <w:t>ს</w:t>
      </w:r>
      <w:r w:rsidRPr="00840CA5">
        <w:rPr>
          <w:rFonts w:ascii="Sylfaen" w:hAnsi="Sylfaen" w:cs="Sylfaen"/>
          <w:sz w:val="24"/>
          <w:szCs w:val="24"/>
          <w:lang w:val="ka-GE"/>
        </w:rPr>
        <w:t xml:space="preserve"> და 6-9 საათ</w:t>
      </w:r>
      <w:r w:rsidR="00A12F03" w:rsidRPr="00840CA5">
        <w:rPr>
          <w:rFonts w:ascii="Sylfaen" w:hAnsi="Sylfaen" w:cs="Sylfaen"/>
          <w:sz w:val="24"/>
          <w:szCs w:val="24"/>
          <w:lang w:val="ka-GE"/>
        </w:rPr>
        <w:t>ს</w:t>
      </w:r>
      <w:r w:rsidRPr="00840CA5">
        <w:rPr>
          <w:rFonts w:ascii="Sylfaen" w:hAnsi="Sylfaen" w:cs="Sylfaen"/>
          <w:sz w:val="24"/>
          <w:szCs w:val="24"/>
          <w:lang w:val="ka-GE"/>
        </w:rPr>
        <w:t>, შესაბამისად. დღეში ერთხელ 100მგ დოზით მიღებისას არც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და არც მისი აქტიური მეტაბოლიტი მნიშვნელოვნად არ აკუმულირდება პლაზმაში.</w:t>
      </w:r>
    </w:p>
    <w:p w14:paraId="16CCA60E" w14:textId="3898A803" w:rsidR="00A12F03" w:rsidRPr="00840CA5" w:rsidRDefault="000D7588"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როგორც ნაღვლით, ასევე შარდით ექსკრეცია ხელს უწყობს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მეტაბოლიტების ელიმინაციას. ადამიან</w:t>
      </w:r>
      <w:r w:rsidR="00A12F03" w:rsidRPr="00840CA5">
        <w:rPr>
          <w:rFonts w:ascii="Sylfaen" w:hAnsi="Sylfaen" w:cs="Sylfaen"/>
          <w:sz w:val="24"/>
          <w:szCs w:val="24"/>
          <w:lang w:val="ka-GE"/>
        </w:rPr>
        <w:t>ებ</w:t>
      </w:r>
      <w:r w:rsidRPr="00840CA5">
        <w:rPr>
          <w:rFonts w:ascii="Sylfaen" w:hAnsi="Sylfaen" w:cs="Sylfaen"/>
          <w:sz w:val="24"/>
          <w:szCs w:val="24"/>
          <w:lang w:val="ka-GE"/>
        </w:rPr>
        <w:t>ში 14C-მარკირებული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პერორალური დოზის მიღების</w:t>
      </w:r>
      <w:r w:rsidR="00A12F03" w:rsidRPr="00840CA5">
        <w:rPr>
          <w:rFonts w:ascii="Sylfaen" w:hAnsi="Sylfaen" w:cs="Sylfaen"/>
          <w:sz w:val="24"/>
          <w:szCs w:val="24"/>
          <w:lang w:val="ka-GE"/>
        </w:rPr>
        <w:t>ას</w:t>
      </w:r>
      <w:r w:rsidRPr="00840CA5">
        <w:rPr>
          <w:rFonts w:ascii="Sylfaen" w:hAnsi="Sylfaen" w:cs="Sylfaen"/>
          <w:sz w:val="24"/>
          <w:szCs w:val="24"/>
          <w:lang w:val="ka-GE"/>
        </w:rPr>
        <w:t xml:space="preserve"> რადიოაქტიურობის დაახლოებით 35% </w:t>
      </w:r>
      <w:r w:rsidR="00A12F03" w:rsidRPr="00840CA5">
        <w:rPr>
          <w:rFonts w:ascii="Sylfaen" w:hAnsi="Sylfaen" w:cs="Sylfaen"/>
          <w:sz w:val="24"/>
          <w:szCs w:val="24"/>
          <w:lang w:val="ka-GE"/>
        </w:rPr>
        <w:t>აღმოჩნდა</w:t>
      </w:r>
      <w:r w:rsidRPr="00840CA5">
        <w:rPr>
          <w:rFonts w:ascii="Sylfaen" w:hAnsi="Sylfaen" w:cs="Sylfaen"/>
          <w:sz w:val="24"/>
          <w:szCs w:val="24"/>
          <w:lang w:val="ka-GE"/>
        </w:rPr>
        <w:t xml:space="preserve"> შარდში და 58% - ფეკალურ მასებში.</w:t>
      </w:r>
    </w:p>
    <w:p w14:paraId="58F6999A" w14:textId="77777777" w:rsidR="00A12F03" w:rsidRPr="00840CA5" w:rsidRDefault="000D7588"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ჰიდროქლოროთიაზიდი</w:t>
      </w:r>
    </w:p>
    <w:p w14:paraId="22BE8C53" w14:textId="77777777" w:rsidR="000831FF" w:rsidRPr="00840CA5" w:rsidRDefault="000D7588"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ჰიდროქლოროთიაზიდი არ მეტაბოლიზდება, მაგრამ სწრაფად გამოიყოფა თირკმლის საშუალებით. მინიმუმ 24 საათის განმავლობაში პლაზმურ დონეზე დაკვირვებისას, დაფიქსირდა, რომ პლაზმური </w:t>
      </w:r>
      <w:r w:rsidRPr="00840CA5">
        <w:rPr>
          <w:rFonts w:ascii="Sylfaen" w:hAnsi="Sylfaen" w:cs="Sylfaen"/>
          <w:sz w:val="24"/>
          <w:szCs w:val="24"/>
          <w:lang w:val="ka-GE"/>
        </w:rPr>
        <w:lastRenderedPageBreak/>
        <w:t>ნახევარგამოყოფის პერიოდი ვარირებს 5.6 -დან 14.8 საათამდე. პერორალურ</w:t>
      </w:r>
      <w:r w:rsidR="00A12F03" w:rsidRPr="00840CA5">
        <w:rPr>
          <w:rFonts w:ascii="Sylfaen" w:hAnsi="Sylfaen" w:cs="Sylfaen"/>
          <w:sz w:val="24"/>
          <w:szCs w:val="24"/>
          <w:lang w:val="ka-GE"/>
        </w:rPr>
        <w:t>ად მიღებისას</w:t>
      </w:r>
      <w:r w:rsidRPr="00840CA5">
        <w:rPr>
          <w:rFonts w:ascii="Sylfaen" w:hAnsi="Sylfaen" w:cs="Sylfaen"/>
          <w:sz w:val="24"/>
          <w:szCs w:val="24"/>
          <w:lang w:val="ka-GE"/>
        </w:rPr>
        <w:t xml:space="preserve"> დოზის არანაკლებ 61 პროცენტი გამოიყოფა უცვლელი სახით 24 საათის განმავლობაში.</w:t>
      </w:r>
    </w:p>
    <w:p w14:paraId="6DAD4A4A" w14:textId="58306F9E" w:rsidR="000831FF" w:rsidRPr="00840CA5" w:rsidRDefault="00536C1D"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პაციენტთა განსაკუთრებული ჯგუფები</w:t>
      </w:r>
    </w:p>
    <w:p w14:paraId="5DA2B30D" w14:textId="7E3B31E3" w:rsidR="000831FF" w:rsidRPr="00840CA5" w:rsidRDefault="000831FF"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არტანი-ჰიდროქლოროთიაზიდი</w:t>
      </w:r>
    </w:p>
    <w:p w14:paraId="16D450BB" w14:textId="62E66F01" w:rsidR="000831FF" w:rsidRPr="00840CA5" w:rsidRDefault="000831F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მისი აქტიური მეტაბოლიტის პლაზმური კონცენტრაციები და ჰიდროქლოროთიაზიდის შეწოვა ჰიპერტენზიის მქონე ხანდაზმულ პირებში მნიშვნელოვნად არ განსხვავდება ჰიპერტენზიის მქონე ახალგაზრდა პირებში დაფიქსირებული მაჩვენებლებისგან.</w:t>
      </w:r>
    </w:p>
    <w:p w14:paraId="13254A2D" w14:textId="559E91AD" w:rsidR="000831FF" w:rsidRPr="00840CA5" w:rsidRDefault="000831FF"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w:t>
      </w:r>
    </w:p>
    <w:p w14:paraId="01FA1AD0" w14:textId="19153459" w:rsidR="00536C1D" w:rsidRPr="00840CA5" w:rsidRDefault="00536C1D"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პერორალურად მიღებისას </w:t>
      </w:r>
      <w:r w:rsidR="000831FF" w:rsidRPr="00840CA5">
        <w:rPr>
          <w:rFonts w:ascii="Sylfaen" w:hAnsi="Sylfaen" w:cs="Sylfaen"/>
          <w:sz w:val="24"/>
          <w:szCs w:val="24"/>
          <w:lang w:val="ka-GE"/>
        </w:rPr>
        <w:t xml:space="preserve">ალკოჰოლით გამოწვეული ღვიძლის </w:t>
      </w:r>
      <w:r w:rsidRPr="00840CA5">
        <w:rPr>
          <w:rFonts w:ascii="Sylfaen" w:hAnsi="Sylfaen" w:cs="Sylfaen"/>
          <w:sz w:val="24"/>
          <w:szCs w:val="24"/>
          <w:lang w:val="ka-GE"/>
        </w:rPr>
        <w:t xml:space="preserve">მსუბუქი და საშუალო სიმძიმის </w:t>
      </w:r>
      <w:r w:rsidR="000831FF" w:rsidRPr="00840CA5">
        <w:rPr>
          <w:rFonts w:ascii="Sylfaen" w:hAnsi="Sylfaen" w:cs="Sylfaen"/>
          <w:sz w:val="24"/>
          <w:szCs w:val="24"/>
          <w:lang w:val="ka-GE"/>
        </w:rPr>
        <w:t>ციროზის მქონე პაციენტებში ლო</w:t>
      </w:r>
      <w:r w:rsidR="00563666" w:rsidRPr="00840CA5">
        <w:rPr>
          <w:rFonts w:ascii="Sylfaen" w:hAnsi="Sylfaen" w:cs="Sylfaen"/>
          <w:sz w:val="24"/>
          <w:szCs w:val="24"/>
          <w:lang w:val="ka-GE"/>
        </w:rPr>
        <w:t>ზ</w:t>
      </w:r>
      <w:r w:rsidR="000831FF" w:rsidRPr="00840CA5">
        <w:rPr>
          <w:rFonts w:ascii="Sylfaen" w:hAnsi="Sylfaen" w:cs="Sylfaen"/>
          <w:sz w:val="24"/>
          <w:szCs w:val="24"/>
          <w:lang w:val="ka-GE"/>
        </w:rPr>
        <w:t>არტანისა და მისი აქტიური მეტაბოლიტის კონცენტრაციები პლაზმაში</w:t>
      </w:r>
      <w:r w:rsidRPr="00840CA5">
        <w:rPr>
          <w:rFonts w:ascii="Sylfaen" w:hAnsi="Sylfaen" w:cs="Sylfaen"/>
          <w:sz w:val="24"/>
          <w:szCs w:val="24"/>
          <w:lang w:val="ka-GE"/>
        </w:rPr>
        <w:t>,</w:t>
      </w:r>
      <w:r w:rsidR="000831FF" w:rsidRPr="00840CA5">
        <w:rPr>
          <w:rFonts w:ascii="Sylfaen" w:hAnsi="Sylfaen" w:cs="Sylfaen"/>
          <w:sz w:val="24"/>
          <w:szCs w:val="24"/>
          <w:lang w:val="ka-GE"/>
        </w:rPr>
        <w:t xml:space="preserve"> </w:t>
      </w:r>
      <w:r w:rsidRPr="00840CA5">
        <w:rPr>
          <w:rFonts w:ascii="Sylfaen" w:hAnsi="Sylfaen" w:cs="Sylfaen"/>
          <w:sz w:val="24"/>
          <w:szCs w:val="24"/>
          <w:lang w:val="ka-GE"/>
        </w:rPr>
        <w:t xml:space="preserve">შესაბამისად, </w:t>
      </w:r>
      <w:r w:rsidR="000831FF" w:rsidRPr="00840CA5">
        <w:rPr>
          <w:rFonts w:ascii="Sylfaen" w:hAnsi="Sylfaen" w:cs="Sylfaen"/>
          <w:sz w:val="24"/>
          <w:szCs w:val="24"/>
          <w:lang w:val="ka-GE"/>
        </w:rPr>
        <w:t xml:space="preserve">5-ჯერ და 1.7-ჯერ </w:t>
      </w:r>
      <w:r w:rsidRPr="00840CA5">
        <w:rPr>
          <w:rFonts w:ascii="Sylfaen" w:hAnsi="Sylfaen" w:cs="Sylfaen"/>
          <w:sz w:val="24"/>
          <w:szCs w:val="24"/>
          <w:lang w:val="ka-GE"/>
        </w:rPr>
        <w:t xml:space="preserve">აღემატებოდა </w:t>
      </w:r>
      <w:r w:rsidR="000831FF" w:rsidRPr="00840CA5">
        <w:rPr>
          <w:rFonts w:ascii="Sylfaen" w:hAnsi="Sylfaen" w:cs="Sylfaen"/>
          <w:sz w:val="24"/>
          <w:szCs w:val="24"/>
          <w:lang w:val="ka-GE"/>
        </w:rPr>
        <w:t xml:space="preserve">ახალგაზრდა </w:t>
      </w:r>
      <w:r w:rsidRPr="00840CA5">
        <w:rPr>
          <w:rFonts w:ascii="Sylfaen" w:hAnsi="Sylfaen" w:cs="Sylfaen"/>
          <w:sz w:val="24"/>
          <w:szCs w:val="24"/>
          <w:lang w:val="ka-GE"/>
        </w:rPr>
        <w:t xml:space="preserve">მამრობითი სქესის </w:t>
      </w:r>
      <w:r w:rsidR="000831FF" w:rsidRPr="00840CA5">
        <w:rPr>
          <w:rFonts w:ascii="Sylfaen" w:hAnsi="Sylfaen" w:cs="Sylfaen"/>
          <w:sz w:val="24"/>
          <w:szCs w:val="24"/>
          <w:lang w:val="ka-GE"/>
        </w:rPr>
        <w:t>მოხალისეებში</w:t>
      </w:r>
      <w:r w:rsidRPr="00840CA5">
        <w:rPr>
          <w:rFonts w:ascii="Sylfaen" w:hAnsi="Sylfaen" w:cs="Sylfaen"/>
          <w:sz w:val="24"/>
          <w:szCs w:val="24"/>
          <w:lang w:val="ka-GE"/>
        </w:rPr>
        <w:t xml:space="preserve"> დაფიქსირებულ მაჩვენებლებს</w:t>
      </w:r>
      <w:r w:rsidR="000831FF" w:rsidRPr="00840CA5">
        <w:rPr>
          <w:rFonts w:ascii="Sylfaen" w:hAnsi="Sylfaen" w:cs="Sylfaen"/>
          <w:sz w:val="24"/>
          <w:szCs w:val="24"/>
          <w:lang w:val="ka-GE"/>
        </w:rPr>
        <w:t>.</w:t>
      </w:r>
    </w:p>
    <w:p w14:paraId="74E011C4" w14:textId="34674A84" w:rsidR="00536C1D" w:rsidRPr="00840CA5" w:rsidRDefault="000831F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ფარმაკოკინეტიკურმა კვლევებმა აჩვენა, რომ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AUC იაპონელ და არა</w:t>
      </w:r>
      <w:r w:rsidR="0060482C" w:rsidRPr="00840CA5">
        <w:rPr>
          <w:rFonts w:ascii="Sylfaen" w:hAnsi="Sylfaen" w:cs="Sylfaen"/>
          <w:sz w:val="24"/>
          <w:szCs w:val="24"/>
          <w:lang w:val="ka-GE"/>
        </w:rPr>
        <w:t>-</w:t>
      </w:r>
      <w:r w:rsidRPr="00840CA5">
        <w:rPr>
          <w:rFonts w:ascii="Sylfaen" w:hAnsi="Sylfaen" w:cs="Sylfaen"/>
          <w:sz w:val="24"/>
          <w:szCs w:val="24"/>
          <w:lang w:val="ka-GE"/>
        </w:rPr>
        <w:t xml:space="preserve">იაპონელ ჯანმრთელ მამაკაცებში </w:t>
      </w:r>
      <w:r w:rsidR="00536C1D" w:rsidRPr="00840CA5">
        <w:rPr>
          <w:rFonts w:ascii="Sylfaen" w:hAnsi="Sylfaen" w:cs="Sylfaen"/>
          <w:sz w:val="24"/>
          <w:szCs w:val="24"/>
          <w:lang w:val="ka-GE"/>
        </w:rPr>
        <w:t>ერთნაირია</w:t>
      </w:r>
      <w:r w:rsidRPr="00840CA5">
        <w:rPr>
          <w:rFonts w:ascii="Sylfaen" w:hAnsi="Sylfaen" w:cs="Sylfaen"/>
          <w:sz w:val="24"/>
          <w:szCs w:val="24"/>
          <w:lang w:val="ka-GE"/>
        </w:rPr>
        <w:t>. ამასთან, კარბოქსილის მჟავას მეტაბოლიტის AUC (E-3174), განსხვავებულია ორ ჯგუფს შორის, იაპონელ სუბიექტებში დაახლოებით 1.5-ჯერ მეტია არა-იაპონელ სუბიექტებ</w:t>
      </w:r>
      <w:r w:rsidR="00536C1D" w:rsidRPr="00840CA5">
        <w:rPr>
          <w:rFonts w:ascii="Sylfaen" w:hAnsi="Sylfaen" w:cs="Sylfaen"/>
          <w:sz w:val="24"/>
          <w:szCs w:val="24"/>
          <w:lang w:val="ka-GE"/>
        </w:rPr>
        <w:t xml:space="preserve">თან შედარებით. </w:t>
      </w:r>
      <w:r w:rsidRPr="00840CA5">
        <w:rPr>
          <w:rFonts w:ascii="Sylfaen" w:hAnsi="Sylfaen" w:cs="Sylfaen"/>
          <w:sz w:val="24"/>
          <w:szCs w:val="24"/>
          <w:lang w:val="ka-GE"/>
        </w:rPr>
        <w:t>ამ შედეგების კლინიკური მნიშვნელობა ცნობილი არ არის.</w:t>
      </w:r>
    </w:p>
    <w:p w14:paraId="3544CBA3" w14:textId="76A4CCED" w:rsidR="00536C1D" w:rsidRPr="00840CA5" w:rsidRDefault="000831F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არც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და არც აქტიური მეტაბოლიტი არ გამოიდევნება ჰემოდიალიზით.</w:t>
      </w:r>
    </w:p>
    <w:p w14:paraId="51232476" w14:textId="345B91D1" w:rsidR="00C308BA" w:rsidRPr="00840CA5" w:rsidRDefault="00C308BA" w:rsidP="007050C7">
      <w:pPr>
        <w:pStyle w:val="ListParagraph"/>
        <w:numPr>
          <w:ilvl w:val="0"/>
          <w:numId w:val="37"/>
        </w:numPr>
        <w:spacing w:after="0" w:line="240" w:lineRule="auto"/>
        <w:ind w:left="-630" w:right="-301"/>
        <w:jc w:val="both"/>
        <w:rPr>
          <w:rFonts w:ascii="Sylfaen" w:hAnsi="Sylfaen" w:cs="Sylfaen"/>
          <w:b/>
          <w:sz w:val="24"/>
          <w:szCs w:val="24"/>
          <w:lang w:val="ka-GE"/>
        </w:rPr>
      </w:pPr>
      <w:r w:rsidRPr="00840CA5">
        <w:rPr>
          <w:rFonts w:ascii="Sylfaen" w:hAnsi="Sylfaen" w:cs="Sylfaen"/>
          <w:b/>
          <w:sz w:val="24"/>
          <w:szCs w:val="24"/>
          <w:lang w:val="ka-GE"/>
        </w:rPr>
        <w:t>დოზირება და მიღების წესი</w:t>
      </w:r>
    </w:p>
    <w:p w14:paraId="64E44D79" w14:textId="77777777" w:rsidR="00536C1D" w:rsidRPr="00840CA5" w:rsidRDefault="00536C1D"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ჰიპერტენზია</w:t>
      </w:r>
    </w:p>
    <w:p w14:paraId="529FD100" w14:textId="10A4AB9E" w:rsidR="00536C1D" w:rsidRPr="00840CA5" w:rsidRDefault="00536C1D"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 და ჰიდროქლოროთიაზიდი არ არის განკუთვნილი საწყისი თერაპიის სახით გამოყენებისათვის, არამედ ნაჩვენებია იმ პაციენტების სამკურნალოდ, რომელთა არტერიული წნევა სათანადოდ </w:t>
      </w:r>
      <w:r w:rsidR="0060482C" w:rsidRPr="00840CA5">
        <w:rPr>
          <w:rFonts w:ascii="Sylfaen" w:hAnsi="Sylfaen" w:cs="Sylfaen"/>
          <w:sz w:val="24"/>
          <w:szCs w:val="24"/>
          <w:lang w:val="ka-GE"/>
        </w:rPr>
        <w:t>ვერ</w:t>
      </w:r>
      <w:r w:rsidRPr="00840CA5">
        <w:rPr>
          <w:rFonts w:ascii="Sylfaen" w:hAnsi="Sylfaen" w:cs="Sylfaen"/>
          <w:sz w:val="24"/>
          <w:szCs w:val="24"/>
          <w:lang w:val="ka-GE"/>
        </w:rPr>
        <w:t xml:space="preserve"> კონტროლდება მხოლოდ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კალიუმით ან ჰიდროქლოროთიაზიდით.</w:t>
      </w:r>
    </w:p>
    <w:p w14:paraId="78CC9BE9" w14:textId="577BE8C5" w:rsidR="00536C1D" w:rsidRPr="00840CA5" w:rsidRDefault="00536C1D"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რეკომენდებულია ცალკეული კომპონენტების (ლო</w:t>
      </w:r>
      <w:r w:rsidR="00563666" w:rsidRPr="00840CA5">
        <w:rPr>
          <w:rFonts w:ascii="Sylfaen" w:hAnsi="Sylfaen" w:cs="Sylfaen"/>
          <w:sz w:val="24"/>
          <w:szCs w:val="24"/>
          <w:lang w:val="ka-GE"/>
        </w:rPr>
        <w:t>ზ</w:t>
      </w:r>
      <w:r w:rsidRPr="00840CA5">
        <w:rPr>
          <w:rFonts w:ascii="Sylfaen" w:hAnsi="Sylfaen" w:cs="Sylfaen"/>
          <w:sz w:val="24"/>
          <w:szCs w:val="24"/>
          <w:lang w:val="ka-GE"/>
        </w:rPr>
        <w:t>არტანი და ჰიდროქლოროთიაზიდი) დოზის ტიტრაცია.</w:t>
      </w:r>
    </w:p>
    <w:p w14:paraId="00521A7D" w14:textId="65340F12" w:rsidR="00D33293" w:rsidRPr="00840CA5" w:rsidRDefault="00536C1D"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კლინიკური მიზანშეწონილობიდან გამომდინარე შეიძლება განიხილებოდეს მონოთერაპიიდან პირდაპირ ფიქსირებულ კომბინაციაზე გადასვლა </w:t>
      </w:r>
      <w:r w:rsidR="0060482C" w:rsidRPr="00840CA5">
        <w:rPr>
          <w:rFonts w:ascii="Sylfaen" w:hAnsi="Sylfaen" w:cs="Sylfaen"/>
          <w:sz w:val="24"/>
          <w:szCs w:val="24"/>
          <w:lang w:val="ka-GE"/>
        </w:rPr>
        <w:t xml:space="preserve">იმ </w:t>
      </w:r>
      <w:r w:rsidRPr="00840CA5">
        <w:rPr>
          <w:rFonts w:ascii="Sylfaen" w:hAnsi="Sylfaen" w:cs="Sylfaen"/>
          <w:sz w:val="24"/>
          <w:szCs w:val="24"/>
          <w:lang w:val="ka-GE"/>
        </w:rPr>
        <w:t>პაციენტებში, რომელთა არტერიული წნევა სათანადოდ ვერ კონტროლდება.</w:t>
      </w:r>
    </w:p>
    <w:p w14:paraId="403A1AE9" w14:textId="77EF59A0" w:rsidR="009A27B3" w:rsidRPr="00840CA5" w:rsidRDefault="00632467"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სტანდარტული შემანარჩუნებელი დოზა არის ერთი ტაბლეტი </w:t>
      </w:r>
      <w:r w:rsidR="00D33293" w:rsidRPr="00840CA5">
        <w:rPr>
          <w:rFonts w:ascii="Sylfaen" w:hAnsi="Sylfaen"/>
          <w:sz w:val="24"/>
          <w:szCs w:val="24"/>
          <w:lang w:val="ka-GE"/>
        </w:rPr>
        <w:t>ლო</w:t>
      </w:r>
      <w:r w:rsidR="00563666" w:rsidRPr="00840CA5">
        <w:rPr>
          <w:rFonts w:ascii="Sylfaen" w:hAnsi="Sylfaen"/>
          <w:sz w:val="24"/>
          <w:szCs w:val="24"/>
          <w:lang w:val="ka-GE"/>
        </w:rPr>
        <w:t>ზ</w:t>
      </w:r>
      <w:r w:rsidR="00D33293" w:rsidRPr="00840CA5">
        <w:rPr>
          <w:rFonts w:ascii="Sylfaen" w:hAnsi="Sylfaen"/>
          <w:sz w:val="24"/>
          <w:szCs w:val="24"/>
          <w:lang w:val="ka-GE"/>
        </w:rPr>
        <w:t>არტანის კალიუმი</w:t>
      </w:r>
      <w:r w:rsidRPr="00840CA5">
        <w:rPr>
          <w:rFonts w:ascii="Sylfaen" w:hAnsi="Sylfaen"/>
          <w:sz w:val="24"/>
          <w:szCs w:val="24"/>
          <w:lang w:val="ka-GE"/>
        </w:rPr>
        <w:t>/</w:t>
      </w:r>
      <w:r w:rsidR="00D33293" w:rsidRPr="00840CA5">
        <w:rPr>
          <w:rFonts w:ascii="Sylfaen" w:hAnsi="Sylfaen"/>
          <w:sz w:val="24"/>
          <w:szCs w:val="24"/>
          <w:lang w:val="ka-GE"/>
        </w:rPr>
        <w:t xml:space="preserve"> ჰიდროქლოროთიაზიდი</w:t>
      </w:r>
      <w:r w:rsidRPr="00840CA5">
        <w:rPr>
          <w:rFonts w:ascii="Sylfaen" w:hAnsi="Sylfaen"/>
          <w:sz w:val="24"/>
          <w:szCs w:val="24"/>
          <w:lang w:val="ka-GE"/>
        </w:rPr>
        <w:t xml:space="preserve"> 50მგ/12.5მგ</w:t>
      </w:r>
      <w:r w:rsidR="00536C1D" w:rsidRPr="00840CA5">
        <w:rPr>
          <w:rFonts w:ascii="Sylfaen" w:hAnsi="Sylfaen"/>
          <w:sz w:val="24"/>
          <w:szCs w:val="24"/>
          <w:lang w:val="ka-GE"/>
        </w:rPr>
        <w:t xml:space="preserve"> </w:t>
      </w:r>
      <w:r w:rsidR="00536C1D" w:rsidRPr="00840CA5">
        <w:rPr>
          <w:rFonts w:ascii="Sylfaen" w:hAnsi="Sylfaen" w:cs="Sylfaen"/>
          <w:sz w:val="24"/>
          <w:szCs w:val="24"/>
          <w:lang w:val="ka-GE"/>
        </w:rPr>
        <w:t>(ლო</w:t>
      </w:r>
      <w:r w:rsidR="0039482E" w:rsidRPr="00840CA5">
        <w:rPr>
          <w:rFonts w:ascii="Sylfaen" w:hAnsi="Sylfaen" w:cs="Sylfaen"/>
          <w:sz w:val="24"/>
          <w:szCs w:val="24"/>
          <w:lang w:val="ka-GE"/>
        </w:rPr>
        <w:t>ზ</w:t>
      </w:r>
      <w:r w:rsidR="00536C1D" w:rsidRPr="00840CA5">
        <w:rPr>
          <w:rFonts w:ascii="Sylfaen" w:hAnsi="Sylfaen" w:cs="Sylfaen"/>
          <w:sz w:val="24"/>
          <w:szCs w:val="24"/>
          <w:lang w:val="ka-GE"/>
        </w:rPr>
        <w:t xml:space="preserve">არტანი 50მგ/HCTZ 12,5მგ) დღეში ერთხელ. პაციენტებისთვის, რომლებიც სათანადოდ </w:t>
      </w:r>
      <w:r w:rsidR="0060482C" w:rsidRPr="00840CA5">
        <w:rPr>
          <w:rFonts w:ascii="Sylfaen" w:hAnsi="Sylfaen" w:cs="Sylfaen"/>
          <w:sz w:val="24"/>
          <w:szCs w:val="24"/>
          <w:lang w:val="ka-GE"/>
        </w:rPr>
        <w:t>ვერ</w:t>
      </w:r>
      <w:r w:rsidR="00536C1D" w:rsidRPr="00840CA5">
        <w:rPr>
          <w:rFonts w:ascii="Sylfaen" w:hAnsi="Sylfaen" w:cs="Sylfaen"/>
          <w:sz w:val="24"/>
          <w:szCs w:val="24"/>
          <w:lang w:val="ka-GE"/>
        </w:rPr>
        <w:t xml:space="preserve"> რეაგირებენ </w:t>
      </w:r>
      <w:r w:rsidR="00F60920" w:rsidRPr="00840CA5">
        <w:rPr>
          <w:rFonts w:ascii="Sylfaen" w:hAnsi="Sylfaen"/>
          <w:sz w:val="24"/>
          <w:szCs w:val="24"/>
          <w:lang w:val="ka-GE"/>
        </w:rPr>
        <w:t>ლო</w:t>
      </w:r>
      <w:r w:rsidR="0039482E" w:rsidRPr="00840CA5">
        <w:rPr>
          <w:rFonts w:ascii="Sylfaen" w:hAnsi="Sylfaen"/>
          <w:sz w:val="24"/>
          <w:szCs w:val="24"/>
          <w:lang w:val="ka-GE"/>
        </w:rPr>
        <w:t>ზ</w:t>
      </w:r>
      <w:r w:rsidR="00F60920" w:rsidRPr="00840CA5">
        <w:rPr>
          <w:rFonts w:ascii="Sylfaen" w:hAnsi="Sylfaen"/>
          <w:sz w:val="24"/>
          <w:szCs w:val="24"/>
          <w:lang w:val="ka-GE"/>
        </w:rPr>
        <w:t>არტანის კალიუმი</w:t>
      </w:r>
      <w:r w:rsidR="009A27B3" w:rsidRPr="00840CA5">
        <w:rPr>
          <w:rFonts w:ascii="Sylfaen" w:hAnsi="Sylfaen"/>
          <w:sz w:val="24"/>
          <w:szCs w:val="24"/>
          <w:lang w:val="ka-GE"/>
        </w:rPr>
        <w:t>ს</w:t>
      </w:r>
      <w:r w:rsidR="00F60920" w:rsidRPr="00840CA5">
        <w:rPr>
          <w:rFonts w:ascii="Sylfaen" w:hAnsi="Sylfaen"/>
          <w:sz w:val="24"/>
          <w:szCs w:val="24"/>
          <w:lang w:val="ka-GE"/>
        </w:rPr>
        <w:t>/ ჰიდროქლოროთიაზიდი</w:t>
      </w:r>
      <w:r w:rsidR="009A27B3" w:rsidRPr="00840CA5">
        <w:rPr>
          <w:rFonts w:ascii="Sylfaen" w:hAnsi="Sylfaen"/>
          <w:sz w:val="24"/>
          <w:szCs w:val="24"/>
          <w:lang w:val="ka-GE"/>
        </w:rPr>
        <w:t>ს</w:t>
      </w:r>
      <w:r w:rsidR="00F60920" w:rsidRPr="00840CA5">
        <w:rPr>
          <w:rFonts w:ascii="Sylfaen" w:hAnsi="Sylfaen"/>
          <w:sz w:val="24"/>
          <w:szCs w:val="24"/>
          <w:lang w:val="ka-GE"/>
        </w:rPr>
        <w:t xml:space="preserve"> 50მგ/12.5მგ ტაბლეტებზე</w:t>
      </w:r>
      <w:r w:rsidR="00536C1D" w:rsidRPr="00840CA5">
        <w:rPr>
          <w:rFonts w:ascii="Sylfaen" w:hAnsi="Sylfaen" w:cs="Sylfaen"/>
          <w:sz w:val="24"/>
          <w:szCs w:val="24"/>
          <w:lang w:val="ka-GE"/>
        </w:rPr>
        <w:t xml:space="preserve">, დოზა შეიძლება გაიზარდოს და დაინიშნოს </w:t>
      </w:r>
      <w:r w:rsidR="00F60920" w:rsidRPr="00840CA5">
        <w:rPr>
          <w:rFonts w:ascii="Sylfaen" w:hAnsi="Sylfaen" w:cs="Sylfaen"/>
          <w:sz w:val="24"/>
          <w:szCs w:val="24"/>
          <w:lang w:val="ka-GE"/>
        </w:rPr>
        <w:t xml:space="preserve">ერთი ტაბლეტი </w:t>
      </w:r>
      <w:r w:rsidR="00F60920" w:rsidRPr="00840CA5">
        <w:rPr>
          <w:rFonts w:ascii="Sylfaen" w:hAnsi="Sylfaen"/>
          <w:sz w:val="24"/>
          <w:szCs w:val="24"/>
          <w:lang w:val="ka-GE"/>
        </w:rPr>
        <w:t>ლო</w:t>
      </w:r>
      <w:r w:rsidR="0039482E" w:rsidRPr="00840CA5">
        <w:rPr>
          <w:rFonts w:ascii="Sylfaen" w:hAnsi="Sylfaen"/>
          <w:sz w:val="24"/>
          <w:szCs w:val="24"/>
          <w:lang w:val="ka-GE"/>
        </w:rPr>
        <w:t>ზ</w:t>
      </w:r>
      <w:r w:rsidR="00F60920" w:rsidRPr="00840CA5">
        <w:rPr>
          <w:rFonts w:ascii="Sylfaen" w:hAnsi="Sylfaen"/>
          <w:sz w:val="24"/>
          <w:szCs w:val="24"/>
          <w:lang w:val="ka-GE"/>
        </w:rPr>
        <w:t xml:space="preserve">არტანის კალიუმი/ ჰიდროქლოროთიაზიდი 100მგ/25მგ </w:t>
      </w:r>
      <w:r w:rsidR="00F60920" w:rsidRPr="00840CA5">
        <w:rPr>
          <w:rFonts w:ascii="Sylfaen" w:hAnsi="Sylfaen" w:cs="Sylfaen"/>
          <w:sz w:val="24"/>
          <w:szCs w:val="24"/>
          <w:lang w:val="ka-GE"/>
        </w:rPr>
        <w:t>(ლო</w:t>
      </w:r>
      <w:r w:rsidR="00563666" w:rsidRPr="00840CA5">
        <w:rPr>
          <w:rFonts w:ascii="Sylfaen" w:hAnsi="Sylfaen" w:cs="Sylfaen"/>
          <w:sz w:val="24"/>
          <w:szCs w:val="24"/>
          <w:lang w:val="ka-GE"/>
        </w:rPr>
        <w:t>ზ</w:t>
      </w:r>
      <w:r w:rsidR="00F60920" w:rsidRPr="00840CA5">
        <w:rPr>
          <w:rFonts w:ascii="Sylfaen" w:hAnsi="Sylfaen" w:cs="Sylfaen"/>
          <w:sz w:val="24"/>
          <w:szCs w:val="24"/>
          <w:lang w:val="ka-GE"/>
        </w:rPr>
        <w:t xml:space="preserve">არტანი 100მგ/HCTZ 25მგ) დღეში ერთხელ. </w:t>
      </w:r>
      <w:r w:rsidR="007A2F41" w:rsidRPr="00840CA5">
        <w:rPr>
          <w:rFonts w:ascii="Sylfaen" w:hAnsi="Sylfaen" w:cs="Sylfaen"/>
          <w:sz w:val="24"/>
          <w:szCs w:val="24"/>
          <w:lang w:val="ka-GE"/>
        </w:rPr>
        <w:t>მაქსიმალური დოზა არის ერთი ტაბლეტი ლო</w:t>
      </w:r>
      <w:r w:rsidR="00563666" w:rsidRPr="00840CA5">
        <w:rPr>
          <w:rFonts w:ascii="Sylfaen" w:hAnsi="Sylfaen" w:cs="Sylfaen"/>
          <w:sz w:val="24"/>
          <w:szCs w:val="24"/>
          <w:lang w:val="ka-GE"/>
        </w:rPr>
        <w:t>ზ</w:t>
      </w:r>
      <w:r w:rsidR="007A2F41" w:rsidRPr="00840CA5">
        <w:rPr>
          <w:rFonts w:ascii="Sylfaen" w:hAnsi="Sylfaen" w:cs="Sylfaen"/>
          <w:sz w:val="24"/>
          <w:szCs w:val="24"/>
          <w:lang w:val="ka-GE"/>
        </w:rPr>
        <w:t>არტანის კალიუმი/ჰიდროქლოროთიაზიდი 100მგ/25მგ დღეში ერთხელ. როგორც წესი, ანტიჰიპერტენზიული ეფექტი მიიღწევა თერაპიის დაწყებიდან სამიდან ოთხ კვირაში. ლო</w:t>
      </w:r>
      <w:r w:rsidR="0039482E" w:rsidRPr="00840CA5">
        <w:rPr>
          <w:rFonts w:ascii="Sylfaen" w:hAnsi="Sylfaen" w:cs="Sylfaen"/>
          <w:sz w:val="24"/>
          <w:szCs w:val="24"/>
          <w:lang w:val="ka-GE"/>
        </w:rPr>
        <w:t>ზ</w:t>
      </w:r>
      <w:r w:rsidR="007A2F41" w:rsidRPr="00840CA5">
        <w:rPr>
          <w:rFonts w:ascii="Sylfaen" w:hAnsi="Sylfaen" w:cs="Sylfaen"/>
          <w:sz w:val="24"/>
          <w:szCs w:val="24"/>
          <w:lang w:val="ka-GE"/>
        </w:rPr>
        <w:t>არტანის კალიუმი/ჰიდროქლოროთიაზიდი</w:t>
      </w:r>
      <w:r w:rsidR="007A2F41" w:rsidRPr="00840CA5">
        <w:rPr>
          <w:rFonts w:ascii="Sylfaen" w:hAnsi="Sylfaen"/>
          <w:sz w:val="24"/>
          <w:szCs w:val="24"/>
          <w:lang w:val="ka-GE"/>
        </w:rPr>
        <w:t xml:space="preserve"> </w:t>
      </w:r>
      <w:r w:rsidR="007A2F41" w:rsidRPr="00840CA5">
        <w:rPr>
          <w:rFonts w:ascii="Sylfaen" w:hAnsi="Sylfaen"/>
          <w:sz w:val="24"/>
          <w:szCs w:val="24"/>
        </w:rPr>
        <w:t>10</w:t>
      </w:r>
      <w:r w:rsidR="007A2F41" w:rsidRPr="00840CA5">
        <w:rPr>
          <w:rFonts w:ascii="Sylfaen" w:hAnsi="Sylfaen"/>
          <w:sz w:val="24"/>
          <w:szCs w:val="24"/>
          <w:lang w:val="ka-GE"/>
        </w:rPr>
        <w:t xml:space="preserve">0/12.5 </w:t>
      </w:r>
      <w:r w:rsidR="007A2F41" w:rsidRPr="00840CA5">
        <w:rPr>
          <w:rFonts w:ascii="Sylfaen" w:hAnsi="Sylfaen" w:cs="Sylfaen"/>
          <w:sz w:val="24"/>
          <w:szCs w:val="24"/>
          <w:lang w:val="ka-GE"/>
        </w:rPr>
        <w:t>(ლო</w:t>
      </w:r>
      <w:r w:rsidR="0039482E" w:rsidRPr="00840CA5">
        <w:rPr>
          <w:rFonts w:ascii="Sylfaen" w:hAnsi="Sylfaen" w:cs="Sylfaen"/>
          <w:sz w:val="24"/>
          <w:szCs w:val="24"/>
          <w:lang w:val="ka-GE"/>
        </w:rPr>
        <w:t>ზ</w:t>
      </w:r>
      <w:r w:rsidR="007A2F41" w:rsidRPr="00840CA5">
        <w:rPr>
          <w:rFonts w:ascii="Sylfaen" w:hAnsi="Sylfaen" w:cs="Sylfaen"/>
          <w:sz w:val="24"/>
          <w:szCs w:val="24"/>
          <w:lang w:val="ka-GE"/>
        </w:rPr>
        <w:t xml:space="preserve">არტანი </w:t>
      </w:r>
      <w:r w:rsidR="007A2F41" w:rsidRPr="00840CA5">
        <w:rPr>
          <w:rFonts w:ascii="Sylfaen" w:hAnsi="Sylfaen" w:cs="Sylfaen"/>
          <w:sz w:val="24"/>
          <w:szCs w:val="24"/>
        </w:rPr>
        <w:t>10</w:t>
      </w:r>
      <w:r w:rsidR="007A2F41" w:rsidRPr="00840CA5">
        <w:rPr>
          <w:rFonts w:ascii="Sylfaen" w:hAnsi="Sylfaen" w:cs="Sylfaen"/>
          <w:sz w:val="24"/>
          <w:szCs w:val="24"/>
          <w:lang w:val="ka-GE"/>
        </w:rPr>
        <w:t>0 მგ/HCTZ 12,5 მგ)</w:t>
      </w:r>
      <w:r w:rsidR="007A2F41" w:rsidRPr="00840CA5">
        <w:rPr>
          <w:rFonts w:ascii="Sylfaen" w:hAnsi="Sylfaen" w:cs="Sylfaen"/>
          <w:sz w:val="24"/>
          <w:szCs w:val="24"/>
        </w:rPr>
        <w:t xml:space="preserve"> </w:t>
      </w:r>
      <w:r w:rsidR="007A2F41" w:rsidRPr="00840CA5">
        <w:rPr>
          <w:rFonts w:ascii="Sylfaen" w:hAnsi="Sylfaen" w:cs="Sylfaen"/>
          <w:sz w:val="24"/>
          <w:szCs w:val="24"/>
          <w:lang w:val="ka-GE"/>
        </w:rPr>
        <w:t>გამოიყენება  იმ პაციენტებში, რომელთა ლო</w:t>
      </w:r>
      <w:r w:rsidR="00563666" w:rsidRPr="00840CA5">
        <w:rPr>
          <w:rFonts w:ascii="Sylfaen" w:hAnsi="Sylfaen" w:cs="Sylfaen"/>
          <w:sz w:val="24"/>
          <w:szCs w:val="24"/>
          <w:lang w:val="ka-GE"/>
        </w:rPr>
        <w:t>ზ</w:t>
      </w:r>
      <w:r w:rsidR="007A2F41" w:rsidRPr="00840CA5">
        <w:rPr>
          <w:rFonts w:ascii="Sylfaen" w:hAnsi="Sylfaen" w:cs="Sylfaen"/>
          <w:sz w:val="24"/>
          <w:szCs w:val="24"/>
          <w:lang w:val="ka-GE"/>
        </w:rPr>
        <w:t>არტანის კალიუმის დოზა განისაზღვრა 100 მგ-ით და რომლებსაც ესაჭიროებათ არტერიული წნევის დამატებითი კონტროლი.</w:t>
      </w:r>
    </w:p>
    <w:p w14:paraId="6DA9DA09" w14:textId="6DEB4E09" w:rsidR="003F2B4F" w:rsidRPr="00840CA5" w:rsidRDefault="003F2B4F"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თირკმლის ფუნქციის დარღვევის მქონე და ჰემოდიალიზზე მყოფი პაციენტები</w:t>
      </w:r>
    </w:p>
    <w:p w14:paraId="3EB64A41" w14:textId="1564931E" w:rsidR="003A2AB0" w:rsidRPr="00840CA5" w:rsidRDefault="003F2B4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თირკმლის ფუნქციის საშუალო სიმძიმის დარღვევის </w:t>
      </w:r>
      <w:r w:rsidR="0060482C" w:rsidRPr="00840CA5">
        <w:rPr>
          <w:rFonts w:ascii="Sylfaen" w:hAnsi="Sylfaen" w:cs="Sylfaen"/>
          <w:sz w:val="24"/>
          <w:szCs w:val="24"/>
          <w:lang w:val="ka-GE"/>
        </w:rPr>
        <w:t xml:space="preserve">(ანუ კრეატინინის კლირენსი 30-50 მლ/წთ) </w:t>
      </w:r>
      <w:r w:rsidRPr="00840CA5">
        <w:rPr>
          <w:rFonts w:ascii="Sylfaen" w:hAnsi="Sylfaen" w:cs="Sylfaen"/>
          <w:sz w:val="24"/>
          <w:szCs w:val="24"/>
          <w:lang w:val="ka-GE"/>
        </w:rPr>
        <w:t>მქონე პაციენტებში საწყისი დოზის კორექცია საჭირო არ არის.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ჰიდროქლოროთიაზიდის ტაბლეტების გამოყენება არ არის რეკომენდებული ჰემოდიალიზზე მყოფი პაციენტებისთვის.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HCTZ ტაბლეტების გამოყენება არ შეიძლება თირკმლის ფუნქციის  მძიმე დარღვევების (ანუ კრეატინინის კლირენსი &lt;30 მლ/წთ) დროს.</w:t>
      </w:r>
    </w:p>
    <w:p w14:paraId="48F6D39D" w14:textId="5003D95B" w:rsidR="003A2AB0" w:rsidRPr="00840CA5" w:rsidRDefault="003A2AB0" w:rsidP="007050C7">
      <w:pPr>
        <w:spacing w:after="0" w:line="240" w:lineRule="auto"/>
        <w:ind w:left="-990" w:right="-301"/>
        <w:jc w:val="both"/>
        <w:rPr>
          <w:rFonts w:ascii="Sylfaen" w:hAnsi="Sylfaen" w:cs="Sylfaen"/>
          <w:sz w:val="24"/>
          <w:szCs w:val="24"/>
          <w:lang w:val="ka-GE"/>
        </w:rPr>
      </w:pPr>
      <w:r w:rsidRPr="00840CA5">
        <w:rPr>
          <w:rFonts w:ascii="Sylfaen" w:hAnsi="Sylfaen"/>
          <w:b/>
          <w:bCs/>
          <w:i/>
          <w:iCs/>
          <w:sz w:val="24"/>
          <w:szCs w:val="24"/>
          <w:lang w:val="ka-GE"/>
        </w:rPr>
        <w:t>ცირლკულირებადი სისხლის მოცულობის შემცირება</w:t>
      </w:r>
    </w:p>
    <w:p w14:paraId="275104F9" w14:textId="39EE0AE6" w:rsidR="00A27FD6" w:rsidRPr="00840CA5" w:rsidRDefault="003F2B4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lastRenderedPageBreak/>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w:t>
      </w:r>
      <w:r w:rsidR="005D7988" w:rsidRPr="00840CA5">
        <w:rPr>
          <w:rFonts w:ascii="Sylfaen" w:hAnsi="Sylfaen" w:cs="Sylfaen"/>
          <w:sz w:val="24"/>
          <w:szCs w:val="24"/>
          <w:lang w:val="ka-GE"/>
        </w:rPr>
        <w:t>ს კალიუმის</w:t>
      </w:r>
      <w:r w:rsidRPr="00840CA5">
        <w:rPr>
          <w:rFonts w:ascii="Sylfaen" w:hAnsi="Sylfaen" w:cs="Sylfaen"/>
          <w:sz w:val="24"/>
          <w:szCs w:val="24"/>
          <w:lang w:val="ka-GE"/>
        </w:rPr>
        <w:t xml:space="preserve">/ HCTZ ტაბლეტების </w:t>
      </w:r>
      <w:r w:rsidRPr="00840CA5">
        <w:rPr>
          <w:rFonts w:ascii="Sylfaen" w:hAnsi="Sylfaen"/>
          <w:sz w:val="24"/>
          <w:szCs w:val="24"/>
          <w:lang w:val="ka-GE"/>
        </w:rPr>
        <w:t>მიღებამდე უნდა გამოსწორდეს მოცულობის დარღვევა და/ან ნატრიუმის დეფიციტი.</w:t>
      </w:r>
    </w:p>
    <w:p w14:paraId="1C2C4787" w14:textId="49CDC5B4" w:rsidR="00A27FD6" w:rsidRPr="00840CA5" w:rsidRDefault="003F2B4F"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ღვიძლის ფუნქციის დარღვევ</w:t>
      </w:r>
      <w:r w:rsidR="003A2AB0" w:rsidRPr="00840CA5">
        <w:rPr>
          <w:rFonts w:ascii="Sylfaen" w:hAnsi="Sylfaen" w:cs="Sylfaen"/>
          <w:b/>
          <w:bCs/>
          <w:i/>
          <w:iCs/>
          <w:sz w:val="24"/>
          <w:szCs w:val="24"/>
          <w:lang w:val="ka-GE"/>
        </w:rPr>
        <w:t>ა</w:t>
      </w:r>
    </w:p>
    <w:p w14:paraId="710A240E" w14:textId="1A5EF542" w:rsidR="00A27FD6" w:rsidRPr="00840CA5" w:rsidRDefault="003F2B4F" w:rsidP="007050C7">
      <w:pPr>
        <w:spacing w:after="0" w:line="240" w:lineRule="auto"/>
        <w:ind w:left="-990" w:right="-301"/>
        <w:jc w:val="both"/>
        <w:rPr>
          <w:rFonts w:ascii="Sylfaen" w:hAnsi="Sylfaen"/>
          <w:sz w:val="24"/>
          <w:szCs w:val="24"/>
          <w:lang w:val="ka-GE"/>
        </w:rPr>
      </w:pPr>
      <w:r w:rsidRPr="00840CA5">
        <w:rPr>
          <w:rFonts w:ascii="Sylfaen" w:hAnsi="Sylfaen" w:cs="Sylfaen"/>
          <w:sz w:val="24"/>
          <w:szCs w:val="24"/>
          <w:lang w:val="ka-GE"/>
        </w:rPr>
        <w:t>ლო</w:t>
      </w:r>
      <w:r w:rsidR="00563666" w:rsidRPr="00840CA5">
        <w:rPr>
          <w:rFonts w:ascii="Sylfaen" w:hAnsi="Sylfaen" w:cs="Sylfaen"/>
          <w:sz w:val="24"/>
          <w:szCs w:val="24"/>
          <w:lang w:val="ka-GE"/>
        </w:rPr>
        <w:t>ზ</w:t>
      </w:r>
      <w:r w:rsidRPr="00840CA5">
        <w:rPr>
          <w:rFonts w:ascii="Sylfaen" w:hAnsi="Sylfaen" w:cs="Sylfaen"/>
          <w:sz w:val="24"/>
          <w:szCs w:val="24"/>
          <w:lang w:val="ka-GE"/>
        </w:rPr>
        <w:t>არტანი</w:t>
      </w:r>
      <w:r w:rsidR="005D7988" w:rsidRPr="00840CA5">
        <w:rPr>
          <w:rFonts w:ascii="Sylfaen" w:hAnsi="Sylfaen" w:cs="Sylfaen"/>
          <w:sz w:val="24"/>
          <w:szCs w:val="24"/>
          <w:lang w:val="ka-GE"/>
        </w:rPr>
        <w:t>ს კალიუმი</w:t>
      </w:r>
      <w:r w:rsidRPr="00840CA5">
        <w:rPr>
          <w:rFonts w:ascii="Sylfaen" w:hAnsi="Sylfaen" w:cs="Sylfaen"/>
          <w:sz w:val="24"/>
          <w:szCs w:val="24"/>
          <w:lang w:val="ka-GE"/>
        </w:rPr>
        <w:t>/ HCTZ უკუნაჩვენებია ღვიძლის ფუნქციის მძიმე დარღვევის მქონე</w:t>
      </w:r>
      <w:r w:rsidRPr="00840CA5">
        <w:rPr>
          <w:rFonts w:ascii="Sylfaen" w:hAnsi="Sylfaen"/>
          <w:sz w:val="24"/>
          <w:szCs w:val="24"/>
          <w:lang w:val="ka-GE"/>
        </w:rPr>
        <w:t xml:space="preserve"> პაციენტებში</w:t>
      </w:r>
      <w:r w:rsidR="00A27FD6" w:rsidRPr="00840CA5">
        <w:rPr>
          <w:rFonts w:ascii="Sylfaen" w:hAnsi="Sylfaen"/>
          <w:sz w:val="24"/>
          <w:szCs w:val="24"/>
          <w:lang w:val="ka-GE"/>
        </w:rPr>
        <w:t>.</w:t>
      </w:r>
    </w:p>
    <w:p w14:paraId="4A58272F" w14:textId="77777777" w:rsidR="00A27FD6" w:rsidRPr="00840CA5" w:rsidRDefault="003F2B4F"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ხანდაზმულები</w:t>
      </w:r>
    </w:p>
    <w:p w14:paraId="244D8650" w14:textId="77777777" w:rsidR="005D7988" w:rsidRPr="00840CA5" w:rsidRDefault="003F2B4F"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ხანდაზმულებში, როგორც წესი, დოზის კორექცია არ არის საჭირო.</w:t>
      </w:r>
    </w:p>
    <w:p w14:paraId="6AEC1F72" w14:textId="77777777" w:rsidR="005D7988" w:rsidRPr="00840CA5" w:rsidRDefault="005D7988" w:rsidP="007050C7">
      <w:pPr>
        <w:spacing w:after="0" w:line="240" w:lineRule="auto"/>
        <w:ind w:left="-990" w:right="-301"/>
        <w:jc w:val="both"/>
        <w:rPr>
          <w:rFonts w:ascii="Sylfaen" w:hAnsi="Sylfaen"/>
          <w:sz w:val="24"/>
          <w:szCs w:val="24"/>
          <w:lang w:val="ka-GE"/>
        </w:rPr>
      </w:pPr>
      <w:r w:rsidRPr="00840CA5">
        <w:rPr>
          <w:rFonts w:ascii="Sylfaen" w:hAnsi="Sylfaen"/>
          <w:b/>
          <w:i/>
          <w:sz w:val="24"/>
          <w:szCs w:val="24"/>
          <w:lang w:val="ka-GE"/>
        </w:rPr>
        <w:t>ბავშვები და მოზარდები (&lt;18წლის)</w:t>
      </w:r>
    </w:p>
    <w:p w14:paraId="17BF1265" w14:textId="2DE57A88" w:rsidR="005D7988" w:rsidRPr="00840CA5" w:rsidRDefault="005D7988" w:rsidP="007050C7">
      <w:pPr>
        <w:spacing w:after="0" w:line="240" w:lineRule="auto"/>
        <w:ind w:left="-990" w:right="-301"/>
        <w:jc w:val="both"/>
        <w:rPr>
          <w:rFonts w:ascii="Sylfaen" w:hAnsi="Sylfaen"/>
          <w:sz w:val="24"/>
          <w:szCs w:val="24"/>
          <w:lang w:val="ka-GE"/>
        </w:rPr>
      </w:pPr>
      <w:r w:rsidRPr="00840CA5">
        <w:rPr>
          <w:rFonts w:ascii="Sylfaen" w:hAnsi="Sylfaen" w:cs="Sylfaen"/>
          <w:sz w:val="24"/>
          <w:szCs w:val="24"/>
          <w:lang w:val="ka-GE"/>
        </w:rPr>
        <w:t>ბავშვებსა და მოზარდებში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კალიუმი/ჰიდროქლოროთიაზიდის გამოყენების უსაფრთხოება და ეფექტურობა დადგენილი არ არის. შესაბამისად, არ უნდა დაინიშნოს ბავშვებსა და მოზარდებში.</w:t>
      </w:r>
    </w:p>
    <w:p w14:paraId="543AB999" w14:textId="61305F26" w:rsidR="00A27FD6" w:rsidRPr="00840CA5" w:rsidRDefault="003F2B4F" w:rsidP="007050C7">
      <w:pPr>
        <w:spacing w:after="0" w:line="240" w:lineRule="auto"/>
        <w:ind w:left="-990" w:right="-301"/>
        <w:jc w:val="both"/>
        <w:rPr>
          <w:rFonts w:ascii="Sylfaen" w:hAnsi="Sylfaen"/>
          <w:sz w:val="24"/>
          <w:szCs w:val="24"/>
          <w:lang w:val="ka-GE"/>
        </w:rPr>
      </w:pPr>
      <w:r w:rsidRPr="00840CA5">
        <w:rPr>
          <w:rFonts w:ascii="Sylfaen" w:hAnsi="Sylfaen" w:cs="Sylfaen"/>
          <w:b/>
          <w:bCs/>
          <w:sz w:val="24"/>
          <w:szCs w:val="24"/>
          <w:lang w:val="ka-GE"/>
        </w:rPr>
        <w:t>მიღების წესი</w:t>
      </w:r>
    </w:p>
    <w:p w14:paraId="72712971" w14:textId="504D52A8" w:rsidR="002B09DB" w:rsidRPr="00840CA5" w:rsidRDefault="00A27FD6" w:rsidP="007050C7">
      <w:pPr>
        <w:spacing w:after="0" w:line="240" w:lineRule="auto"/>
        <w:ind w:left="-990" w:right="-301"/>
        <w:jc w:val="both"/>
        <w:rPr>
          <w:rFonts w:ascii="Sylfaen" w:hAnsi="Sylfaen" w:cs="Sylfaen"/>
          <w:b/>
          <w:bCs/>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w:t>
      </w:r>
      <w:r w:rsidR="00DF6FC8">
        <w:rPr>
          <w:rFonts w:ascii="Sylfaen" w:hAnsi="Sylfaen"/>
          <w:sz w:val="24"/>
          <w:szCs w:val="24"/>
          <w:lang w:val="ka-GE"/>
        </w:rPr>
        <w:t xml:space="preserve"> და</w:t>
      </w:r>
      <w:r w:rsidRPr="00840CA5">
        <w:rPr>
          <w:rFonts w:ascii="Sylfaen" w:hAnsi="Sylfaen"/>
          <w:sz w:val="24"/>
          <w:szCs w:val="24"/>
          <w:lang w:val="ka-GE"/>
        </w:rPr>
        <w:t xml:space="preserve"> ჰიდროქლოროთიაზიდი </w:t>
      </w:r>
      <w:r w:rsidR="003F2B4F" w:rsidRPr="00840CA5">
        <w:rPr>
          <w:rFonts w:ascii="Sylfaen" w:hAnsi="Sylfaen"/>
          <w:sz w:val="24"/>
          <w:szCs w:val="24"/>
          <w:lang w:val="ka-GE"/>
        </w:rPr>
        <w:t>შეიძლება დაინიშნოს სხვა ანტიჰიპერტენზიულ საშუალებებთან ერთად</w:t>
      </w:r>
      <w:r w:rsidRPr="00840CA5">
        <w:rPr>
          <w:rFonts w:ascii="Sylfaen" w:hAnsi="Sylfaen"/>
          <w:sz w:val="24"/>
          <w:szCs w:val="24"/>
          <w:lang w:val="ka-GE"/>
        </w:rPr>
        <w:t>.</w:t>
      </w:r>
    </w:p>
    <w:p w14:paraId="110DC0CC" w14:textId="626A839F" w:rsidR="002B09DB" w:rsidRPr="00840CA5" w:rsidRDefault="002B09DB" w:rsidP="007050C7">
      <w:pPr>
        <w:spacing w:after="0" w:line="240" w:lineRule="auto"/>
        <w:ind w:left="-990" w:right="-301"/>
        <w:jc w:val="both"/>
        <w:rPr>
          <w:rFonts w:ascii="Sylfaen" w:hAnsi="Sylfaen" w:cs="Sylfaen"/>
          <w:b/>
          <w:bCs/>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w:t>
      </w:r>
      <w:r w:rsidR="00003EE4">
        <w:rPr>
          <w:rFonts w:ascii="Sylfaen" w:hAnsi="Sylfaen"/>
          <w:sz w:val="24"/>
          <w:szCs w:val="24"/>
          <w:lang w:val="ka-GE"/>
        </w:rPr>
        <w:t xml:space="preserve"> და</w:t>
      </w:r>
      <w:r w:rsidRPr="00840CA5">
        <w:rPr>
          <w:rFonts w:ascii="Sylfaen" w:hAnsi="Sylfaen"/>
          <w:sz w:val="24"/>
          <w:szCs w:val="24"/>
          <w:lang w:val="ka-GE"/>
        </w:rPr>
        <w:t xml:space="preserve"> ჰიდროქლოროთიაზიდის </w:t>
      </w:r>
      <w:r w:rsidR="003F2B4F" w:rsidRPr="00840CA5">
        <w:rPr>
          <w:rFonts w:ascii="Sylfaen" w:hAnsi="Sylfaen" w:cs="Sylfaen"/>
          <w:sz w:val="24"/>
          <w:szCs w:val="24"/>
          <w:lang w:val="ka-GE"/>
        </w:rPr>
        <w:t>ტაბლეტები უნდა გადაიყლაპოს ჭიქა წყალთან ერთად.</w:t>
      </w:r>
    </w:p>
    <w:p w14:paraId="0F07B53C" w14:textId="2E14E5EE" w:rsidR="00F60920" w:rsidRPr="00840CA5" w:rsidRDefault="002B09DB" w:rsidP="007050C7">
      <w:pPr>
        <w:spacing w:after="0" w:line="240" w:lineRule="auto"/>
        <w:ind w:left="-990" w:right="-301"/>
        <w:jc w:val="both"/>
        <w:rPr>
          <w:rFonts w:ascii="Sylfaen" w:hAnsi="Sylfaen" w:cs="Sylfaen"/>
          <w:b/>
          <w:bCs/>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w:t>
      </w:r>
      <w:r w:rsidR="00003EE4">
        <w:rPr>
          <w:rFonts w:ascii="Sylfaen" w:hAnsi="Sylfaen"/>
          <w:sz w:val="24"/>
          <w:szCs w:val="24"/>
          <w:lang w:val="ka-GE"/>
        </w:rPr>
        <w:t xml:space="preserve"> და</w:t>
      </w:r>
      <w:r w:rsidRPr="00840CA5">
        <w:rPr>
          <w:rFonts w:ascii="Sylfaen" w:hAnsi="Sylfaen"/>
          <w:sz w:val="24"/>
          <w:szCs w:val="24"/>
          <w:lang w:val="ka-GE"/>
        </w:rPr>
        <w:t xml:space="preserve"> ჰიდროქლოროთიაზიდის </w:t>
      </w:r>
      <w:r w:rsidR="003F2B4F" w:rsidRPr="00840CA5">
        <w:rPr>
          <w:rFonts w:ascii="Sylfaen" w:hAnsi="Sylfaen" w:cs="Sylfaen"/>
          <w:sz w:val="24"/>
          <w:szCs w:val="24"/>
          <w:lang w:val="ka-GE"/>
        </w:rPr>
        <w:t xml:space="preserve">ტაბლეტების მიღება შეიძლება საკვებთან ერთად ან </w:t>
      </w:r>
      <w:r w:rsidR="0060482C" w:rsidRPr="00840CA5">
        <w:rPr>
          <w:rFonts w:ascii="Sylfaen" w:hAnsi="Sylfaen" w:cs="Sylfaen"/>
          <w:sz w:val="24"/>
          <w:szCs w:val="24"/>
          <w:lang w:val="ka-GE"/>
        </w:rPr>
        <w:t>მისგან დამოუკიდებლად</w:t>
      </w:r>
      <w:r w:rsidR="003F2B4F" w:rsidRPr="00840CA5">
        <w:rPr>
          <w:rFonts w:ascii="Sylfaen" w:hAnsi="Sylfaen" w:cs="Sylfaen"/>
          <w:sz w:val="24"/>
          <w:szCs w:val="24"/>
          <w:lang w:val="ka-GE"/>
        </w:rPr>
        <w:t>.</w:t>
      </w:r>
    </w:p>
    <w:p w14:paraId="60B3F509" w14:textId="51F198A3" w:rsidR="00F00185" w:rsidRPr="00840CA5" w:rsidRDefault="00F00185" w:rsidP="007050C7">
      <w:pPr>
        <w:pStyle w:val="ListParagraph"/>
        <w:numPr>
          <w:ilvl w:val="0"/>
          <w:numId w:val="37"/>
        </w:numPr>
        <w:spacing w:after="0" w:line="240" w:lineRule="auto"/>
        <w:ind w:left="-630" w:right="-301"/>
        <w:jc w:val="both"/>
        <w:rPr>
          <w:rFonts w:ascii="Sylfaen" w:hAnsi="Sylfaen" w:cs="Sylfaen"/>
          <w:b/>
          <w:sz w:val="24"/>
          <w:szCs w:val="24"/>
          <w:lang w:val="ka-GE"/>
        </w:rPr>
      </w:pPr>
      <w:r w:rsidRPr="00840CA5">
        <w:rPr>
          <w:rFonts w:ascii="Sylfaen" w:hAnsi="Sylfaen" w:cs="Sylfaen"/>
          <w:b/>
          <w:sz w:val="24"/>
          <w:szCs w:val="24"/>
          <w:lang w:val="ka-GE"/>
        </w:rPr>
        <w:t>მიღების წესი</w:t>
      </w:r>
    </w:p>
    <w:p w14:paraId="72CC4603" w14:textId="28F386D5" w:rsidR="00F00185" w:rsidRPr="00840CA5" w:rsidRDefault="00404CBD" w:rsidP="007050C7">
      <w:pPr>
        <w:spacing w:after="0" w:line="240" w:lineRule="auto"/>
        <w:ind w:left="-990" w:right="-301"/>
        <w:jc w:val="both"/>
        <w:rPr>
          <w:rFonts w:ascii="Sylfaen" w:hAnsi="Sylfaen" w:cs="Sylfaen"/>
          <w:bCs/>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w:t>
      </w:r>
      <w:r w:rsidR="00890363">
        <w:rPr>
          <w:rFonts w:ascii="Sylfaen" w:hAnsi="Sylfaen"/>
          <w:sz w:val="24"/>
          <w:szCs w:val="24"/>
          <w:lang w:val="ka-GE"/>
        </w:rPr>
        <w:t xml:space="preserve"> და</w:t>
      </w:r>
      <w:r w:rsidRPr="00840CA5">
        <w:rPr>
          <w:rFonts w:ascii="Sylfaen" w:hAnsi="Sylfaen"/>
          <w:sz w:val="24"/>
          <w:szCs w:val="24"/>
          <w:lang w:val="ka-GE"/>
        </w:rPr>
        <w:t xml:space="preserve"> ჰიდროქლოროთიაზიდის </w:t>
      </w:r>
      <w:r w:rsidRPr="00840CA5">
        <w:rPr>
          <w:rFonts w:ascii="Sylfaen" w:hAnsi="Sylfaen" w:cs="Sylfaen"/>
          <w:sz w:val="24"/>
          <w:szCs w:val="24"/>
          <w:lang w:val="ka-GE"/>
        </w:rPr>
        <w:t>ტაბლეტები</w:t>
      </w:r>
      <w:r w:rsidRPr="00840CA5">
        <w:rPr>
          <w:rFonts w:ascii="Sylfaen" w:hAnsi="Sylfaen" w:cs="Sylfaen"/>
          <w:sz w:val="24"/>
          <w:szCs w:val="24"/>
        </w:rPr>
        <w:t xml:space="preserve"> USP </w:t>
      </w:r>
      <w:r w:rsidRPr="00840CA5">
        <w:rPr>
          <w:rFonts w:ascii="Sylfaen" w:hAnsi="Sylfaen" w:cs="Sylfaen"/>
          <w:sz w:val="24"/>
          <w:szCs w:val="24"/>
          <w:lang w:val="ka-GE"/>
        </w:rPr>
        <w:t xml:space="preserve"> მიიღება პერორალურად.</w:t>
      </w:r>
    </w:p>
    <w:p w14:paraId="24EF3F26" w14:textId="4F3E40A5" w:rsidR="00F00185" w:rsidRPr="00840CA5" w:rsidRDefault="009E286C" w:rsidP="007050C7">
      <w:pPr>
        <w:pStyle w:val="ListParagraph"/>
        <w:numPr>
          <w:ilvl w:val="0"/>
          <w:numId w:val="37"/>
        </w:numPr>
        <w:spacing w:after="0" w:line="240" w:lineRule="auto"/>
        <w:ind w:left="-630" w:right="-301"/>
        <w:jc w:val="both"/>
        <w:rPr>
          <w:rFonts w:ascii="Sylfaen" w:hAnsi="Sylfaen" w:cs="Sylfaen"/>
          <w:sz w:val="24"/>
          <w:szCs w:val="24"/>
          <w:lang w:val="ka-GE"/>
        </w:rPr>
      </w:pPr>
      <w:r w:rsidRPr="00840CA5">
        <w:rPr>
          <w:rFonts w:ascii="Sylfaen" w:hAnsi="Sylfaen" w:cs="Sylfaen"/>
          <w:b/>
          <w:sz w:val="24"/>
          <w:szCs w:val="24"/>
          <w:lang w:val="ka-GE"/>
        </w:rPr>
        <w:t>ფერტილობა</w:t>
      </w:r>
      <w:r>
        <w:rPr>
          <w:rFonts w:ascii="Sylfaen" w:hAnsi="Sylfaen" w:cs="Sylfaen"/>
          <w:b/>
          <w:sz w:val="24"/>
          <w:szCs w:val="24"/>
          <w:lang w:val="ka-GE"/>
        </w:rPr>
        <w:t xml:space="preserve">, </w:t>
      </w:r>
      <w:r w:rsidR="00F00185" w:rsidRPr="00840CA5">
        <w:rPr>
          <w:rFonts w:ascii="Sylfaen" w:hAnsi="Sylfaen" w:cs="Sylfaen"/>
          <w:b/>
          <w:sz w:val="24"/>
          <w:szCs w:val="24"/>
          <w:lang w:val="ka-GE"/>
        </w:rPr>
        <w:t>ორსულობა</w:t>
      </w:r>
      <w:r>
        <w:rPr>
          <w:rFonts w:ascii="Sylfaen" w:hAnsi="Sylfaen" w:cs="Sylfaen"/>
          <w:b/>
          <w:sz w:val="24"/>
          <w:szCs w:val="24"/>
          <w:lang w:val="ka-GE"/>
        </w:rPr>
        <w:t xml:space="preserve"> და</w:t>
      </w:r>
      <w:r w:rsidR="00F00185" w:rsidRPr="00840CA5">
        <w:rPr>
          <w:rFonts w:ascii="Sylfaen" w:hAnsi="Sylfaen" w:cs="Sylfaen"/>
          <w:b/>
          <w:sz w:val="24"/>
          <w:szCs w:val="24"/>
          <w:lang w:val="ka-GE"/>
        </w:rPr>
        <w:t xml:space="preserve"> ლაქტაცია </w:t>
      </w:r>
    </w:p>
    <w:p w14:paraId="6C9F9838" w14:textId="77777777" w:rsidR="00304076" w:rsidRPr="00304076" w:rsidRDefault="00304076" w:rsidP="007050C7">
      <w:pPr>
        <w:spacing w:after="0" w:line="240" w:lineRule="auto"/>
        <w:ind w:left="-990" w:right="-301"/>
        <w:jc w:val="both"/>
        <w:rPr>
          <w:rFonts w:ascii="Sylfaen" w:hAnsi="Sylfaen" w:cs="Sylfaen"/>
          <w:b/>
          <w:bCs/>
          <w:iCs/>
          <w:sz w:val="24"/>
          <w:szCs w:val="24"/>
          <w:lang w:val="ka-GE"/>
        </w:rPr>
      </w:pPr>
      <w:r w:rsidRPr="00304076">
        <w:rPr>
          <w:rFonts w:ascii="Sylfaen" w:hAnsi="Sylfaen" w:cs="Sylfaen"/>
          <w:b/>
          <w:bCs/>
          <w:iCs/>
          <w:sz w:val="24"/>
          <w:szCs w:val="24"/>
          <w:lang w:val="ka-GE"/>
        </w:rPr>
        <w:t>ორსულობა</w:t>
      </w:r>
    </w:p>
    <w:p w14:paraId="1F089A21" w14:textId="6FA01DAE" w:rsidR="00FF336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ანგიოტენზინ II რეცეპტორების ანტაგონისტები (AIIRA):</w:t>
      </w:r>
    </w:p>
    <w:p w14:paraId="346A34B4" w14:textId="77777777" w:rsidR="00404CBD" w:rsidRPr="00840CA5" w:rsidRDefault="00FF3363"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AIIRA-ების გამოყენება არ არის რეკომენდებული ორსულობის პირველ ტრიმესტრში. </w:t>
      </w:r>
    </w:p>
    <w:p w14:paraId="6B879CD0" w14:textId="44E8DCC4" w:rsidR="00FF336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AIIRA-ების მიღება უკუნაჩვენებია ორსულობის მეორე და მესამე ტრიმესტრებში.</w:t>
      </w:r>
    </w:p>
    <w:p w14:paraId="5D9AF8B1" w14:textId="135D2F63" w:rsidR="00FF336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ეპიდემიოლოგიური მონაცემები ერთმნიშვნელოვნად არ მიუთითებენ ტერატოგენული მოქმედების რისკზე ორსულობის პირველ ტრიმესტრში აგფ ინფიბიტორებით მკურნალობისას; თუმცა არ არის გამორიცხული ასეთი რისკის უმნიშვნელო გაზრდა. მიუხედავად იმისა რომ არ მოიპოვება კონტროლირებადი ეპიდემიოლოგიური მონაცემები ანგიოტენზინ II რეცეპტორების ანტაგონისტების (AIIRA) მიღებით გამოწვეულ რისკთან დაკავშირებით, არ არის გამორიცხული, რომ ამ კლასის პრეპარატისთვის არსებობდეს მსგავსი რისკები. </w:t>
      </w:r>
      <w:bookmarkStart w:id="0" w:name="_Hlk162226810"/>
      <w:bookmarkStart w:id="1" w:name="_Hlk162226849"/>
      <w:bookmarkStart w:id="2" w:name="_Hlk162226883"/>
      <w:r w:rsidRPr="00840CA5">
        <w:rPr>
          <w:rFonts w:ascii="Sylfaen" w:hAnsi="Sylfaen" w:cs="Sylfaen"/>
          <w:sz w:val="24"/>
          <w:szCs w:val="24"/>
          <w:lang w:val="ka-GE"/>
        </w:rPr>
        <w:t>თუ AIIRA-ების მიღება არ არის სასიცოცხლოდ აუცილებელი,</w:t>
      </w:r>
      <w:bookmarkEnd w:id="0"/>
      <w:r w:rsidRPr="00840CA5">
        <w:rPr>
          <w:rFonts w:ascii="Sylfaen" w:hAnsi="Sylfaen" w:cs="Sylfaen"/>
          <w:sz w:val="24"/>
          <w:szCs w:val="24"/>
          <w:lang w:val="ka-GE"/>
        </w:rPr>
        <w:t xml:space="preserve"> მაშინ პაციენტები, რომლებიც გეგმავენ ორსულებას, უნდა გადავიდნენ ალტერნატიულ ანტიჰიპერტენზიულ საშუალებებზე, რომელთა უსაფრთხოების პროფილიც კარგად არის შესწავლილი ორსულებში.</w:t>
      </w:r>
      <w:bookmarkEnd w:id="1"/>
      <w:r w:rsidRPr="00840CA5">
        <w:rPr>
          <w:rFonts w:ascii="Sylfaen" w:hAnsi="Sylfaen" w:cs="Sylfaen"/>
          <w:sz w:val="24"/>
          <w:szCs w:val="24"/>
          <w:lang w:val="ka-GE"/>
        </w:rPr>
        <w:t xml:space="preserve"> ორსულობის დადასტურებისთანავე AIIRA-ების გამოყენება დაუყოვნებლივ უნდა შეწყდეს, ხოლო, აუცილებლობის შემთხვევაში, უნდა დაინიშნოს ალტერნატიული თერაპია.</w:t>
      </w:r>
    </w:p>
    <w:bookmarkEnd w:id="2"/>
    <w:p w14:paraId="5CC1A672" w14:textId="45E06003" w:rsidR="00FF336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ორსულობის მეორე და მესამე ტრიმესტრ</w:t>
      </w:r>
      <w:r w:rsidR="00094258" w:rsidRPr="00840CA5">
        <w:rPr>
          <w:rFonts w:ascii="Sylfaen" w:hAnsi="Sylfaen" w:cs="Sylfaen"/>
          <w:sz w:val="24"/>
          <w:szCs w:val="24"/>
          <w:lang w:val="ka-GE"/>
        </w:rPr>
        <w:t>ებ</w:t>
      </w:r>
      <w:r w:rsidRPr="00840CA5">
        <w:rPr>
          <w:rFonts w:ascii="Sylfaen" w:hAnsi="Sylfaen" w:cs="Sylfaen"/>
          <w:sz w:val="24"/>
          <w:szCs w:val="24"/>
          <w:lang w:val="ka-GE"/>
        </w:rPr>
        <w:t xml:space="preserve">ში AIIRA-ებით თერაპია იწვევს ფეტოტოქსიკურობას ადამიანებში (თირკმლის ფუნქციის გაუარესება, ოლიგოჰიდრამნიოზი, თავის ქალის ოსიფიკაციის შეფერხება) და ახდენს ტოქსიკურ ზემოქმედებას ახალშობილებზე (თირკმლის უკმარისობა, ჰიპოტენზია, ჰიპერკალემია). </w:t>
      </w:r>
    </w:p>
    <w:p w14:paraId="11CC7F79" w14:textId="77777777" w:rsidR="00FF336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ორსულობის მეორე ტრიმესტრიდან AIIRA-ების მიღების შემთხვევაში, რეკომენდებულია ნაყოფის თავის ქალისა და თირკმლის ფუნქციის ურტრაბგერითი კვლევა. </w:t>
      </w:r>
    </w:p>
    <w:p w14:paraId="59F1F063" w14:textId="77777777" w:rsidR="00784FE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ახალშობილები, რომელთა დედები ღებულობენ AIIRA-ებს, უნდა იყვნენ დაკვირვების ქვეშ ჰიპოტენზიის განვითარების რისკის გამო.</w:t>
      </w:r>
    </w:p>
    <w:p w14:paraId="62D6D246" w14:textId="77777777" w:rsidR="00784FE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 xml:space="preserve">ჰიდროქლოროთიაზიდი: </w:t>
      </w:r>
    </w:p>
    <w:p w14:paraId="2379514E" w14:textId="38D6CD4F" w:rsidR="00784FE3" w:rsidRPr="00840CA5" w:rsidRDefault="0060482C"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lastRenderedPageBreak/>
        <w:t xml:space="preserve">არ არსებობს საკმარისი ინფორმაცია </w:t>
      </w:r>
      <w:r w:rsidR="00FF3363" w:rsidRPr="00840CA5">
        <w:rPr>
          <w:rFonts w:ascii="Sylfaen" w:hAnsi="Sylfaen" w:cs="Sylfaen"/>
          <w:sz w:val="24"/>
          <w:szCs w:val="24"/>
          <w:lang w:val="ka-GE"/>
        </w:rPr>
        <w:t xml:space="preserve">ჰიდროქლოროთიაზიდის გამოყენების </w:t>
      </w:r>
      <w:r w:rsidRPr="00840CA5">
        <w:rPr>
          <w:rFonts w:ascii="Sylfaen" w:hAnsi="Sylfaen" w:cs="Sylfaen"/>
          <w:sz w:val="24"/>
          <w:szCs w:val="24"/>
          <w:lang w:val="ka-GE"/>
        </w:rPr>
        <w:t>შესახებ</w:t>
      </w:r>
      <w:r w:rsidR="00FF3363" w:rsidRPr="00840CA5">
        <w:rPr>
          <w:rFonts w:ascii="Sylfaen" w:hAnsi="Sylfaen" w:cs="Sylfaen"/>
          <w:sz w:val="24"/>
          <w:szCs w:val="24"/>
          <w:lang w:val="ka-GE"/>
        </w:rPr>
        <w:t xml:space="preserve"> ორსულ ქალებში, განსაკუთრებით პირველ ტრიმესტრში. ცხოველებზე ჩატარებული კვლევები არასაკმარისია.</w:t>
      </w:r>
    </w:p>
    <w:p w14:paraId="654FD850" w14:textId="77777777" w:rsidR="00784FE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ჰიდროქლოროთიაზიდი აღწევს პლაცენტაში. ჰიდროქლოროთიაზიდის მოქმედების მექანიზმის ფარმაკოლოგიური თავისებურებების გათვალისწინებით, შეიძლება ვივარაუდოთ, რომ მისმა მიღებამ ორსულობის მეორე და მესამე ტრიმესტრში შეიძლება გააუარესოს ფეტოპლაცენტური სისხლის მიმოქცევა და გამოიწვიოს ისეთი ეფექტები, როგორიცაა: სიყვითლე, ელექტეროლიტური ბალანსის დარღვევა და თრომბოციტოპენია ნაყოფსა და ახალშობილში.</w:t>
      </w:r>
    </w:p>
    <w:p w14:paraId="09E9CF86" w14:textId="45D1C9AE" w:rsidR="00784FE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ჰიდროქლორითიაზიდის დანიშვნა არ შეიძლება გესტაციური შეშუპების, გესტაციური ჰიპერტენზიის ან </w:t>
      </w:r>
      <w:r w:rsidR="00A7097C" w:rsidRPr="00840CA5">
        <w:rPr>
          <w:rFonts w:ascii="Sylfaen" w:hAnsi="Sylfaen" w:cs="Sylfaen"/>
          <w:sz w:val="24"/>
          <w:szCs w:val="24"/>
          <w:lang w:val="ka-GE"/>
        </w:rPr>
        <w:t xml:space="preserve">პრეეკლამფსიის </w:t>
      </w:r>
      <w:r w:rsidRPr="00840CA5">
        <w:rPr>
          <w:rFonts w:ascii="Sylfaen" w:hAnsi="Sylfaen" w:cs="Sylfaen"/>
          <w:sz w:val="24"/>
          <w:szCs w:val="24"/>
          <w:lang w:val="ka-GE"/>
        </w:rPr>
        <w:t xml:space="preserve">სამკურნალოდ, </w:t>
      </w:r>
      <w:r w:rsidR="00CA06F1" w:rsidRPr="00840CA5">
        <w:rPr>
          <w:rFonts w:ascii="Sylfaen" w:hAnsi="Sylfaen" w:cs="Sylfaen"/>
          <w:sz w:val="24"/>
          <w:szCs w:val="24"/>
          <w:lang w:val="ka-GE"/>
        </w:rPr>
        <w:t>ვინაიდ</w:t>
      </w:r>
      <w:r w:rsidRPr="00840CA5">
        <w:rPr>
          <w:rFonts w:ascii="Sylfaen" w:hAnsi="Sylfaen" w:cs="Sylfaen"/>
          <w:sz w:val="24"/>
          <w:szCs w:val="24"/>
          <w:lang w:val="ka-GE"/>
        </w:rPr>
        <w:t xml:space="preserve">ან შეიძლება </w:t>
      </w:r>
      <w:r w:rsidR="00784FE3" w:rsidRPr="00840CA5">
        <w:rPr>
          <w:rFonts w:ascii="Sylfaen" w:hAnsi="Sylfaen" w:cs="Sylfaen"/>
          <w:sz w:val="24"/>
          <w:szCs w:val="24"/>
          <w:lang w:val="ka-GE"/>
        </w:rPr>
        <w:t>განვითარდეს</w:t>
      </w:r>
      <w:r w:rsidRPr="00840CA5">
        <w:rPr>
          <w:rFonts w:ascii="Sylfaen" w:hAnsi="Sylfaen" w:cs="Sylfaen"/>
          <w:sz w:val="24"/>
          <w:szCs w:val="24"/>
          <w:lang w:val="ka-GE"/>
        </w:rPr>
        <w:t xml:space="preserve"> სისხლის პლაზმის მოცულობის შემცირებ</w:t>
      </w:r>
      <w:r w:rsidR="00784FE3" w:rsidRPr="00840CA5">
        <w:rPr>
          <w:rFonts w:ascii="Sylfaen" w:hAnsi="Sylfaen" w:cs="Sylfaen"/>
          <w:sz w:val="24"/>
          <w:szCs w:val="24"/>
          <w:lang w:val="ka-GE"/>
        </w:rPr>
        <w:t>ა</w:t>
      </w:r>
      <w:r w:rsidRPr="00840CA5">
        <w:rPr>
          <w:rFonts w:ascii="Sylfaen" w:hAnsi="Sylfaen" w:cs="Sylfaen"/>
          <w:sz w:val="24"/>
          <w:szCs w:val="24"/>
          <w:lang w:val="ka-GE"/>
        </w:rPr>
        <w:t xml:space="preserve"> და პლაცენტის ჰიპოპერფუზიის რისკი, დაავადების მიმდინარეობაზე სასარგებლო ეფექტის გარეშე.</w:t>
      </w:r>
    </w:p>
    <w:p w14:paraId="6E9D658E" w14:textId="77777777" w:rsidR="00784FE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ჰიდროქლოროთიაზიდის გამოყენება არ არის რეკომენდებული ორსულებში ესენციური ჰიპერტენზიის სამკურნალოდ, იშვიათი გამონაკლისების გარდა, როდესაც შეუძლებელია ალტერნატიული თერაპიის დაწყება.</w:t>
      </w:r>
    </w:p>
    <w:p w14:paraId="26610793" w14:textId="43107EE5" w:rsidR="00784FE3" w:rsidRPr="00840CA5" w:rsidRDefault="002B4B96"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ლაქტაცია</w:t>
      </w:r>
    </w:p>
    <w:p w14:paraId="74387C67" w14:textId="7F7298D9" w:rsidR="00CA06F1" w:rsidRPr="00840CA5" w:rsidRDefault="00CA06F1"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ლო</w:t>
      </w:r>
      <w:r w:rsidR="0039482E" w:rsidRPr="00840CA5">
        <w:rPr>
          <w:rFonts w:ascii="Sylfaen" w:hAnsi="Sylfaen" w:cs="Sylfaen"/>
          <w:b/>
          <w:bCs/>
          <w:i/>
          <w:iCs/>
          <w:sz w:val="24"/>
          <w:szCs w:val="24"/>
          <w:lang w:val="ka-GE"/>
        </w:rPr>
        <w:t>ზ</w:t>
      </w:r>
      <w:r w:rsidRPr="00840CA5">
        <w:rPr>
          <w:rFonts w:ascii="Sylfaen" w:hAnsi="Sylfaen" w:cs="Sylfaen"/>
          <w:b/>
          <w:bCs/>
          <w:i/>
          <w:iCs/>
          <w:sz w:val="24"/>
          <w:szCs w:val="24"/>
          <w:lang w:val="ka-GE"/>
        </w:rPr>
        <w:t>არტანი</w:t>
      </w:r>
    </w:p>
    <w:p w14:paraId="40117955" w14:textId="736C5490" w:rsidR="00FF3363" w:rsidRPr="00840CA5" w:rsidRDefault="00FF3363"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ანგიოტენზინ II რეცეპტორების ანტაგონისტები (AIIRA):</w:t>
      </w:r>
    </w:p>
    <w:p w14:paraId="343F51B9" w14:textId="20BCE3CD" w:rsidR="002B4B96"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ვინაიდან არ მოიპოვება ინფორმაცია </w:t>
      </w:r>
      <w:r w:rsidR="00F23F84" w:rsidRPr="00840CA5">
        <w:rPr>
          <w:rFonts w:ascii="Sylfaen" w:hAnsi="Sylfaen" w:cs="Sylfaen"/>
          <w:sz w:val="24"/>
          <w:szCs w:val="24"/>
          <w:lang w:val="ka-GE"/>
        </w:rPr>
        <w:t xml:space="preserve">ლაქტაციის პერიოდში </w:t>
      </w:r>
      <w:r w:rsidR="00784FE3" w:rsidRPr="00840CA5">
        <w:rPr>
          <w:rFonts w:ascii="Sylfaen" w:hAnsi="Sylfaen"/>
          <w:sz w:val="24"/>
          <w:szCs w:val="24"/>
          <w:lang w:val="ka-GE"/>
        </w:rPr>
        <w:t>ლო</w:t>
      </w:r>
      <w:r w:rsidR="0039482E" w:rsidRPr="00840CA5">
        <w:rPr>
          <w:rFonts w:ascii="Sylfaen" w:hAnsi="Sylfaen"/>
          <w:sz w:val="24"/>
          <w:szCs w:val="24"/>
          <w:lang w:val="ka-GE"/>
        </w:rPr>
        <w:t>ზ</w:t>
      </w:r>
      <w:r w:rsidR="00784FE3" w:rsidRPr="00840CA5">
        <w:rPr>
          <w:rFonts w:ascii="Sylfaen" w:hAnsi="Sylfaen"/>
          <w:sz w:val="24"/>
          <w:szCs w:val="24"/>
          <w:lang w:val="ka-GE"/>
        </w:rPr>
        <w:t xml:space="preserve">არტანის კალიუმი/ ჰიდროქლოროთიაზიდის </w:t>
      </w:r>
      <w:r w:rsidRPr="00840CA5">
        <w:rPr>
          <w:rFonts w:ascii="Sylfaen" w:hAnsi="Sylfaen" w:cs="Sylfaen"/>
          <w:sz w:val="24"/>
          <w:szCs w:val="24"/>
          <w:lang w:val="ka-GE"/>
        </w:rPr>
        <w:t xml:space="preserve">გამოყენების შესახებ, ამიტომ </w:t>
      </w:r>
      <w:r w:rsidR="00784FE3" w:rsidRPr="00840CA5">
        <w:rPr>
          <w:rFonts w:ascii="Sylfaen" w:hAnsi="Sylfaen"/>
          <w:sz w:val="24"/>
          <w:szCs w:val="24"/>
          <w:lang w:val="ka-GE"/>
        </w:rPr>
        <w:t>ლო</w:t>
      </w:r>
      <w:r w:rsidR="0039482E" w:rsidRPr="00840CA5">
        <w:rPr>
          <w:rFonts w:ascii="Sylfaen" w:hAnsi="Sylfaen"/>
          <w:sz w:val="24"/>
          <w:szCs w:val="24"/>
          <w:lang w:val="ka-GE"/>
        </w:rPr>
        <w:t>ზ</w:t>
      </w:r>
      <w:r w:rsidR="00784FE3" w:rsidRPr="00840CA5">
        <w:rPr>
          <w:rFonts w:ascii="Sylfaen" w:hAnsi="Sylfaen"/>
          <w:sz w:val="24"/>
          <w:szCs w:val="24"/>
          <w:lang w:val="ka-GE"/>
        </w:rPr>
        <w:t xml:space="preserve">არტანის კალიუმი/ ჰიდროქლოროთიაზიდის </w:t>
      </w:r>
      <w:r w:rsidRPr="00840CA5">
        <w:rPr>
          <w:rFonts w:ascii="Sylfaen" w:hAnsi="Sylfaen" w:cs="Sylfaen"/>
          <w:sz w:val="24"/>
          <w:szCs w:val="24"/>
          <w:lang w:val="ka-GE"/>
        </w:rPr>
        <w:t>მიღება არ არის რეკომენდებული ამ პერიოდში და რეკომე</w:t>
      </w:r>
      <w:r w:rsidR="0060482C" w:rsidRPr="00840CA5">
        <w:rPr>
          <w:rFonts w:ascii="Sylfaen" w:hAnsi="Sylfaen" w:cs="Sylfaen"/>
          <w:sz w:val="24"/>
          <w:szCs w:val="24"/>
          <w:lang w:val="ka-GE"/>
        </w:rPr>
        <w:t>ნ</w:t>
      </w:r>
      <w:r w:rsidRPr="00840CA5">
        <w:rPr>
          <w:rFonts w:ascii="Sylfaen" w:hAnsi="Sylfaen" w:cs="Sylfaen"/>
          <w:sz w:val="24"/>
          <w:szCs w:val="24"/>
          <w:lang w:val="ka-GE"/>
        </w:rPr>
        <w:t xml:space="preserve">დებულია ალტერნატიული </w:t>
      </w:r>
      <w:r w:rsidR="002B4B96" w:rsidRPr="00840CA5">
        <w:rPr>
          <w:rFonts w:ascii="Sylfaen" w:hAnsi="Sylfaen" w:cs="Sylfaen"/>
          <w:sz w:val="24"/>
          <w:szCs w:val="24"/>
          <w:lang w:val="ka-GE"/>
        </w:rPr>
        <w:t xml:space="preserve">საშუალებებით </w:t>
      </w:r>
      <w:r w:rsidRPr="00840CA5">
        <w:rPr>
          <w:rFonts w:ascii="Sylfaen" w:hAnsi="Sylfaen" w:cs="Sylfaen"/>
          <w:sz w:val="24"/>
          <w:szCs w:val="24"/>
          <w:lang w:val="ka-GE"/>
        </w:rPr>
        <w:t>მკურნალობის დაწყება, რომელ</w:t>
      </w:r>
      <w:r w:rsidR="002B4B96" w:rsidRPr="00840CA5">
        <w:rPr>
          <w:rFonts w:ascii="Sylfaen" w:hAnsi="Sylfaen" w:cs="Sylfaen"/>
          <w:sz w:val="24"/>
          <w:szCs w:val="24"/>
          <w:lang w:val="ka-GE"/>
        </w:rPr>
        <w:t>თ</w:t>
      </w:r>
      <w:r w:rsidRPr="00840CA5">
        <w:rPr>
          <w:rFonts w:ascii="Sylfaen" w:hAnsi="Sylfaen" w:cs="Sylfaen"/>
          <w:sz w:val="24"/>
          <w:szCs w:val="24"/>
          <w:lang w:val="ka-GE"/>
        </w:rPr>
        <w:t xml:space="preserve">აც აქვს უკეთ დადგენილი უსაფრთხოების პროფილი, განსაკუთრებით ახალშობილებთან და დღენაკლულ ბავშვებთან მიმართებაში. </w:t>
      </w:r>
    </w:p>
    <w:p w14:paraId="4B480190" w14:textId="621C2FE1" w:rsidR="002B4B96"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 xml:space="preserve">ჰიდროქლორთიაზიდი </w:t>
      </w:r>
    </w:p>
    <w:p w14:paraId="08FF0810" w14:textId="21E9CF88" w:rsidR="00FF3363" w:rsidRPr="00840CA5" w:rsidRDefault="00FF3363"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ჰიდროქლოროთიაზიდი მცირე ოდენობით გამოიყოფა </w:t>
      </w:r>
      <w:r w:rsidR="00F23F84" w:rsidRPr="00840CA5">
        <w:rPr>
          <w:rFonts w:ascii="Sylfaen" w:hAnsi="Sylfaen" w:cs="Sylfaen"/>
          <w:sz w:val="24"/>
          <w:szCs w:val="24"/>
          <w:lang w:val="ka-GE"/>
        </w:rPr>
        <w:t>დედის</w:t>
      </w:r>
      <w:r w:rsidRPr="00840CA5">
        <w:rPr>
          <w:rFonts w:ascii="Sylfaen" w:hAnsi="Sylfaen" w:cs="Sylfaen"/>
          <w:sz w:val="24"/>
          <w:szCs w:val="24"/>
          <w:lang w:val="ka-GE"/>
        </w:rPr>
        <w:t xml:space="preserve"> რძეში. თიაზიდურმა საშუალებებმა </w:t>
      </w:r>
      <w:r w:rsidR="00F23F84" w:rsidRPr="00840CA5">
        <w:rPr>
          <w:rFonts w:ascii="Sylfaen" w:hAnsi="Sylfaen" w:cs="Sylfaen"/>
          <w:sz w:val="24"/>
          <w:szCs w:val="24"/>
          <w:lang w:val="ka-GE"/>
        </w:rPr>
        <w:t>დიდი</w:t>
      </w:r>
      <w:r w:rsidRPr="00840CA5">
        <w:rPr>
          <w:rFonts w:ascii="Sylfaen" w:hAnsi="Sylfaen" w:cs="Sylfaen"/>
          <w:sz w:val="24"/>
          <w:szCs w:val="24"/>
          <w:lang w:val="ka-GE"/>
        </w:rPr>
        <w:t xml:space="preserve"> დოზებით შეიძლება გამოიწვიოს დიურეზის გაზრდა და რძის წარმოქმნის დათრგუნვა. </w:t>
      </w:r>
      <w:r w:rsidR="002B4B96" w:rsidRPr="00840CA5">
        <w:rPr>
          <w:rFonts w:ascii="Sylfaen" w:hAnsi="Sylfaen"/>
          <w:sz w:val="24"/>
          <w:szCs w:val="24"/>
          <w:lang w:val="ka-GE"/>
        </w:rPr>
        <w:t>ლო</w:t>
      </w:r>
      <w:r w:rsidR="0039482E" w:rsidRPr="00840CA5">
        <w:rPr>
          <w:rFonts w:ascii="Sylfaen" w:hAnsi="Sylfaen"/>
          <w:sz w:val="24"/>
          <w:szCs w:val="24"/>
          <w:lang w:val="ka-GE"/>
        </w:rPr>
        <w:t>ზ</w:t>
      </w:r>
      <w:r w:rsidR="002B4B96" w:rsidRPr="00840CA5">
        <w:rPr>
          <w:rFonts w:ascii="Sylfaen" w:hAnsi="Sylfaen"/>
          <w:sz w:val="24"/>
          <w:szCs w:val="24"/>
          <w:lang w:val="ka-GE"/>
        </w:rPr>
        <w:t xml:space="preserve">არტანის კალიუმი/ ჰიდროქლოროთიაზიდის </w:t>
      </w:r>
      <w:r w:rsidRPr="00840CA5">
        <w:rPr>
          <w:rFonts w:ascii="Sylfaen" w:hAnsi="Sylfaen" w:cs="Sylfaen"/>
          <w:sz w:val="24"/>
          <w:szCs w:val="24"/>
          <w:lang w:val="ka-GE"/>
        </w:rPr>
        <w:t xml:space="preserve">გამოყენება არ არის რეკომენდებული ლაქტაციის პერიოდში. ლაქტაციის პერიოდში </w:t>
      </w:r>
      <w:r w:rsidR="002B4B96" w:rsidRPr="00840CA5">
        <w:rPr>
          <w:rFonts w:ascii="Sylfaen" w:hAnsi="Sylfaen"/>
          <w:sz w:val="24"/>
          <w:szCs w:val="24"/>
          <w:lang w:val="ka-GE"/>
        </w:rPr>
        <w:t>ლო</w:t>
      </w:r>
      <w:r w:rsidR="0039482E" w:rsidRPr="00840CA5">
        <w:rPr>
          <w:rFonts w:ascii="Sylfaen" w:hAnsi="Sylfaen"/>
          <w:sz w:val="24"/>
          <w:szCs w:val="24"/>
          <w:lang w:val="ka-GE"/>
        </w:rPr>
        <w:t>ზ</w:t>
      </w:r>
      <w:r w:rsidR="002B4B96" w:rsidRPr="00840CA5">
        <w:rPr>
          <w:rFonts w:ascii="Sylfaen" w:hAnsi="Sylfaen"/>
          <w:sz w:val="24"/>
          <w:szCs w:val="24"/>
          <w:lang w:val="ka-GE"/>
        </w:rPr>
        <w:t xml:space="preserve">არტანის კალიუმი/ ჰიდროქლოროთიაზიდის </w:t>
      </w:r>
      <w:r w:rsidRPr="00840CA5">
        <w:rPr>
          <w:rFonts w:ascii="Sylfaen" w:hAnsi="Sylfaen" w:cs="Sylfaen"/>
          <w:sz w:val="24"/>
          <w:szCs w:val="24"/>
          <w:lang w:val="ka-GE"/>
        </w:rPr>
        <w:t>მიღების აუცილებლობის შემთხვევაში, უნდა დაინიშნოს ყველაზე დაბალი შესაძლო დოზა.</w:t>
      </w:r>
    </w:p>
    <w:p w14:paraId="61A2094D" w14:textId="284C1DE3" w:rsidR="00BA782B" w:rsidRPr="00840CA5" w:rsidRDefault="00BA782B" w:rsidP="007050C7">
      <w:pPr>
        <w:pStyle w:val="ListParagraph"/>
        <w:numPr>
          <w:ilvl w:val="0"/>
          <w:numId w:val="37"/>
        </w:numPr>
        <w:spacing w:after="0" w:line="240" w:lineRule="auto"/>
        <w:ind w:left="-450" w:right="-301" w:hanging="450"/>
        <w:jc w:val="both"/>
        <w:rPr>
          <w:rFonts w:ascii="Sylfaen" w:hAnsi="Sylfaen" w:cs="Sylfaen"/>
          <w:b/>
          <w:bCs/>
          <w:sz w:val="24"/>
          <w:szCs w:val="24"/>
          <w:lang w:val="ka-GE"/>
        </w:rPr>
      </w:pPr>
      <w:r w:rsidRPr="00840CA5">
        <w:rPr>
          <w:rFonts w:ascii="Sylfaen" w:hAnsi="Sylfaen" w:cs="Sylfaen"/>
          <w:b/>
          <w:sz w:val="24"/>
          <w:szCs w:val="24"/>
          <w:lang w:val="ka-GE"/>
        </w:rPr>
        <w:t>გვერდითი ეფექტები</w:t>
      </w:r>
    </w:p>
    <w:p w14:paraId="2068ECC5" w14:textId="77777777"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ქვემოთ მოყვანილ ცხრილში წარმოდგენილია წამლის გვერდითი ეფექტები ორგანოთა სისტემის კლასისა და სიხშირის მიხედვით.</w:t>
      </w:r>
      <w:r w:rsidRPr="00840CA5">
        <w:rPr>
          <w:rFonts w:ascii="Sylfaen" w:hAnsi="Sylfaen" w:cs="Sylfaen"/>
          <w:b/>
          <w:sz w:val="24"/>
          <w:szCs w:val="24"/>
          <w:lang w:val="ka-GE"/>
        </w:rPr>
        <w:t xml:space="preserve"> </w:t>
      </w:r>
      <w:r w:rsidRPr="00840CA5">
        <w:rPr>
          <w:rFonts w:ascii="Sylfaen" w:hAnsi="Sylfaen" w:cs="Sylfaen"/>
          <w:sz w:val="24"/>
          <w:szCs w:val="24"/>
          <w:lang w:val="ka-GE"/>
        </w:rPr>
        <w:t>გვერდითი მოვლენების განვითარების სიხშირე განისაზღვრა შემდეგნაირად: ძალიან ხშირი (≥1/10);  ხშირი (≥1/100 - &lt;1/10);  არახშირი (≥1/1000 - &lt;1/100);  იშვიათი (≥1/10,000 - &lt;1/1,000); ძალიან იშვიათი (&lt;1/10,000); უცნობი სიხშირის (მათი   გამოვლენის   ზუსტი   სიხშირე   ვერ დგინდება არსებული მონაცემებით).</w:t>
      </w:r>
    </w:p>
    <w:p w14:paraId="744FFD0E" w14:textId="129F1923"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კალიუმის და ჰიდროქლოროთიაზიდის კლინიკური კვლევების დროს არ დაფიქსირებულა ნივთიერებების ამ კომბინაციისთვის დამახასიათებელი გვერდითი მოვლენები. გვერდითი მოვლენები შემოიფარგლებოდა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კალიუმის და/ან ჰიდროქლოროთიაზიდის გამოყენებისას ადრე დაფიქსირებული მოვლენებით.</w:t>
      </w:r>
    </w:p>
    <w:p w14:paraId="3BAC0AD5" w14:textId="580C9BA4"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ესენციური ჰიპერტენზიის კონტროლირებად კლინიკურ კვლევებში აღინიშნა ერთადერთი ნივთიერებასთან დაკავშირებული გვერდითი მოვლენა - თავბრუსხვევა, რომელიც პლაცებოსთან შედარებით უფრო მეტი სიხშირით ვლინდებოდა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არტანისა და ჰიდროქლორთიაზიდის მიმღები პაციენტების 1%-ში ან მეტში.</w:t>
      </w:r>
    </w:p>
    <w:p w14:paraId="522853E3" w14:textId="77777777"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ამ მოვლენების გარდა, პროდუქტის ბაზარზე შემოტანის შემდეგ აღინიშნა შემდეგი გვერდითი მოვლენები:</w:t>
      </w:r>
    </w:p>
    <w:tbl>
      <w:tblPr>
        <w:tblStyle w:val="TableGrid"/>
        <w:tblW w:w="10710" w:type="dxa"/>
        <w:tblInd w:w="-792" w:type="dxa"/>
        <w:tblLook w:val="04A0" w:firstRow="1" w:lastRow="0" w:firstColumn="1" w:lastColumn="0" w:noHBand="0" w:noVBand="1"/>
      </w:tblPr>
      <w:tblGrid>
        <w:gridCol w:w="3960"/>
        <w:gridCol w:w="5310"/>
        <w:gridCol w:w="1440"/>
      </w:tblGrid>
      <w:tr w:rsidR="00660680" w:rsidRPr="00840CA5" w14:paraId="09C1EE17" w14:textId="77777777" w:rsidTr="0039482E">
        <w:tc>
          <w:tcPr>
            <w:tcW w:w="3960" w:type="dxa"/>
          </w:tcPr>
          <w:p w14:paraId="70270261"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lastRenderedPageBreak/>
              <w:t>ორგანოთა სისტემა</w:t>
            </w:r>
          </w:p>
        </w:tc>
        <w:tc>
          <w:tcPr>
            <w:tcW w:w="5310" w:type="dxa"/>
          </w:tcPr>
          <w:p w14:paraId="2393380E"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გვერდითი მოვლენები</w:t>
            </w:r>
          </w:p>
        </w:tc>
        <w:tc>
          <w:tcPr>
            <w:tcW w:w="1440" w:type="dxa"/>
          </w:tcPr>
          <w:p w14:paraId="61DA2B74"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სიხშირე</w:t>
            </w:r>
          </w:p>
        </w:tc>
      </w:tr>
      <w:tr w:rsidR="00660680" w:rsidRPr="00840CA5" w14:paraId="15C999B6" w14:textId="77777777" w:rsidTr="0039482E">
        <w:tc>
          <w:tcPr>
            <w:tcW w:w="3960" w:type="dxa"/>
          </w:tcPr>
          <w:p w14:paraId="6FD79FE0"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ჰეპატობილიარული დარღვევები</w:t>
            </w:r>
          </w:p>
        </w:tc>
        <w:tc>
          <w:tcPr>
            <w:tcW w:w="5310" w:type="dxa"/>
          </w:tcPr>
          <w:p w14:paraId="3E1D451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ჰეპატიტი</w:t>
            </w:r>
          </w:p>
        </w:tc>
        <w:tc>
          <w:tcPr>
            <w:tcW w:w="1440" w:type="dxa"/>
          </w:tcPr>
          <w:p w14:paraId="03EF7E36"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იშვიათი</w:t>
            </w:r>
          </w:p>
        </w:tc>
      </w:tr>
      <w:tr w:rsidR="00660680" w:rsidRPr="00840CA5" w14:paraId="6C852AB9" w14:textId="77777777" w:rsidTr="0039482E">
        <w:tc>
          <w:tcPr>
            <w:tcW w:w="3960" w:type="dxa"/>
          </w:tcPr>
          <w:p w14:paraId="721AA884"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კვლევები</w:t>
            </w:r>
          </w:p>
        </w:tc>
        <w:tc>
          <w:tcPr>
            <w:tcW w:w="5310" w:type="dxa"/>
          </w:tcPr>
          <w:p w14:paraId="03BFC22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ჰიპერკალემია, ალანინამინტრანსფერაზას (ALT) დონის მომატება</w:t>
            </w:r>
          </w:p>
        </w:tc>
        <w:tc>
          <w:tcPr>
            <w:tcW w:w="1440" w:type="dxa"/>
          </w:tcPr>
          <w:p w14:paraId="6E87D862"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იშვიათი</w:t>
            </w:r>
          </w:p>
        </w:tc>
      </w:tr>
    </w:tbl>
    <w:p w14:paraId="4BC4F69D" w14:textId="1D548E3B"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დამატებითი გვერდითი რეაქციები, რომლებიც დაფიქსირდა ერთ-ერთი ცალკეული კომპონენტის გამოყენებისას და შეიძლება წარმოადგენდეს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კალიუმის/ჰიდროქლოროთიაზიდის პოტენციურ გვერდით რეაქციებს, მოიცავს შემდეგს:</w:t>
      </w:r>
    </w:p>
    <w:p w14:paraId="5E35C52B" w14:textId="14F3BAE2" w:rsidR="00660680" w:rsidRPr="00840CA5" w:rsidRDefault="00660680" w:rsidP="007050C7">
      <w:pPr>
        <w:spacing w:after="0" w:line="240" w:lineRule="auto"/>
        <w:ind w:left="-990" w:right="-211"/>
        <w:jc w:val="both"/>
        <w:rPr>
          <w:rFonts w:ascii="Sylfaen" w:hAnsi="Sylfaen" w:cs="Sylfaen"/>
          <w:b/>
          <w:sz w:val="24"/>
          <w:szCs w:val="24"/>
          <w:lang w:val="ka-GE"/>
        </w:rPr>
      </w:pPr>
      <w:r w:rsidRPr="00840CA5">
        <w:rPr>
          <w:rFonts w:ascii="Sylfaen" w:hAnsi="Sylfaen" w:cs="Sylfaen"/>
          <w:b/>
          <w:sz w:val="24"/>
          <w:szCs w:val="24"/>
          <w:lang w:val="ka-GE"/>
        </w:rPr>
        <w:t>ლო</w:t>
      </w:r>
      <w:r w:rsidR="0039482E" w:rsidRPr="00840CA5">
        <w:rPr>
          <w:rFonts w:ascii="Sylfaen" w:hAnsi="Sylfaen" w:cs="Sylfaen"/>
          <w:b/>
          <w:sz w:val="24"/>
          <w:szCs w:val="24"/>
          <w:lang w:val="ka-GE"/>
        </w:rPr>
        <w:t>ზ</w:t>
      </w:r>
      <w:r w:rsidRPr="00840CA5">
        <w:rPr>
          <w:rFonts w:ascii="Sylfaen" w:hAnsi="Sylfaen" w:cs="Sylfaen"/>
          <w:b/>
          <w:sz w:val="24"/>
          <w:szCs w:val="24"/>
          <w:lang w:val="ka-GE"/>
        </w:rPr>
        <w:t>არტანი</w:t>
      </w:r>
    </w:p>
    <w:p w14:paraId="4FD9DE2F" w14:textId="0F4D278E"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კლინიკური კვლევებისა და პოსტმარკეტინგული გამოცდილების დროს აღინიშნა შემდეგი გვერდითი მოვლენები:</w:t>
      </w:r>
    </w:p>
    <w:tbl>
      <w:tblPr>
        <w:tblStyle w:val="TableGrid"/>
        <w:tblW w:w="10800" w:type="dxa"/>
        <w:tblInd w:w="-792" w:type="dxa"/>
        <w:tblLook w:val="04A0" w:firstRow="1" w:lastRow="0" w:firstColumn="1" w:lastColumn="0" w:noHBand="0" w:noVBand="1"/>
      </w:tblPr>
      <w:tblGrid>
        <w:gridCol w:w="2880"/>
        <w:gridCol w:w="6660"/>
        <w:gridCol w:w="1260"/>
      </w:tblGrid>
      <w:tr w:rsidR="00660680" w:rsidRPr="00840CA5" w14:paraId="6B181E85" w14:textId="77777777" w:rsidTr="0039482E">
        <w:tc>
          <w:tcPr>
            <w:tcW w:w="2880" w:type="dxa"/>
          </w:tcPr>
          <w:p w14:paraId="742D8990"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ორგანოთა სისტემა</w:t>
            </w:r>
          </w:p>
        </w:tc>
        <w:tc>
          <w:tcPr>
            <w:tcW w:w="6660" w:type="dxa"/>
          </w:tcPr>
          <w:p w14:paraId="12034703"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გვერდითი მოვლენები</w:t>
            </w:r>
          </w:p>
        </w:tc>
        <w:tc>
          <w:tcPr>
            <w:tcW w:w="1260" w:type="dxa"/>
          </w:tcPr>
          <w:p w14:paraId="22C7EE92"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სიხშირე</w:t>
            </w:r>
          </w:p>
        </w:tc>
      </w:tr>
      <w:tr w:rsidR="00660680" w:rsidRPr="00840CA5" w14:paraId="05B709E1" w14:textId="77777777" w:rsidTr="0039482E">
        <w:tc>
          <w:tcPr>
            <w:tcW w:w="2880" w:type="dxa"/>
            <w:vMerge w:val="restart"/>
          </w:tcPr>
          <w:p w14:paraId="1757B919"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სისხლისა და ლიმფური სისტემის დარღვევები</w:t>
            </w:r>
          </w:p>
        </w:tc>
        <w:tc>
          <w:tcPr>
            <w:tcW w:w="6660" w:type="dxa"/>
          </w:tcPr>
          <w:p w14:paraId="1B64B36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ანემია, ჰენოხ-შონლეინის პურპურა, ეკქიმოზი, ჰემოლიზი</w:t>
            </w:r>
          </w:p>
        </w:tc>
        <w:tc>
          <w:tcPr>
            <w:tcW w:w="1260" w:type="dxa"/>
          </w:tcPr>
          <w:p w14:paraId="0143163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313A2B2D" w14:textId="77777777" w:rsidTr="0039482E">
        <w:tc>
          <w:tcPr>
            <w:tcW w:w="2880" w:type="dxa"/>
            <w:vMerge/>
          </w:tcPr>
          <w:p w14:paraId="5A02B96E" w14:textId="77777777" w:rsidR="00660680" w:rsidRPr="00840CA5" w:rsidRDefault="00660680" w:rsidP="007050C7">
            <w:pPr>
              <w:ind w:right="-211"/>
              <w:jc w:val="both"/>
              <w:rPr>
                <w:rFonts w:ascii="Sylfaen" w:hAnsi="Sylfaen" w:cs="Sylfaen"/>
                <w:sz w:val="24"/>
                <w:szCs w:val="24"/>
                <w:lang w:val="ka-GE"/>
              </w:rPr>
            </w:pPr>
          </w:p>
        </w:tc>
        <w:tc>
          <w:tcPr>
            <w:tcW w:w="6660" w:type="dxa"/>
          </w:tcPr>
          <w:p w14:paraId="35909B3E" w14:textId="77777777" w:rsidR="00660680" w:rsidRPr="00840CA5" w:rsidRDefault="00660680" w:rsidP="007050C7">
            <w:pPr>
              <w:ind w:right="-106"/>
              <w:jc w:val="both"/>
              <w:rPr>
                <w:rFonts w:ascii="Sylfaen" w:hAnsi="Sylfaen" w:cs="Sylfaen"/>
                <w:sz w:val="24"/>
                <w:szCs w:val="24"/>
                <w:lang w:val="ka-GE"/>
              </w:rPr>
            </w:pPr>
            <w:r w:rsidRPr="00840CA5">
              <w:rPr>
                <w:rFonts w:ascii="Sylfaen" w:hAnsi="Sylfaen" w:cs="Sylfaen"/>
                <w:sz w:val="24"/>
                <w:szCs w:val="24"/>
                <w:lang w:val="ka-GE"/>
              </w:rPr>
              <w:t>თრომბოციტოპენია</w:t>
            </w:r>
          </w:p>
        </w:tc>
        <w:tc>
          <w:tcPr>
            <w:tcW w:w="1260" w:type="dxa"/>
          </w:tcPr>
          <w:p w14:paraId="07A071CB"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3AD73016" w14:textId="77777777" w:rsidTr="0039482E">
        <w:tc>
          <w:tcPr>
            <w:tcW w:w="2880" w:type="dxa"/>
          </w:tcPr>
          <w:p w14:paraId="1F971A3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 xml:space="preserve">დარღვევევები </w:t>
            </w:r>
          </w:p>
          <w:p w14:paraId="02D4902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გულის მხრივ</w:t>
            </w:r>
          </w:p>
        </w:tc>
        <w:tc>
          <w:tcPr>
            <w:tcW w:w="6660" w:type="dxa"/>
          </w:tcPr>
          <w:p w14:paraId="2FAB3DE0"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ჰიპოტენზია, ორთოსტატიკური ჰიპოტენზია, სტერნალგია, სტენოკარდია, II - AV ბლოკადა, ცერებროვასკულური მოვლენა, მიოკარდიუმის ინფარქტი, პალპიტაცია, არითმიები (წინაგულების ფიბრილაცია, სინუსური ბრადიკარდია, ტაქიკარდია, პარკუჭოვანი ტაქიკარდია, პარკუჭოვანი ფიბრილაცია)</w:t>
            </w:r>
          </w:p>
        </w:tc>
        <w:tc>
          <w:tcPr>
            <w:tcW w:w="1260" w:type="dxa"/>
          </w:tcPr>
          <w:p w14:paraId="5771911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0DABC02" w14:textId="77777777" w:rsidTr="0039482E">
        <w:tc>
          <w:tcPr>
            <w:tcW w:w="2880" w:type="dxa"/>
          </w:tcPr>
          <w:p w14:paraId="6C5C9FF2" w14:textId="77777777" w:rsidR="00660680" w:rsidRPr="00840CA5" w:rsidRDefault="00660680" w:rsidP="007050C7">
            <w:pPr>
              <w:ind w:right="-15"/>
              <w:jc w:val="both"/>
              <w:rPr>
                <w:rFonts w:ascii="Sylfaen" w:hAnsi="Sylfaen" w:cs="Sylfaen"/>
                <w:sz w:val="24"/>
                <w:szCs w:val="24"/>
                <w:lang w:val="ka-GE"/>
              </w:rPr>
            </w:pPr>
            <w:r w:rsidRPr="00840CA5">
              <w:rPr>
                <w:rFonts w:ascii="Sylfaen" w:hAnsi="Sylfaen" w:cs="Sylfaen"/>
                <w:sz w:val="24"/>
                <w:szCs w:val="24"/>
                <w:lang w:val="ka-GE"/>
              </w:rPr>
              <w:t>ყურის და ლაბირინთული სისტემის დარღვევები</w:t>
            </w:r>
          </w:p>
        </w:tc>
        <w:tc>
          <w:tcPr>
            <w:tcW w:w="6660" w:type="dxa"/>
          </w:tcPr>
          <w:p w14:paraId="3870EC98"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ვერტიგო, ტინიტუსი</w:t>
            </w:r>
          </w:p>
        </w:tc>
        <w:tc>
          <w:tcPr>
            <w:tcW w:w="1260" w:type="dxa"/>
          </w:tcPr>
          <w:p w14:paraId="5F31496D"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36A7729E" w14:textId="77777777" w:rsidTr="0039482E">
        <w:tc>
          <w:tcPr>
            <w:tcW w:w="2880" w:type="dxa"/>
          </w:tcPr>
          <w:p w14:paraId="626B514C" w14:textId="77777777" w:rsidR="00660680" w:rsidRPr="00840CA5" w:rsidRDefault="00660680" w:rsidP="007050C7">
            <w:pPr>
              <w:ind w:right="-15"/>
              <w:jc w:val="both"/>
              <w:rPr>
                <w:rFonts w:ascii="Sylfaen" w:hAnsi="Sylfaen" w:cs="Sylfaen"/>
                <w:sz w:val="24"/>
                <w:szCs w:val="24"/>
                <w:lang w:val="ka-GE"/>
              </w:rPr>
            </w:pPr>
            <w:r w:rsidRPr="00840CA5">
              <w:rPr>
                <w:rFonts w:ascii="Sylfaen" w:hAnsi="Sylfaen" w:cs="Sylfaen"/>
                <w:sz w:val="24"/>
                <w:szCs w:val="24"/>
                <w:lang w:val="ka-GE"/>
              </w:rPr>
              <w:t>დარღვევები მხედველობის ორგანოს მხრივ</w:t>
            </w:r>
          </w:p>
        </w:tc>
        <w:tc>
          <w:tcPr>
            <w:tcW w:w="6660" w:type="dxa"/>
          </w:tcPr>
          <w:p w14:paraId="4A1AAFC5"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მხედველობის დაბინდვა, წვის/ჩხვლეტის შეგრძნება თვალებში, კონიუნქტივიტი, მხედველობის სიმახვილის დაქვეითება</w:t>
            </w:r>
          </w:p>
        </w:tc>
        <w:tc>
          <w:tcPr>
            <w:tcW w:w="1260" w:type="dxa"/>
          </w:tcPr>
          <w:p w14:paraId="7CD5F1B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2FD5B568" w14:textId="77777777" w:rsidTr="0039482E">
        <w:tc>
          <w:tcPr>
            <w:tcW w:w="2880" w:type="dxa"/>
            <w:vMerge w:val="restart"/>
          </w:tcPr>
          <w:p w14:paraId="50E4EF97" w14:textId="77777777" w:rsidR="00660680" w:rsidRPr="00840CA5" w:rsidRDefault="00660680" w:rsidP="007050C7">
            <w:pPr>
              <w:ind w:right="-15"/>
              <w:jc w:val="both"/>
              <w:rPr>
                <w:rFonts w:ascii="Sylfaen" w:hAnsi="Sylfaen" w:cs="Sylfaen"/>
                <w:sz w:val="24"/>
                <w:szCs w:val="24"/>
                <w:lang w:val="ka-GE"/>
              </w:rPr>
            </w:pPr>
            <w:r w:rsidRPr="00840CA5">
              <w:rPr>
                <w:rFonts w:ascii="Sylfaen" w:hAnsi="Sylfaen" w:cs="Sylfaen"/>
                <w:sz w:val="24"/>
                <w:szCs w:val="24"/>
                <w:lang w:val="ka-GE"/>
              </w:rPr>
              <w:t>დარღვევები კუჭ-ნაწლავის ტრაქტის მხრივ</w:t>
            </w:r>
          </w:p>
        </w:tc>
        <w:tc>
          <w:tcPr>
            <w:tcW w:w="6660" w:type="dxa"/>
          </w:tcPr>
          <w:p w14:paraId="79C845A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ტკივილი მუცლის არეში, გულისრევა, დიარეა, დისპეფსია</w:t>
            </w:r>
          </w:p>
        </w:tc>
        <w:tc>
          <w:tcPr>
            <w:tcW w:w="1260" w:type="dxa"/>
          </w:tcPr>
          <w:p w14:paraId="1325E52D"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19F1C579" w14:textId="77777777" w:rsidTr="0039482E">
        <w:tc>
          <w:tcPr>
            <w:tcW w:w="2880" w:type="dxa"/>
            <w:vMerge/>
          </w:tcPr>
          <w:p w14:paraId="349D2A41" w14:textId="77777777" w:rsidR="00660680" w:rsidRPr="00840CA5" w:rsidRDefault="00660680" w:rsidP="007050C7">
            <w:pPr>
              <w:ind w:right="-15"/>
              <w:jc w:val="both"/>
              <w:rPr>
                <w:rFonts w:ascii="Sylfaen" w:hAnsi="Sylfaen" w:cs="Sylfaen"/>
                <w:sz w:val="24"/>
                <w:szCs w:val="24"/>
                <w:lang w:val="ka-GE"/>
              </w:rPr>
            </w:pPr>
          </w:p>
        </w:tc>
        <w:tc>
          <w:tcPr>
            <w:tcW w:w="6660" w:type="dxa"/>
          </w:tcPr>
          <w:p w14:paraId="0C6AC06E"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ყაბზობა, კბილის ტკივილი, პირის სიმშრალე, მეტეორიზმი, გასტრიტი, ღებინება, ძლიერი ყაბზობა</w:t>
            </w:r>
          </w:p>
        </w:tc>
        <w:tc>
          <w:tcPr>
            <w:tcW w:w="1260" w:type="dxa"/>
          </w:tcPr>
          <w:p w14:paraId="7664F40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A73E0EF" w14:textId="77777777" w:rsidTr="0039482E">
        <w:tc>
          <w:tcPr>
            <w:tcW w:w="2880" w:type="dxa"/>
            <w:vMerge/>
          </w:tcPr>
          <w:p w14:paraId="6B317737" w14:textId="77777777" w:rsidR="00660680" w:rsidRPr="00840CA5" w:rsidRDefault="00660680" w:rsidP="007050C7">
            <w:pPr>
              <w:ind w:right="-15"/>
              <w:jc w:val="both"/>
              <w:rPr>
                <w:rFonts w:ascii="Sylfaen" w:hAnsi="Sylfaen" w:cs="Sylfaen"/>
                <w:sz w:val="24"/>
                <w:szCs w:val="24"/>
                <w:lang w:val="ka-GE"/>
              </w:rPr>
            </w:pPr>
          </w:p>
        </w:tc>
        <w:tc>
          <w:tcPr>
            <w:tcW w:w="6660" w:type="dxa"/>
          </w:tcPr>
          <w:p w14:paraId="63B7650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პანკრეატიტი</w:t>
            </w:r>
          </w:p>
        </w:tc>
        <w:tc>
          <w:tcPr>
            <w:tcW w:w="1260" w:type="dxa"/>
          </w:tcPr>
          <w:p w14:paraId="0DAB94B0"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209DAA1A" w14:textId="77777777" w:rsidTr="0039482E">
        <w:tc>
          <w:tcPr>
            <w:tcW w:w="2880" w:type="dxa"/>
            <w:vMerge/>
          </w:tcPr>
          <w:p w14:paraId="1A88DEC2" w14:textId="77777777" w:rsidR="00660680" w:rsidRPr="00840CA5" w:rsidRDefault="00660680" w:rsidP="007050C7">
            <w:pPr>
              <w:ind w:right="-16"/>
              <w:jc w:val="both"/>
              <w:rPr>
                <w:rFonts w:ascii="Sylfaen" w:hAnsi="Sylfaen" w:cs="Sylfaen"/>
                <w:sz w:val="24"/>
                <w:szCs w:val="24"/>
                <w:lang w:val="ka-GE"/>
              </w:rPr>
            </w:pPr>
          </w:p>
        </w:tc>
        <w:tc>
          <w:tcPr>
            <w:tcW w:w="6660" w:type="dxa"/>
          </w:tcPr>
          <w:p w14:paraId="0FD67938"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ნაწლავური ანგიონევროზული შეშუპება</w:t>
            </w:r>
          </w:p>
        </w:tc>
        <w:tc>
          <w:tcPr>
            <w:tcW w:w="1260" w:type="dxa"/>
          </w:tcPr>
          <w:p w14:paraId="31F50A6C"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იშვიათი</w:t>
            </w:r>
          </w:p>
        </w:tc>
      </w:tr>
      <w:tr w:rsidR="00660680" w:rsidRPr="00840CA5" w14:paraId="0E96AE6A" w14:textId="77777777" w:rsidTr="0039482E">
        <w:tc>
          <w:tcPr>
            <w:tcW w:w="2880" w:type="dxa"/>
            <w:vMerge w:val="restart"/>
          </w:tcPr>
          <w:p w14:paraId="5B936B41"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ზოგადი დარღვევები და ადგილობრივი რეაქციები</w:t>
            </w:r>
          </w:p>
        </w:tc>
        <w:tc>
          <w:tcPr>
            <w:tcW w:w="6660" w:type="dxa"/>
          </w:tcPr>
          <w:p w14:paraId="41868537"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ასთენია, დაღლილობა, ტკივილი გულმკერდის არეში</w:t>
            </w:r>
          </w:p>
        </w:tc>
        <w:tc>
          <w:tcPr>
            <w:tcW w:w="1260" w:type="dxa"/>
          </w:tcPr>
          <w:p w14:paraId="60B15855"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036EB801" w14:textId="77777777" w:rsidTr="0039482E">
        <w:tc>
          <w:tcPr>
            <w:tcW w:w="2880" w:type="dxa"/>
            <w:vMerge/>
          </w:tcPr>
          <w:p w14:paraId="45ADE3D0" w14:textId="77777777" w:rsidR="00660680" w:rsidRPr="00840CA5" w:rsidRDefault="00660680" w:rsidP="007050C7">
            <w:pPr>
              <w:ind w:right="-16"/>
              <w:jc w:val="both"/>
              <w:rPr>
                <w:rFonts w:ascii="Sylfaen" w:hAnsi="Sylfaen" w:cs="Sylfaen"/>
                <w:sz w:val="24"/>
                <w:szCs w:val="24"/>
                <w:lang w:val="ka-GE"/>
              </w:rPr>
            </w:pPr>
          </w:p>
        </w:tc>
        <w:tc>
          <w:tcPr>
            <w:tcW w:w="6660" w:type="dxa"/>
          </w:tcPr>
          <w:p w14:paraId="3B096B18"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სახის შეშუპება, შეშუპება, ცხელება</w:t>
            </w:r>
          </w:p>
        </w:tc>
        <w:tc>
          <w:tcPr>
            <w:tcW w:w="1260" w:type="dxa"/>
          </w:tcPr>
          <w:p w14:paraId="735E4AF6"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51361B08" w14:textId="77777777" w:rsidTr="0039482E">
        <w:tc>
          <w:tcPr>
            <w:tcW w:w="2880" w:type="dxa"/>
            <w:vMerge/>
          </w:tcPr>
          <w:p w14:paraId="4995C2EC" w14:textId="77777777" w:rsidR="00660680" w:rsidRPr="00840CA5" w:rsidRDefault="00660680" w:rsidP="007050C7">
            <w:pPr>
              <w:ind w:right="-16"/>
              <w:jc w:val="both"/>
              <w:rPr>
                <w:rFonts w:ascii="Sylfaen" w:hAnsi="Sylfaen" w:cs="Sylfaen"/>
                <w:sz w:val="24"/>
                <w:szCs w:val="24"/>
                <w:lang w:val="ka-GE"/>
              </w:rPr>
            </w:pPr>
          </w:p>
        </w:tc>
        <w:tc>
          <w:tcPr>
            <w:tcW w:w="6660" w:type="dxa"/>
          </w:tcPr>
          <w:p w14:paraId="1163B94B" w14:textId="77777777" w:rsidR="00660680" w:rsidRPr="00840CA5" w:rsidRDefault="00660680" w:rsidP="007050C7">
            <w:pPr>
              <w:ind w:right="-16"/>
              <w:jc w:val="both"/>
              <w:rPr>
                <w:rFonts w:ascii="Sylfaen" w:hAnsi="Sylfaen" w:cs="Sylfaen"/>
                <w:sz w:val="24"/>
                <w:szCs w:val="24"/>
              </w:rPr>
            </w:pPr>
            <w:r w:rsidRPr="00840CA5">
              <w:rPr>
                <w:rFonts w:ascii="Sylfaen" w:hAnsi="Sylfaen" w:cs="Sylfaen"/>
                <w:sz w:val="24"/>
                <w:szCs w:val="24"/>
                <w:lang w:val="ka-GE"/>
              </w:rPr>
              <w:t>გრიპის მსგავსი სიმპტომები, სისუსტე</w:t>
            </w:r>
          </w:p>
        </w:tc>
        <w:tc>
          <w:tcPr>
            <w:tcW w:w="1260" w:type="dxa"/>
          </w:tcPr>
          <w:p w14:paraId="39C838C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498F1F83" w14:textId="77777777" w:rsidTr="0039482E">
        <w:tc>
          <w:tcPr>
            <w:tcW w:w="2880" w:type="dxa"/>
          </w:tcPr>
          <w:p w14:paraId="23B7D05C"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ჰეპატობილიარული დარღვევები</w:t>
            </w:r>
          </w:p>
        </w:tc>
        <w:tc>
          <w:tcPr>
            <w:tcW w:w="6660" w:type="dxa"/>
          </w:tcPr>
          <w:p w14:paraId="5DC113B7"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ღვიძლის ფუნქციის დარღვევები</w:t>
            </w:r>
          </w:p>
        </w:tc>
        <w:tc>
          <w:tcPr>
            <w:tcW w:w="1260" w:type="dxa"/>
          </w:tcPr>
          <w:p w14:paraId="531E3975"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6A0678C3" w14:textId="77777777" w:rsidTr="0039482E">
        <w:tc>
          <w:tcPr>
            <w:tcW w:w="2880" w:type="dxa"/>
          </w:tcPr>
          <w:p w14:paraId="12B8AE8C"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იმუნური სისტემის დარღვევები</w:t>
            </w:r>
          </w:p>
        </w:tc>
        <w:tc>
          <w:tcPr>
            <w:tcW w:w="6660" w:type="dxa"/>
          </w:tcPr>
          <w:p w14:paraId="520CEF0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 xml:space="preserve">მომატებული მგრძნობელობა: ანაფილაქსიური რეაქციები, ანგიონევროზული შეშუპება, მათ შორის ხორხისა და ყიის შეშუპება, რაც იწვევს სასუნთქი გზების ობსტრუქციას და /ან სახის, ტუჩების, ხახის და/ან ენის შეშუპებას; ზოგიერთ ასეთ პაციენტში ანგიონევროზული შეშუპება ადრე აღინიშნა სხვა მედიკამენტების, მათ შორის აგფ ინჰიბიტორების მიღებისას; </w:t>
            </w:r>
          </w:p>
        </w:tc>
        <w:tc>
          <w:tcPr>
            <w:tcW w:w="1260" w:type="dxa"/>
          </w:tcPr>
          <w:p w14:paraId="553B966B"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იშვიათი</w:t>
            </w:r>
          </w:p>
        </w:tc>
      </w:tr>
      <w:tr w:rsidR="00660680" w:rsidRPr="00840CA5" w14:paraId="11E08ABC" w14:textId="77777777" w:rsidTr="0039482E">
        <w:tc>
          <w:tcPr>
            <w:tcW w:w="2880" w:type="dxa"/>
          </w:tcPr>
          <w:p w14:paraId="1553AE47"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მეტაბოლური და კვებითი დარღვევები</w:t>
            </w:r>
          </w:p>
        </w:tc>
        <w:tc>
          <w:tcPr>
            <w:tcW w:w="6660" w:type="dxa"/>
          </w:tcPr>
          <w:p w14:paraId="4651A0A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ანორექსია, პოდაგრა</w:t>
            </w:r>
          </w:p>
        </w:tc>
        <w:tc>
          <w:tcPr>
            <w:tcW w:w="1260" w:type="dxa"/>
          </w:tcPr>
          <w:p w14:paraId="448DE03E"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336F0BBB" w14:textId="77777777" w:rsidTr="0039482E">
        <w:tc>
          <w:tcPr>
            <w:tcW w:w="2880" w:type="dxa"/>
            <w:vMerge w:val="restart"/>
          </w:tcPr>
          <w:p w14:paraId="6E370A7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 xml:space="preserve">ძვალ-კუნთოვანი </w:t>
            </w:r>
            <w:r w:rsidRPr="00840CA5">
              <w:rPr>
                <w:rFonts w:ascii="Sylfaen" w:hAnsi="Sylfaen" w:cs="Sylfaen"/>
                <w:sz w:val="24"/>
                <w:szCs w:val="24"/>
                <w:lang w:val="ka-GE"/>
              </w:rPr>
              <w:lastRenderedPageBreak/>
              <w:t>დარღვევები და დარღვევები შემაერთებელი ქსოვილის მხრივ</w:t>
            </w:r>
          </w:p>
        </w:tc>
        <w:tc>
          <w:tcPr>
            <w:tcW w:w="6660" w:type="dxa"/>
          </w:tcPr>
          <w:p w14:paraId="50994B99"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lastRenderedPageBreak/>
              <w:t xml:space="preserve">კუნთების სპაზმი, ზურგის ტკივილი, ფეხის ტკივილი, </w:t>
            </w:r>
            <w:r w:rsidRPr="00840CA5">
              <w:rPr>
                <w:rFonts w:ascii="Sylfaen" w:hAnsi="Sylfaen" w:cs="Sylfaen"/>
                <w:sz w:val="24"/>
                <w:szCs w:val="24"/>
                <w:lang w:val="ka-GE"/>
              </w:rPr>
              <w:lastRenderedPageBreak/>
              <w:t>მიალგია</w:t>
            </w:r>
          </w:p>
        </w:tc>
        <w:tc>
          <w:tcPr>
            <w:tcW w:w="1260" w:type="dxa"/>
          </w:tcPr>
          <w:p w14:paraId="23F61ACE"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lastRenderedPageBreak/>
              <w:t>ხშირი</w:t>
            </w:r>
          </w:p>
        </w:tc>
      </w:tr>
      <w:tr w:rsidR="00660680" w:rsidRPr="00840CA5" w14:paraId="0AE64D8B" w14:textId="77777777" w:rsidTr="0039482E">
        <w:tc>
          <w:tcPr>
            <w:tcW w:w="2880" w:type="dxa"/>
            <w:vMerge/>
          </w:tcPr>
          <w:p w14:paraId="4621D5EE" w14:textId="77777777" w:rsidR="00660680" w:rsidRPr="00840CA5" w:rsidRDefault="00660680" w:rsidP="007050C7">
            <w:pPr>
              <w:ind w:right="-16"/>
              <w:jc w:val="both"/>
              <w:rPr>
                <w:rFonts w:ascii="Sylfaen" w:hAnsi="Sylfaen" w:cs="Sylfaen"/>
                <w:sz w:val="24"/>
                <w:szCs w:val="24"/>
                <w:lang w:val="ka-GE"/>
              </w:rPr>
            </w:pPr>
          </w:p>
        </w:tc>
        <w:tc>
          <w:tcPr>
            <w:tcW w:w="6660" w:type="dxa"/>
          </w:tcPr>
          <w:p w14:paraId="1B18F2D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მკლავის ტკივილი, სახსრების შეშუპება, მუხლის ტკივილი, ძვალ-კუნთოვანი ტკივილი, მხრების ტკივილი, რიგიდულობა, ართრალგია, ართრიტი, კოქსალგია, ფიბრომიალგია, კუნთების სისუსტე</w:t>
            </w:r>
          </w:p>
        </w:tc>
        <w:tc>
          <w:tcPr>
            <w:tcW w:w="1260" w:type="dxa"/>
          </w:tcPr>
          <w:p w14:paraId="2729D53D"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E3CD8CD" w14:textId="77777777" w:rsidTr="0039482E">
        <w:tc>
          <w:tcPr>
            <w:tcW w:w="2880" w:type="dxa"/>
            <w:vMerge/>
          </w:tcPr>
          <w:p w14:paraId="403992CE" w14:textId="77777777" w:rsidR="00660680" w:rsidRPr="00840CA5" w:rsidRDefault="00660680" w:rsidP="007050C7">
            <w:pPr>
              <w:ind w:right="-16"/>
              <w:jc w:val="both"/>
              <w:rPr>
                <w:rFonts w:ascii="Sylfaen" w:hAnsi="Sylfaen" w:cs="Sylfaen"/>
                <w:sz w:val="24"/>
                <w:szCs w:val="24"/>
                <w:lang w:val="ka-GE"/>
              </w:rPr>
            </w:pPr>
          </w:p>
        </w:tc>
        <w:tc>
          <w:tcPr>
            <w:tcW w:w="6660" w:type="dxa"/>
          </w:tcPr>
          <w:p w14:paraId="7BC1C359"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რაბდომიოლიზი</w:t>
            </w:r>
          </w:p>
        </w:tc>
        <w:tc>
          <w:tcPr>
            <w:tcW w:w="1260" w:type="dxa"/>
          </w:tcPr>
          <w:p w14:paraId="5370175B"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0A2833E7" w14:textId="77777777" w:rsidTr="0039482E">
        <w:tc>
          <w:tcPr>
            <w:tcW w:w="2880" w:type="dxa"/>
            <w:vMerge w:val="restart"/>
          </w:tcPr>
          <w:p w14:paraId="4F55E2A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ნერვული სისტემის დარღვევები</w:t>
            </w:r>
          </w:p>
        </w:tc>
        <w:tc>
          <w:tcPr>
            <w:tcW w:w="6660" w:type="dxa"/>
          </w:tcPr>
          <w:p w14:paraId="2CE5D52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თავის ტკივილი, თავბრუსხვევა</w:t>
            </w:r>
          </w:p>
        </w:tc>
        <w:tc>
          <w:tcPr>
            <w:tcW w:w="1260" w:type="dxa"/>
          </w:tcPr>
          <w:p w14:paraId="082EE587"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45C961A6" w14:textId="77777777" w:rsidTr="0039482E">
        <w:tc>
          <w:tcPr>
            <w:tcW w:w="2880" w:type="dxa"/>
            <w:vMerge/>
          </w:tcPr>
          <w:p w14:paraId="435BDFD0" w14:textId="77777777" w:rsidR="00660680" w:rsidRPr="00840CA5" w:rsidRDefault="00660680" w:rsidP="007050C7">
            <w:pPr>
              <w:ind w:right="-16"/>
              <w:jc w:val="both"/>
              <w:rPr>
                <w:rFonts w:ascii="Sylfaen" w:hAnsi="Sylfaen" w:cs="Sylfaen"/>
                <w:sz w:val="24"/>
                <w:szCs w:val="24"/>
                <w:lang w:val="ka-GE"/>
              </w:rPr>
            </w:pPr>
          </w:p>
        </w:tc>
        <w:tc>
          <w:tcPr>
            <w:tcW w:w="6660" w:type="dxa"/>
          </w:tcPr>
          <w:p w14:paraId="36A5FF90"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ნერვოზულობა, პარესთეზია, პერიფერიული ნეიროპათია, ტრემორი, შაკიკი, სინკოპე</w:t>
            </w:r>
          </w:p>
        </w:tc>
        <w:tc>
          <w:tcPr>
            <w:tcW w:w="1260" w:type="dxa"/>
          </w:tcPr>
          <w:p w14:paraId="1949F85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1ECFF815" w14:textId="77777777" w:rsidTr="0039482E">
        <w:tc>
          <w:tcPr>
            <w:tcW w:w="2880" w:type="dxa"/>
            <w:vMerge/>
          </w:tcPr>
          <w:p w14:paraId="59B3E5AF" w14:textId="77777777" w:rsidR="00660680" w:rsidRPr="00840CA5" w:rsidRDefault="00660680" w:rsidP="007050C7">
            <w:pPr>
              <w:ind w:right="-16"/>
              <w:jc w:val="both"/>
              <w:rPr>
                <w:rFonts w:ascii="Sylfaen" w:hAnsi="Sylfaen" w:cs="Sylfaen"/>
                <w:sz w:val="24"/>
                <w:szCs w:val="24"/>
                <w:lang w:val="ka-GE"/>
              </w:rPr>
            </w:pPr>
          </w:p>
        </w:tc>
        <w:tc>
          <w:tcPr>
            <w:tcW w:w="6660" w:type="dxa"/>
          </w:tcPr>
          <w:p w14:paraId="657F563F"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დისგევზია</w:t>
            </w:r>
          </w:p>
        </w:tc>
        <w:tc>
          <w:tcPr>
            <w:tcW w:w="1260" w:type="dxa"/>
          </w:tcPr>
          <w:p w14:paraId="611C8966"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6D337B5B" w14:textId="77777777" w:rsidTr="0039482E">
        <w:tc>
          <w:tcPr>
            <w:tcW w:w="2880" w:type="dxa"/>
            <w:vMerge w:val="restart"/>
          </w:tcPr>
          <w:p w14:paraId="2B6CF1EE"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ფსიქიკური დარღვევები</w:t>
            </w:r>
          </w:p>
        </w:tc>
        <w:tc>
          <w:tcPr>
            <w:tcW w:w="6660" w:type="dxa"/>
          </w:tcPr>
          <w:p w14:paraId="0D8A0910"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უძილობა</w:t>
            </w:r>
          </w:p>
        </w:tc>
        <w:tc>
          <w:tcPr>
            <w:tcW w:w="1260" w:type="dxa"/>
          </w:tcPr>
          <w:p w14:paraId="038A56E0"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7F036B6C" w14:textId="77777777" w:rsidTr="0039482E">
        <w:tc>
          <w:tcPr>
            <w:tcW w:w="2880" w:type="dxa"/>
            <w:vMerge/>
          </w:tcPr>
          <w:p w14:paraId="6B1043CC" w14:textId="77777777" w:rsidR="00660680" w:rsidRPr="00840CA5" w:rsidRDefault="00660680" w:rsidP="007050C7">
            <w:pPr>
              <w:ind w:right="-16"/>
              <w:jc w:val="both"/>
              <w:rPr>
                <w:rFonts w:ascii="Sylfaen" w:hAnsi="Sylfaen" w:cs="Sylfaen"/>
                <w:sz w:val="24"/>
                <w:szCs w:val="24"/>
                <w:lang w:val="ka-GE"/>
              </w:rPr>
            </w:pPr>
          </w:p>
        </w:tc>
        <w:tc>
          <w:tcPr>
            <w:tcW w:w="6660" w:type="dxa"/>
          </w:tcPr>
          <w:p w14:paraId="6A05DF1F"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შფოთვა, შფოთვითი აშლილობა, პანიკური აშლილობა, კონფუზია, დეპრესია, უჩვეულო სიზმრები, ძილის დარღვევა, ძილიანობა, მეხსიერების დაქვეითება</w:t>
            </w:r>
          </w:p>
        </w:tc>
        <w:tc>
          <w:tcPr>
            <w:tcW w:w="1260" w:type="dxa"/>
          </w:tcPr>
          <w:p w14:paraId="7E4D8565"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24C70942" w14:textId="77777777" w:rsidTr="0039482E">
        <w:tc>
          <w:tcPr>
            <w:tcW w:w="2880" w:type="dxa"/>
            <w:vMerge w:val="restart"/>
          </w:tcPr>
          <w:p w14:paraId="413D18A1"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დარღვევები თირკმლის და შარდგამომყოფი გზების მხრივ</w:t>
            </w:r>
          </w:p>
        </w:tc>
        <w:tc>
          <w:tcPr>
            <w:tcW w:w="6660" w:type="dxa"/>
          </w:tcPr>
          <w:p w14:paraId="5FE69ED8"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თირკმლის ფუნქციის დარღვევა, თირკმლის უკმარისობა</w:t>
            </w:r>
          </w:p>
        </w:tc>
        <w:tc>
          <w:tcPr>
            <w:tcW w:w="1260" w:type="dxa"/>
          </w:tcPr>
          <w:p w14:paraId="2D68B3D0"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0ECFA14C" w14:textId="77777777" w:rsidTr="0039482E">
        <w:tc>
          <w:tcPr>
            <w:tcW w:w="2880" w:type="dxa"/>
            <w:vMerge/>
          </w:tcPr>
          <w:p w14:paraId="02BAE287" w14:textId="77777777" w:rsidR="00660680" w:rsidRPr="00840CA5" w:rsidRDefault="00660680" w:rsidP="007050C7">
            <w:pPr>
              <w:ind w:right="-16"/>
              <w:jc w:val="both"/>
              <w:rPr>
                <w:rFonts w:ascii="Sylfaen" w:hAnsi="Sylfaen" w:cs="Sylfaen"/>
                <w:sz w:val="24"/>
                <w:szCs w:val="24"/>
                <w:lang w:val="ka-GE"/>
              </w:rPr>
            </w:pPr>
          </w:p>
        </w:tc>
        <w:tc>
          <w:tcPr>
            <w:tcW w:w="6660" w:type="dxa"/>
          </w:tcPr>
          <w:p w14:paraId="5690F55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ნოქტურია, შარდვის გახშირება, საშარდე გზების ინფექცია</w:t>
            </w:r>
          </w:p>
        </w:tc>
        <w:tc>
          <w:tcPr>
            <w:tcW w:w="1260" w:type="dxa"/>
          </w:tcPr>
          <w:p w14:paraId="1220C91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7EC3B48" w14:textId="77777777" w:rsidTr="0039482E">
        <w:tc>
          <w:tcPr>
            <w:tcW w:w="2880" w:type="dxa"/>
          </w:tcPr>
          <w:p w14:paraId="4E6B929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დარღვევები რეპროდუქციული სისტემის და სარძევე ჯირკვლის მხრივ</w:t>
            </w:r>
          </w:p>
        </w:tc>
        <w:tc>
          <w:tcPr>
            <w:tcW w:w="6660" w:type="dxa"/>
          </w:tcPr>
          <w:p w14:paraId="0FE36441"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ლიბიდოს დაქვეითება, ერექციული დისფუნქცია/ იმპოტენცია</w:t>
            </w:r>
          </w:p>
          <w:p w14:paraId="2189CA56" w14:textId="77777777" w:rsidR="00660680" w:rsidRPr="00840CA5" w:rsidRDefault="00660680" w:rsidP="007050C7">
            <w:pPr>
              <w:ind w:right="-16"/>
              <w:jc w:val="both"/>
              <w:rPr>
                <w:rFonts w:ascii="Sylfaen" w:hAnsi="Sylfaen" w:cs="Sylfaen"/>
                <w:sz w:val="24"/>
                <w:szCs w:val="24"/>
                <w:lang w:val="ka-GE"/>
              </w:rPr>
            </w:pPr>
          </w:p>
        </w:tc>
        <w:tc>
          <w:tcPr>
            <w:tcW w:w="1260" w:type="dxa"/>
          </w:tcPr>
          <w:p w14:paraId="3E240BF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4309824E" w14:textId="77777777" w:rsidTr="0039482E">
        <w:tc>
          <w:tcPr>
            <w:tcW w:w="2880" w:type="dxa"/>
            <w:vMerge w:val="restart"/>
          </w:tcPr>
          <w:p w14:paraId="0CAAFB3F"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დარღვევები სასუნთქი სისტემის, გულმკერდის ღრუს ორგანოებისა და შუასაყრის მხრივ</w:t>
            </w:r>
          </w:p>
        </w:tc>
        <w:tc>
          <w:tcPr>
            <w:tcW w:w="6660" w:type="dxa"/>
          </w:tcPr>
          <w:p w14:paraId="16755B4F"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ხველა, ზედა სასუნთქი გზების ინფექცია, ცხვირის დახშობა, სინუსიტი, სინუსური დარღვევები</w:t>
            </w:r>
          </w:p>
        </w:tc>
        <w:tc>
          <w:tcPr>
            <w:tcW w:w="1260" w:type="dxa"/>
          </w:tcPr>
          <w:p w14:paraId="2F3C9AC0"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12EC4CB4" w14:textId="77777777" w:rsidTr="0039482E">
        <w:tc>
          <w:tcPr>
            <w:tcW w:w="2880" w:type="dxa"/>
            <w:vMerge/>
          </w:tcPr>
          <w:p w14:paraId="5ED8B9E9" w14:textId="77777777" w:rsidR="00660680" w:rsidRPr="00840CA5" w:rsidRDefault="00660680" w:rsidP="007050C7">
            <w:pPr>
              <w:ind w:right="-16"/>
              <w:jc w:val="both"/>
              <w:rPr>
                <w:rFonts w:ascii="Sylfaen" w:hAnsi="Sylfaen" w:cs="Sylfaen"/>
                <w:sz w:val="24"/>
                <w:szCs w:val="24"/>
                <w:lang w:val="ka-GE"/>
              </w:rPr>
            </w:pPr>
          </w:p>
        </w:tc>
        <w:tc>
          <w:tcPr>
            <w:tcW w:w="6660" w:type="dxa"/>
          </w:tcPr>
          <w:p w14:paraId="3B60F5B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ფარინგეალური დისკომფორტი, ფარინგიტი, ლარინგიტი, დისპნოე, ბრონქიტი, ეპისტაქსია, რინიტი, სასუნთქი გზების დახშობა</w:t>
            </w:r>
          </w:p>
        </w:tc>
        <w:tc>
          <w:tcPr>
            <w:tcW w:w="1260" w:type="dxa"/>
          </w:tcPr>
          <w:p w14:paraId="11C02230"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265E9DA2" w14:textId="77777777" w:rsidTr="0039482E">
        <w:tc>
          <w:tcPr>
            <w:tcW w:w="2880" w:type="dxa"/>
          </w:tcPr>
          <w:p w14:paraId="0E4750E3"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დარღვევები კანის და კანქვეშა ქსოვილის მხრივ</w:t>
            </w:r>
          </w:p>
        </w:tc>
        <w:tc>
          <w:tcPr>
            <w:tcW w:w="6660" w:type="dxa"/>
          </w:tcPr>
          <w:p w14:paraId="60F6D07B"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ალოპეცია, დერმატიტი, კანის სიმშრალე, ერითემა, სიწითლე, ფოტომგრძნობელობა, ქავილი, გამონაყარი, ჭინჭრის ციება, ოფლიანობა</w:t>
            </w:r>
          </w:p>
        </w:tc>
        <w:tc>
          <w:tcPr>
            <w:tcW w:w="1260" w:type="dxa"/>
          </w:tcPr>
          <w:p w14:paraId="77A8EB7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651F4097" w14:textId="77777777" w:rsidTr="0039482E">
        <w:tc>
          <w:tcPr>
            <w:tcW w:w="2880" w:type="dxa"/>
            <w:vMerge w:val="restart"/>
          </w:tcPr>
          <w:p w14:paraId="16D22280"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დარღვევები სისხლძარღვების მხრივ</w:t>
            </w:r>
          </w:p>
        </w:tc>
        <w:tc>
          <w:tcPr>
            <w:tcW w:w="6660" w:type="dxa"/>
          </w:tcPr>
          <w:p w14:paraId="16824964"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ვასკულიტი</w:t>
            </w:r>
          </w:p>
        </w:tc>
        <w:tc>
          <w:tcPr>
            <w:tcW w:w="1260" w:type="dxa"/>
          </w:tcPr>
          <w:p w14:paraId="1F464058"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1FB01F20" w14:textId="77777777" w:rsidTr="0039482E">
        <w:tc>
          <w:tcPr>
            <w:tcW w:w="2880" w:type="dxa"/>
            <w:vMerge/>
          </w:tcPr>
          <w:p w14:paraId="7AFDCBC6" w14:textId="77777777" w:rsidR="00660680" w:rsidRPr="00840CA5" w:rsidRDefault="00660680" w:rsidP="007050C7">
            <w:pPr>
              <w:ind w:right="-16"/>
              <w:jc w:val="both"/>
              <w:rPr>
                <w:rFonts w:ascii="Sylfaen" w:hAnsi="Sylfaen" w:cs="Sylfaen"/>
                <w:sz w:val="24"/>
                <w:szCs w:val="24"/>
                <w:lang w:val="ka-GE"/>
              </w:rPr>
            </w:pPr>
          </w:p>
        </w:tc>
        <w:tc>
          <w:tcPr>
            <w:tcW w:w="6660" w:type="dxa"/>
          </w:tcPr>
          <w:p w14:paraId="757F72D9"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დოზასთან დაკავშირებული ორთოსტატიკური ეფექტები</w:t>
            </w:r>
          </w:p>
        </w:tc>
        <w:tc>
          <w:tcPr>
            <w:tcW w:w="1260" w:type="dxa"/>
          </w:tcPr>
          <w:p w14:paraId="3565DBDB"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09C0CBA9" w14:textId="77777777" w:rsidTr="0039482E">
        <w:tc>
          <w:tcPr>
            <w:tcW w:w="2880" w:type="dxa"/>
            <w:vMerge w:val="restart"/>
          </w:tcPr>
          <w:p w14:paraId="42A6DBC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კვლევები</w:t>
            </w:r>
          </w:p>
        </w:tc>
        <w:tc>
          <w:tcPr>
            <w:tcW w:w="6660" w:type="dxa"/>
          </w:tcPr>
          <w:p w14:paraId="164B24C3"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ჰიპერკალემია, ჰემატოკრიტისა და ჰემოგლობინის უმნიშნველო შემცირება, ჰიპოგლიკემია</w:t>
            </w:r>
          </w:p>
        </w:tc>
        <w:tc>
          <w:tcPr>
            <w:tcW w:w="1260" w:type="dxa"/>
          </w:tcPr>
          <w:p w14:paraId="5BCE05C9"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1084D02B" w14:textId="77777777" w:rsidTr="0039482E">
        <w:tc>
          <w:tcPr>
            <w:tcW w:w="2880" w:type="dxa"/>
            <w:vMerge/>
          </w:tcPr>
          <w:p w14:paraId="4451CB7D" w14:textId="77777777" w:rsidR="00660680" w:rsidRPr="00840CA5" w:rsidRDefault="00660680" w:rsidP="007050C7">
            <w:pPr>
              <w:ind w:right="-16"/>
              <w:jc w:val="both"/>
              <w:rPr>
                <w:rFonts w:ascii="Sylfaen" w:hAnsi="Sylfaen" w:cs="Sylfaen"/>
                <w:sz w:val="24"/>
                <w:szCs w:val="24"/>
                <w:lang w:val="ka-GE"/>
              </w:rPr>
            </w:pPr>
          </w:p>
        </w:tc>
        <w:tc>
          <w:tcPr>
            <w:tcW w:w="6660" w:type="dxa"/>
          </w:tcPr>
          <w:p w14:paraId="10F863F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შარდოვანას და შრატისმიერი  კრეატინინის დონის უმნიშნველო მომატება</w:t>
            </w:r>
          </w:p>
        </w:tc>
        <w:tc>
          <w:tcPr>
            <w:tcW w:w="1260" w:type="dxa"/>
          </w:tcPr>
          <w:p w14:paraId="242091C4"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54CCE2EE" w14:textId="77777777" w:rsidTr="0039482E">
        <w:tc>
          <w:tcPr>
            <w:tcW w:w="2880" w:type="dxa"/>
            <w:vMerge/>
          </w:tcPr>
          <w:p w14:paraId="5232AB6E" w14:textId="77777777" w:rsidR="00660680" w:rsidRPr="00840CA5" w:rsidRDefault="00660680" w:rsidP="007050C7">
            <w:pPr>
              <w:ind w:right="-16"/>
              <w:jc w:val="both"/>
              <w:rPr>
                <w:rFonts w:ascii="Sylfaen" w:hAnsi="Sylfaen" w:cs="Sylfaen"/>
                <w:sz w:val="24"/>
                <w:szCs w:val="24"/>
                <w:lang w:val="ka-GE"/>
              </w:rPr>
            </w:pPr>
          </w:p>
        </w:tc>
        <w:tc>
          <w:tcPr>
            <w:tcW w:w="6660" w:type="dxa"/>
          </w:tcPr>
          <w:p w14:paraId="7CE7826F"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ღვიძლის ფერმენტების და ბილირუბინის დონის მომატება</w:t>
            </w:r>
          </w:p>
        </w:tc>
        <w:tc>
          <w:tcPr>
            <w:tcW w:w="1260" w:type="dxa"/>
          </w:tcPr>
          <w:p w14:paraId="5883D69B"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ძალიან იშვიათი</w:t>
            </w:r>
          </w:p>
        </w:tc>
      </w:tr>
      <w:tr w:rsidR="00660680" w:rsidRPr="00840CA5" w14:paraId="78959C60" w14:textId="77777777" w:rsidTr="0039482E">
        <w:tc>
          <w:tcPr>
            <w:tcW w:w="2880" w:type="dxa"/>
            <w:vMerge/>
          </w:tcPr>
          <w:p w14:paraId="532AB082" w14:textId="77777777" w:rsidR="00660680" w:rsidRPr="00840CA5" w:rsidRDefault="00660680" w:rsidP="007050C7">
            <w:pPr>
              <w:ind w:right="-16"/>
              <w:jc w:val="both"/>
              <w:rPr>
                <w:rFonts w:ascii="Sylfaen" w:hAnsi="Sylfaen" w:cs="Sylfaen"/>
                <w:sz w:val="24"/>
                <w:szCs w:val="24"/>
                <w:lang w:val="ka-GE"/>
              </w:rPr>
            </w:pPr>
          </w:p>
        </w:tc>
        <w:tc>
          <w:tcPr>
            <w:tcW w:w="6660" w:type="dxa"/>
          </w:tcPr>
          <w:p w14:paraId="27C24238"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ჰიპონატრიემია</w:t>
            </w:r>
          </w:p>
        </w:tc>
        <w:tc>
          <w:tcPr>
            <w:tcW w:w="1260" w:type="dxa"/>
          </w:tcPr>
          <w:p w14:paraId="627333C3"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bl>
    <w:p w14:paraId="1E9CF53B" w14:textId="77777777" w:rsidR="00660680" w:rsidRPr="00840CA5" w:rsidRDefault="00660680" w:rsidP="007050C7">
      <w:pPr>
        <w:spacing w:after="0" w:line="240" w:lineRule="auto"/>
        <w:ind w:left="-990" w:right="-211"/>
        <w:jc w:val="both"/>
        <w:rPr>
          <w:rFonts w:ascii="Sylfaen" w:hAnsi="Sylfaen" w:cs="Sylfaen"/>
          <w:sz w:val="24"/>
          <w:szCs w:val="24"/>
          <w:lang w:val="ka-GE"/>
        </w:rPr>
      </w:pPr>
    </w:p>
    <w:p w14:paraId="067890B5" w14:textId="77777777" w:rsidR="00660680" w:rsidRPr="00840CA5" w:rsidRDefault="00660680" w:rsidP="007050C7">
      <w:pPr>
        <w:spacing w:after="0" w:line="240" w:lineRule="auto"/>
        <w:ind w:left="-990" w:right="-211"/>
        <w:jc w:val="both"/>
        <w:rPr>
          <w:rFonts w:ascii="Sylfaen" w:hAnsi="Sylfaen" w:cs="Sylfaen"/>
          <w:b/>
          <w:sz w:val="24"/>
          <w:szCs w:val="24"/>
          <w:lang w:val="ka-GE"/>
        </w:rPr>
      </w:pPr>
      <w:r w:rsidRPr="00840CA5">
        <w:rPr>
          <w:rFonts w:ascii="Sylfaen" w:hAnsi="Sylfaen" w:cs="Sylfaen"/>
          <w:b/>
          <w:sz w:val="24"/>
          <w:szCs w:val="24"/>
          <w:lang w:val="ka-GE"/>
        </w:rPr>
        <w:t>ჰიდროქლოროთიაზიდი</w:t>
      </w:r>
    </w:p>
    <w:tbl>
      <w:tblPr>
        <w:tblStyle w:val="TableGrid"/>
        <w:tblW w:w="10800" w:type="dxa"/>
        <w:tblInd w:w="-792" w:type="dxa"/>
        <w:tblLook w:val="04A0" w:firstRow="1" w:lastRow="0" w:firstColumn="1" w:lastColumn="0" w:noHBand="0" w:noVBand="1"/>
      </w:tblPr>
      <w:tblGrid>
        <w:gridCol w:w="2880"/>
        <w:gridCol w:w="6660"/>
        <w:gridCol w:w="1260"/>
      </w:tblGrid>
      <w:tr w:rsidR="00660680" w:rsidRPr="00840CA5" w14:paraId="5ADF1E89" w14:textId="77777777" w:rsidTr="0039482E">
        <w:tc>
          <w:tcPr>
            <w:tcW w:w="2880" w:type="dxa"/>
          </w:tcPr>
          <w:p w14:paraId="5A54330A"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ორგანოთა სისტემა</w:t>
            </w:r>
          </w:p>
        </w:tc>
        <w:tc>
          <w:tcPr>
            <w:tcW w:w="6660" w:type="dxa"/>
          </w:tcPr>
          <w:p w14:paraId="6B36E4D1"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გვერდითი მოვლენები</w:t>
            </w:r>
          </w:p>
        </w:tc>
        <w:tc>
          <w:tcPr>
            <w:tcW w:w="1260" w:type="dxa"/>
          </w:tcPr>
          <w:p w14:paraId="33F50C21" w14:textId="77777777" w:rsidR="00660680" w:rsidRPr="00840CA5" w:rsidRDefault="00660680" w:rsidP="007050C7">
            <w:pPr>
              <w:ind w:right="-211"/>
              <w:jc w:val="both"/>
              <w:rPr>
                <w:rFonts w:ascii="Sylfaen" w:hAnsi="Sylfaen" w:cs="Sylfaen"/>
                <w:b/>
                <w:sz w:val="24"/>
                <w:szCs w:val="24"/>
                <w:lang w:val="ka-GE"/>
              </w:rPr>
            </w:pPr>
            <w:r w:rsidRPr="00840CA5">
              <w:rPr>
                <w:rFonts w:ascii="Sylfaen" w:hAnsi="Sylfaen" w:cs="Sylfaen"/>
                <w:b/>
                <w:sz w:val="24"/>
                <w:szCs w:val="24"/>
                <w:lang w:val="ka-GE"/>
              </w:rPr>
              <w:t>სიხშირე</w:t>
            </w:r>
          </w:p>
        </w:tc>
      </w:tr>
      <w:tr w:rsidR="00660680" w:rsidRPr="00840CA5" w14:paraId="2821CD06" w14:textId="77777777" w:rsidTr="0039482E">
        <w:tc>
          <w:tcPr>
            <w:tcW w:w="2880" w:type="dxa"/>
          </w:tcPr>
          <w:p w14:paraId="3CA351B9"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 xml:space="preserve">კეთილთვისებიანი, ავთვისებიანი და დაუდგენელი ახალწარმონაქმნები </w:t>
            </w:r>
            <w:r w:rsidRPr="00840CA5">
              <w:rPr>
                <w:rFonts w:ascii="Sylfaen" w:hAnsi="Sylfaen" w:cs="Sylfaen"/>
                <w:sz w:val="24"/>
                <w:szCs w:val="24"/>
                <w:lang w:val="ka-GE"/>
              </w:rPr>
              <w:lastRenderedPageBreak/>
              <w:t>(მათ შორის კისტები და პოლიპები)</w:t>
            </w:r>
          </w:p>
        </w:tc>
        <w:tc>
          <w:tcPr>
            <w:tcW w:w="6660" w:type="dxa"/>
          </w:tcPr>
          <w:p w14:paraId="60830BE2"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lastRenderedPageBreak/>
              <w:t>არამელანომური კანის კიბო (ბაზალურუჯრედოვანი კარცინომა და ბრტყელუჯრედოვანი კარცინომა)</w:t>
            </w:r>
          </w:p>
        </w:tc>
        <w:tc>
          <w:tcPr>
            <w:tcW w:w="1260" w:type="dxa"/>
          </w:tcPr>
          <w:p w14:paraId="1E6BC99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775F9C3D" w14:textId="77777777" w:rsidTr="0039482E">
        <w:tc>
          <w:tcPr>
            <w:tcW w:w="2880" w:type="dxa"/>
          </w:tcPr>
          <w:p w14:paraId="33C31BDF"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სისხლისა და ლიმფური სისტემის დარღვევები</w:t>
            </w:r>
          </w:p>
        </w:tc>
        <w:tc>
          <w:tcPr>
            <w:tcW w:w="6660" w:type="dxa"/>
          </w:tcPr>
          <w:p w14:paraId="5F1118CB"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აგრანულოციტოზი, აპლასტიური ანემია, ჰემოლიზური ანემია, ლეიკოპენია, პურპურა, თრომბოციტოპენია</w:t>
            </w:r>
          </w:p>
          <w:p w14:paraId="2DF11B55" w14:textId="77777777" w:rsidR="00660680" w:rsidRPr="00840CA5" w:rsidRDefault="00660680" w:rsidP="007050C7">
            <w:pPr>
              <w:ind w:right="-16"/>
              <w:jc w:val="both"/>
              <w:rPr>
                <w:rFonts w:ascii="Sylfaen" w:hAnsi="Sylfaen" w:cs="Sylfaen"/>
                <w:sz w:val="24"/>
                <w:szCs w:val="24"/>
                <w:lang w:val="ka-GE"/>
              </w:rPr>
            </w:pPr>
          </w:p>
        </w:tc>
        <w:tc>
          <w:tcPr>
            <w:tcW w:w="1260" w:type="dxa"/>
          </w:tcPr>
          <w:p w14:paraId="15B261D3"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AC8131C" w14:textId="77777777" w:rsidTr="0039482E">
        <w:tc>
          <w:tcPr>
            <w:tcW w:w="2880" w:type="dxa"/>
          </w:tcPr>
          <w:p w14:paraId="29F9C008"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იმუნური სისტემის დარღვევები</w:t>
            </w:r>
          </w:p>
        </w:tc>
        <w:tc>
          <w:tcPr>
            <w:tcW w:w="6660" w:type="dxa"/>
          </w:tcPr>
          <w:p w14:paraId="6D48ADB9"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ანაფილაქსიური რეაქცია</w:t>
            </w:r>
          </w:p>
        </w:tc>
        <w:tc>
          <w:tcPr>
            <w:tcW w:w="1260" w:type="dxa"/>
          </w:tcPr>
          <w:p w14:paraId="183D829A"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იშვიათი</w:t>
            </w:r>
          </w:p>
        </w:tc>
      </w:tr>
      <w:tr w:rsidR="00660680" w:rsidRPr="00840CA5" w14:paraId="05F676F5" w14:textId="77777777" w:rsidTr="0039482E">
        <w:tc>
          <w:tcPr>
            <w:tcW w:w="2880" w:type="dxa"/>
          </w:tcPr>
          <w:p w14:paraId="3891BF63"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მეტაბოლური და კვებითი დარღვევები</w:t>
            </w:r>
          </w:p>
        </w:tc>
        <w:tc>
          <w:tcPr>
            <w:tcW w:w="6660" w:type="dxa"/>
          </w:tcPr>
          <w:p w14:paraId="4A6804DE"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ანორექსია, ჰიპერგლიკემია, ჰიპერურიკემია, ჰიპოკალემია, ჰიპონატრიემია</w:t>
            </w:r>
          </w:p>
        </w:tc>
        <w:tc>
          <w:tcPr>
            <w:tcW w:w="1260" w:type="dxa"/>
          </w:tcPr>
          <w:p w14:paraId="138F929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7F36A1A1" w14:textId="77777777" w:rsidTr="0039482E">
        <w:tc>
          <w:tcPr>
            <w:tcW w:w="2880" w:type="dxa"/>
          </w:tcPr>
          <w:p w14:paraId="5B3E43E8"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ფსიქიკური დარღვევები</w:t>
            </w:r>
          </w:p>
        </w:tc>
        <w:tc>
          <w:tcPr>
            <w:tcW w:w="6660" w:type="dxa"/>
          </w:tcPr>
          <w:p w14:paraId="7EC0103E"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უძილობა</w:t>
            </w:r>
          </w:p>
        </w:tc>
        <w:tc>
          <w:tcPr>
            <w:tcW w:w="1260" w:type="dxa"/>
          </w:tcPr>
          <w:p w14:paraId="293C091F"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1BDD6A69" w14:textId="77777777" w:rsidTr="0039482E">
        <w:tc>
          <w:tcPr>
            <w:tcW w:w="2880" w:type="dxa"/>
          </w:tcPr>
          <w:p w14:paraId="6DE3A69B"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ნერვული სისტემის დარღვევები</w:t>
            </w:r>
          </w:p>
        </w:tc>
        <w:tc>
          <w:tcPr>
            <w:tcW w:w="6660" w:type="dxa"/>
          </w:tcPr>
          <w:p w14:paraId="517B71BB"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ცეფალგია</w:t>
            </w:r>
          </w:p>
          <w:p w14:paraId="07C702A8" w14:textId="77777777" w:rsidR="00660680" w:rsidRPr="00840CA5" w:rsidRDefault="00660680" w:rsidP="007050C7">
            <w:pPr>
              <w:ind w:right="-16"/>
              <w:jc w:val="both"/>
              <w:rPr>
                <w:rFonts w:ascii="Sylfaen" w:hAnsi="Sylfaen" w:cs="Sylfaen"/>
                <w:sz w:val="24"/>
                <w:szCs w:val="24"/>
                <w:lang w:val="ka-GE"/>
              </w:rPr>
            </w:pPr>
          </w:p>
        </w:tc>
        <w:tc>
          <w:tcPr>
            <w:tcW w:w="1260" w:type="dxa"/>
          </w:tcPr>
          <w:p w14:paraId="78BD93D6"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ხშირი</w:t>
            </w:r>
          </w:p>
        </w:tc>
      </w:tr>
      <w:tr w:rsidR="00660680" w:rsidRPr="00840CA5" w14:paraId="407684E3" w14:textId="77777777" w:rsidTr="0039482E">
        <w:tc>
          <w:tcPr>
            <w:tcW w:w="2880" w:type="dxa"/>
            <w:vMerge w:val="restart"/>
          </w:tcPr>
          <w:p w14:paraId="184806C1"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დარღვევები მხედველობის ორგანოს მხრივ</w:t>
            </w:r>
          </w:p>
        </w:tc>
        <w:tc>
          <w:tcPr>
            <w:tcW w:w="6660" w:type="dxa"/>
          </w:tcPr>
          <w:p w14:paraId="1E37CDF7"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მხედველობის გარდამავალი დაბინდვა, ქსანტოფსია</w:t>
            </w:r>
          </w:p>
        </w:tc>
        <w:tc>
          <w:tcPr>
            <w:tcW w:w="1260" w:type="dxa"/>
          </w:tcPr>
          <w:p w14:paraId="5DE54AE1"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12B8CC5" w14:textId="77777777" w:rsidTr="0039482E">
        <w:tc>
          <w:tcPr>
            <w:tcW w:w="2880" w:type="dxa"/>
            <w:vMerge/>
          </w:tcPr>
          <w:p w14:paraId="1DD4C891" w14:textId="77777777" w:rsidR="00660680" w:rsidRPr="00840CA5" w:rsidRDefault="00660680" w:rsidP="007050C7">
            <w:pPr>
              <w:ind w:right="-14"/>
              <w:jc w:val="both"/>
              <w:rPr>
                <w:rFonts w:ascii="Sylfaen" w:hAnsi="Sylfaen" w:cs="Sylfaen"/>
                <w:sz w:val="24"/>
                <w:szCs w:val="24"/>
                <w:lang w:val="ka-GE"/>
              </w:rPr>
            </w:pPr>
          </w:p>
        </w:tc>
        <w:tc>
          <w:tcPr>
            <w:tcW w:w="6660" w:type="dxa"/>
          </w:tcPr>
          <w:p w14:paraId="071F1CD3" w14:textId="170849EB" w:rsidR="00660680" w:rsidRPr="00840CA5" w:rsidRDefault="00F53D5A" w:rsidP="007050C7">
            <w:pPr>
              <w:ind w:right="-16"/>
              <w:jc w:val="both"/>
              <w:rPr>
                <w:rFonts w:ascii="Sylfaen" w:hAnsi="Sylfaen" w:cs="Sylfaen"/>
                <w:sz w:val="24"/>
                <w:szCs w:val="24"/>
                <w:lang w:val="ka-GE"/>
              </w:rPr>
            </w:pPr>
            <w:r w:rsidRPr="00840CA5">
              <w:rPr>
                <w:rFonts w:ascii="Sylfaen" w:hAnsi="Sylfaen" w:cs="Sylfaen"/>
                <w:sz w:val="24"/>
                <w:szCs w:val="24"/>
                <w:lang w:val="ka-GE"/>
              </w:rPr>
              <w:t xml:space="preserve">ქორიოიდული </w:t>
            </w:r>
            <w:r w:rsidR="00660680" w:rsidRPr="00840CA5">
              <w:rPr>
                <w:rFonts w:ascii="Sylfaen" w:hAnsi="Sylfaen" w:cs="Sylfaen"/>
                <w:bCs/>
                <w:sz w:val="24"/>
                <w:szCs w:val="24"/>
                <w:lang w:val="ka-GE"/>
              </w:rPr>
              <w:t>ეფუზია, მწვავე მიოპია, მწვავე დახურულკუთხოვანი  გლაუკომა</w:t>
            </w:r>
          </w:p>
        </w:tc>
        <w:tc>
          <w:tcPr>
            <w:tcW w:w="1260" w:type="dxa"/>
          </w:tcPr>
          <w:p w14:paraId="4FA17C54"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48A1D8EC" w14:textId="77777777" w:rsidTr="0039482E">
        <w:tc>
          <w:tcPr>
            <w:tcW w:w="2880" w:type="dxa"/>
          </w:tcPr>
          <w:p w14:paraId="7EC40468"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დარღვევები სისხლძარღვების მხრივ</w:t>
            </w:r>
          </w:p>
        </w:tc>
        <w:tc>
          <w:tcPr>
            <w:tcW w:w="6660" w:type="dxa"/>
          </w:tcPr>
          <w:p w14:paraId="40E9F561" w14:textId="77777777" w:rsidR="00660680" w:rsidRPr="00840CA5" w:rsidRDefault="00660680" w:rsidP="007050C7">
            <w:pPr>
              <w:ind w:right="-16"/>
              <w:jc w:val="both"/>
              <w:rPr>
                <w:rFonts w:ascii="Sylfaen" w:hAnsi="Sylfaen" w:cs="Sylfaen"/>
                <w:bCs/>
                <w:sz w:val="24"/>
                <w:szCs w:val="24"/>
                <w:lang w:val="ka-GE"/>
              </w:rPr>
            </w:pPr>
            <w:r w:rsidRPr="00840CA5">
              <w:rPr>
                <w:rFonts w:ascii="Sylfaen" w:hAnsi="Sylfaen" w:cs="Sylfaen"/>
                <w:bCs/>
                <w:sz w:val="24"/>
                <w:szCs w:val="24"/>
                <w:lang w:val="ka-GE"/>
              </w:rPr>
              <w:t>ნეკროზული ანგიიტი (ვასკულიტი, კანის ვასკულიტი)</w:t>
            </w:r>
          </w:p>
          <w:p w14:paraId="6A776952" w14:textId="77777777" w:rsidR="00660680" w:rsidRPr="00840CA5" w:rsidRDefault="00660680" w:rsidP="007050C7">
            <w:pPr>
              <w:ind w:right="-16"/>
              <w:jc w:val="both"/>
              <w:rPr>
                <w:rFonts w:ascii="Sylfaen" w:hAnsi="Sylfaen" w:cs="Sylfaen"/>
                <w:bCs/>
                <w:sz w:val="24"/>
                <w:szCs w:val="24"/>
                <w:lang w:val="ka-GE"/>
              </w:rPr>
            </w:pPr>
          </w:p>
        </w:tc>
        <w:tc>
          <w:tcPr>
            <w:tcW w:w="1260" w:type="dxa"/>
          </w:tcPr>
          <w:p w14:paraId="02105BE4"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bCs/>
                <w:sz w:val="24"/>
                <w:szCs w:val="24"/>
                <w:lang w:val="ka-GE"/>
              </w:rPr>
              <w:t>არახშირი</w:t>
            </w:r>
          </w:p>
        </w:tc>
      </w:tr>
      <w:tr w:rsidR="00660680" w:rsidRPr="00840CA5" w14:paraId="674D9571" w14:textId="77777777" w:rsidTr="0039482E">
        <w:tc>
          <w:tcPr>
            <w:tcW w:w="2880" w:type="dxa"/>
            <w:vMerge w:val="restart"/>
          </w:tcPr>
          <w:p w14:paraId="040BBE31"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დარღვევები სასუნთქი სისტემის, გულმკერდის ღრუს ორგანოების და შუასაყრის მხრივ</w:t>
            </w:r>
          </w:p>
        </w:tc>
        <w:tc>
          <w:tcPr>
            <w:tcW w:w="6660" w:type="dxa"/>
          </w:tcPr>
          <w:p w14:paraId="518C09DC"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მწვავე რესპირატორული დისტრეს-სინდრომი (ARDS)</w:t>
            </w:r>
          </w:p>
        </w:tc>
        <w:tc>
          <w:tcPr>
            <w:tcW w:w="1260" w:type="dxa"/>
          </w:tcPr>
          <w:p w14:paraId="04630F46" w14:textId="77777777" w:rsidR="00660680" w:rsidRPr="00840CA5" w:rsidRDefault="00660680" w:rsidP="007050C7">
            <w:pPr>
              <w:ind w:right="-211"/>
              <w:jc w:val="both"/>
              <w:rPr>
                <w:rFonts w:ascii="Sylfaen" w:hAnsi="Sylfaen" w:cs="Sylfaen"/>
                <w:bCs/>
                <w:sz w:val="24"/>
                <w:szCs w:val="24"/>
                <w:lang w:val="ka-GE"/>
              </w:rPr>
            </w:pPr>
            <w:r w:rsidRPr="00840CA5">
              <w:rPr>
                <w:rFonts w:ascii="Sylfaen" w:hAnsi="Sylfaen" w:cs="Sylfaen"/>
                <w:bCs/>
                <w:sz w:val="24"/>
                <w:szCs w:val="24"/>
                <w:lang w:val="ka-GE"/>
              </w:rPr>
              <w:t>ძალიან იშვიათი</w:t>
            </w:r>
          </w:p>
        </w:tc>
      </w:tr>
      <w:tr w:rsidR="00660680" w:rsidRPr="00840CA5" w14:paraId="656718F6" w14:textId="77777777" w:rsidTr="0039482E">
        <w:tc>
          <w:tcPr>
            <w:tcW w:w="2880" w:type="dxa"/>
            <w:vMerge/>
          </w:tcPr>
          <w:p w14:paraId="266B05EA" w14:textId="77777777" w:rsidR="00660680" w:rsidRPr="00840CA5" w:rsidRDefault="00660680" w:rsidP="007050C7">
            <w:pPr>
              <w:ind w:right="-14"/>
              <w:jc w:val="both"/>
              <w:rPr>
                <w:rFonts w:ascii="Sylfaen" w:hAnsi="Sylfaen" w:cs="Sylfaen"/>
                <w:sz w:val="24"/>
                <w:szCs w:val="24"/>
                <w:lang w:val="ka-GE"/>
              </w:rPr>
            </w:pPr>
          </w:p>
        </w:tc>
        <w:tc>
          <w:tcPr>
            <w:tcW w:w="6660" w:type="dxa"/>
          </w:tcPr>
          <w:p w14:paraId="72CEB121"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რესპირატორული დარღვევები, მათ შორის პნევმონიტი  და ფილტვის შეშუპება</w:t>
            </w:r>
          </w:p>
        </w:tc>
        <w:tc>
          <w:tcPr>
            <w:tcW w:w="1260" w:type="dxa"/>
          </w:tcPr>
          <w:p w14:paraId="7E6E37FE" w14:textId="77777777" w:rsidR="00660680" w:rsidRPr="00840CA5" w:rsidRDefault="00660680" w:rsidP="007050C7">
            <w:pPr>
              <w:ind w:right="-211"/>
              <w:jc w:val="both"/>
              <w:rPr>
                <w:rFonts w:ascii="Sylfaen" w:hAnsi="Sylfaen" w:cs="Sylfaen"/>
                <w:bCs/>
                <w:sz w:val="24"/>
                <w:szCs w:val="24"/>
                <w:lang w:val="ka-GE"/>
              </w:rPr>
            </w:pPr>
            <w:r w:rsidRPr="00840CA5">
              <w:rPr>
                <w:rFonts w:ascii="Sylfaen" w:hAnsi="Sylfaen" w:cs="Sylfaen"/>
                <w:bCs/>
                <w:sz w:val="24"/>
                <w:szCs w:val="24"/>
                <w:lang w:val="ka-GE"/>
              </w:rPr>
              <w:t>არახშირი</w:t>
            </w:r>
          </w:p>
        </w:tc>
      </w:tr>
      <w:tr w:rsidR="00660680" w:rsidRPr="00840CA5" w14:paraId="1FA3267C" w14:textId="77777777" w:rsidTr="0039482E">
        <w:tc>
          <w:tcPr>
            <w:tcW w:w="2880" w:type="dxa"/>
          </w:tcPr>
          <w:p w14:paraId="3F3581CA"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დარღვევები კუჭ-ნაწლავის ტრაქტის  მხრივ</w:t>
            </w:r>
          </w:p>
        </w:tc>
        <w:tc>
          <w:tcPr>
            <w:tcW w:w="6660" w:type="dxa"/>
          </w:tcPr>
          <w:p w14:paraId="02C0F5DB"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სიალოადენიტი, სპაზმები, კუჭის გაღიზიანება, გულისრევა, ღებინება, დიარეა, ყაბზობა</w:t>
            </w:r>
          </w:p>
          <w:p w14:paraId="3FA4935F" w14:textId="77777777" w:rsidR="00660680" w:rsidRPr="00840CA5" w:rsidRDefault="00660680" w:rsidP="007050C7">
            <w:pPr>
              <w:ind w:right="-16"/>
              <w:jc w:val="both"/>
              <w:rPr>
                <w:rFonts w:ascii="Sylfaen" w:hAnsi="Sylfaen" w:cs="Sylfaen"/>
                <w:sz w:val="24"/>
                <w:szCs w:val="24"/>
                <w:lang w:val="ka-GE"/>
              </w:rPr>
            </w:pPr>
          </w:p>
        </w:tc>
        <w:tc>
          <w:tcPr>
            <w:tcW w:w="1260" w:type="dxa"/>
          </w:tcPr>
          <w:p w14:paraId="27B681ED" w14:textId="77777777" w:rsidR="00660680" w:rsidRPr="00840CA5" w:rsidRDefault="00660680" w:rsidP="007050C7">
            <w:pPr>
              <w:ind w:right="-211"/>
              <w:jc w:val="both"/>
              <w:rPr>
                <w:rFonts w:ascii="Sylfaen" w:hAnsi="Sylfaen" w:cs="Sylfaen"/>
                <w:bCs/>
                <w:sz w:val="24"/>
                <w:szCs w:val="24"/>
                <w:lang w:val="ka-GE"/>
              </w:rPr>
            </w:pPr>
            <w:r w:rsidRPr="00840CA5">
              <w:rPr>
                <w:rFonts w:ascii="Sylfaen" w:hAnsi="Sylfaen" w:cs="Sylfaen"/>
                <w:sz w:val="24"/>
                <w:szCs w:val="24"/>
                <w:lang w:val="ka-GE"/>
              </w:rPr>
              <w:t>არახშირი</w:t>
            </w:r>
          </w:p>
        </w:tc>
      </w:tr>
      <w:tr w:rsidR="00660680" w:rsidRPr="00840CA5" w14:paraId="50D46BBC" w14:textId="77777777" w:rsidTr="0039482E">
        <w:tc>
          <w:tcPr>
            <w:tcW w:w="2880" w:type="dxa"/>
          </w:tcPr>
          <w:p w14:paraId="51081E2A"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ჰეპატობილიარული დარღვევები</w:t>
            </w:r>
          </w:p>
        </w:tc>
        <w:tc>
          <w:tcPr>
            <w:tcW w:w="6660" w:type="dxa"/>
          </w:tcPr>
          <w:p w14:paraId="3F7A1729"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სიყვითლე (ღვიძლშიდა ქოლესტაზი), პანკრეატიტი</w:t>
            </w:r>
          </w:p>
          <w:p w14:paraId="49D75AEF" w14:textId="77777777" w:rsidR="00660680" w:rsidRPr="00840CA5" w:rsidRDefault="00660680" w:rsidP="007050C7">
            <w:pPr>
              <w:ind w:right="-16"/>
              <w:jc w:val="both"/>
              <w:rPr>
                <w:rFonts w:ascii="Sylfaen" w:hAnsi="Sylfaen" w:cs="Sylfaen"/>
                <w:sz w:val="24"/>
                <w:szCs w:val="24"/>
                <w:lang w:val="ka-GE"/>
              </w:rPr>
            </w:pPr>
          </w:p>
        </w:tc>
        <w:tc>
          <w:tcPr>
            <w:tcW w:w="1260" w:type="dxa"/>
          </w:tcPr>
          <w:p w14:paraId="65C850E6"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7ABB9C76" w14:textId="77777777" w:rsidTr="0039482E">
        <w:tc>
          <w:tcPr>
            <w:tcW w:w="2880" w:type="dxa"/>
            <w:vMerge w:val="restart"/>
          </w:tcPr>
          <w:p w14:paraId="0035DF85"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დარღვევები კანის და კანქვეშა ქსოვილის მხრივ</w:t>
            </w:r>
          </w:p>
        </w:tc>
        <w:tc>
          <w:tcPr>
            <w:tcW w:w="6660" w:type="dxa"/>
          </w:tcPr>
          <w:p w14:paraId="2DCCAB16"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ფოტომგრძნობელობა, ჭინჭრის ციება, ტოქსიკური ეპიდერმული ნეკროლიზი</w:t>
            </w:r>
          </w:p>
        </w:tc>
        <w:tc>
          <w:tcPr>
            <w:tcW w:w="1260" w:type="dxa"/>
          </w:tcPr>
          <w:p w14:paraId="1FCC468F"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279BA3E5" w14:textId="77777777" w:rsidTr="0039482E">
        <w:tc>
          <w:tcPr>
            <w:tcW w:w="2880" w:type="dxa"/>
            <w:vMerge/>
          </w:tcPr>
          <w:p w14:paraId="0A6E43C5" w14:textId="77777777" w:rsidR="00660680" w:rsidRPr="00840CA5" w:rsidRDefault="00660680" w:rsidP="007050C7">
            <w:pPr>
              <w:ind w:right="-14"/>
              <w:jc w:val="both"/>
              <w:rPr>
                <w:rFonts w:ascii="Sylfaen" w:hAnsi="Sylfaen" w:cs="Sylfaen"/>
                <w:sz w:val="24"/>
                <w:szCs w:val="24"/>
                <w:lang w:val="ka-GE"/>
              </w:rPr>
            </w:pPr>
          </w:p>
        </w:tc>
        <w:tc>
          <w:tcPr>
            <w:tcW w:w="6660" w:type="dxa"/>
          </w:tcPr>
          <w:p w14:paraId="432A9B6E"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კანის წითელი მგლურა</w:t>
            </w:r>
          </w:p>
        </w:tc>
        <w:tc>
          <w:tcPr>
            <w:tcW w:w="1260" w:type="dxa"/>
          </w:tcPr>
          <w:p w14:paraId="5499B402"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უცნობი</w:t>
            </w:r>
          </w:p>
        </w:tc>
      </w:tr>
      <w:tr w:rsidR="00660680" w:rsidRPr="00840CA5" w14:paraId="58B00FB2" w14:textId="77777777" w:rsidTr="0039482E">
        <w:tc>
          <w:tcPr>
            <w:tcW w:w="2880" w:type="dxa"/>
          </w:tcPr>
          <w:p w14:paraId="18EB42A3"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ძვალ-კუნთოვანი დარღვევები და დარღვევები შემაერთებელი ქსოვილის მხრივ</w:t>
            </w:r>
          </w:p>
        </w:tc>
        <w:tc>
          <w:tcPr>
            <w:tcW w:w="6660" w:type="dxa"/>
          </w:tcPr>
          <w:p w14:paraId="146834C5"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კუნთის სპაზმები</w:t>
            </w:r>
          </w:p>
          <w:p w14:paraId="7CBD1CF7" w14:textId="77777777" w:rsidR="00660680" w:rsidRPr="00840CA5" w:rsidRDefault="00660680" w:rsidP="007050C7">
            <w:pPr>
              <w:ind w:right="-16"/>
              <w:jc w:val="both"/>
              <w:rPr>
                <w:rFonts w:ascii="Sylfaen" w:hAnsi="Sylfaen" w:cs="Sylfaen"/>
                <w:sz w:val="24"/>
                <w:szCs w:val="24"/>
                <w:lang w:val="ka-GE"/>
              </w:rPr>
            </w:pPr>
          </w:p>
        </w:tc>
        <w:tc>
          <w:tcPr>
            <w:tcW w:w="1260" w:type="dxa"/>
          </w:tcPr>
          <w:p w14:paraId="7E0D20CB"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3DE161D0" w14:textId="77777777" w:rsidTr="0039482E">
        <w:tc>
          <w:tcPr>
            <w:tcW w:w="2880" w:type="dxa"/>
          </w:tcPr>
          <w:p w14:paraId="7556F48E"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დარღვევები თირკმლის და შარდგამომყოფი გზების მხრივ</w:t>
            </w:r>
          </w:p>
        </w:tc>
        <w:tc>
          <w:tcPr>
            <w:tcW w:w="6660" w:type="dxa"/>
          </w:tcPr>
          <w:p w14:paraId="23F0E413"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გლიკოზურია, ინტერსტიციული ნეფრიტი, თირკმლის დისფუნქცია, თირკმლის უკმარისობა</w:t>
            </w:r>
          </w:p>
          <w:p w14:paraId="6B6A635F" w14:textId="77777777" w:rsidR="00660680" w:rsidRPr="00840CA5" w:rsidRDefault="00660680" w:rsidP="007050C7">
            <w:pPr>
              <w:ind w:right="-16"/>
              <w:jc w:val="both"/>
              <w:rPr>
                <w:rFonts w:ascii="Sylfaen" w:hAnsi="Sylfaen" w:cs="Sylfaen"/>
                <w:sz w:val="24"/>
                <w:szCs w:val="24"/>
                <w:lang w:val="ka-GE"/>
              </w:rPr>
            </w:pPr>
          </w:p>
        </w:tc>
        <w:tc>
          <w:tcPr>
            <w:tcW w:w="1260" w:type="dxa"/>
          </w:tcPr>
          <w:p w14:paraId="6B7335BC"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r w:rsidR="00660680" w:rsidRPr="00840CA5" w14:paraId="08C86679" w14:textId="77777777" w:rsidTr="0039482E">
        <w:tc>
          <w:tcPr>
            <w:tcW w:w="2880" w:type="dxa"/>
          </w:tcPr>
          <w:p w14:paraId="0A722D6D" w14:textId="77777777" w:rsidR="00660680" w:rsidRPr="00840CA5" w:rsidRDefault="00660680" w:rsidP="007050C7">
            <w:pPr>
              <w:ind w:right="-14"/>
              <w:jc w:val="both"/>
              <w:rPr>
                <w:rFonts w:ascii="Sylfaen" w:hAnsi="Sylfaen" w:cs="Sylfaen"/>
                <w:sz w:val="24"/>
                <w:szCs w:val="24"/>
                <w:lang w:val="ka-GE"/>
              </w:rPr>
            </w:pPr>
            <w:r w:rsidRPr="00840CA5">
              <w:rPr>
                <w:rFonts w:ascii="Sylfaen" w:hAnsi="Sylfaen" w:cs="Sylfaen"/>
                <w:sz w:val="24"/>
                <w:szCs w:val="24"/>
                <w:lang w:val="ka-GE"/>
              </w:rPr>
              <w:t>ზოგადი დარღვევები და ადგილობრივი რეაქციები</w:t>
            </w:r>
          </w:p>
        </w:tc>
        <w:tc>
          <w:tcPr>
            <w:tcW w:w="6660" w:type="dxa"/>
          </w:tcPr>
          <w:p w14:paraId="59455F4D" w14:textId="77777777" w:rsidR="00660680" w:rsidRPr="00840CA5" w:rsidRDefault="00660680" w:rsidP="007050C7">
            <w:pPr>
              <w:ind w:right="-16"/>
              <w:jc w:val="both"/>
              <w:rPr>
                <w:rFonts w:ascii="Sylfaen" w:hAnsi="Sylfaen" w:cs="Sylfaen"/>
                <w:sz w:val="24"/>
                <w:szCs w:val="24"/>
                <w:lang w:val="ka-GE"/>
              </w:rPr>
            </w:pPr>
            <w:r w:rsidRPr="00840CA5">
              <w:rPr>
                <w:rFonts w:ascii="Sylfaen" w:hAnsi="Sylfaen" w:cs="Sylfaen"/>
                <w:sz w:val="24"/>
                <w:szCs w:val="24"/>
                <w:lang w:val="ka-GE"/>
              </w:rPr>
              <w:t>ცხელება, თავბრუსხვევა</w:t>
            </w:r>
          </w:p>
          <w:p w14:paraId="5565E95C" w14:textId="77777777" w:rsidR="00660680" w:rsidRPr="00840CA5" w:rsidRDefault="00660680" w:rsidP="007050C7">
            <w:pPr>
              <w:ind w:right="-16"/>
              <w:jc w:val="both"/>
              <w:rPr>
                <w:rFonts w:ascii="Sylfaen" w:hAnsi="Sylfaen" w:cs="Sylfaen"/>
                <w:sz w:val="24"/>
                <w:szCs w:val="24"/>
                <w:lang w:val="ka-GE"/>
              </w:rPr>
            </w:pPr>
          </w:p>
        </w:tc>
        <w:tc>
          <w:tcPr>
            <w:tcW w:w="1260" w:type="dxa"/>
          </w:tcPr>
          <w:p w14:paraId="41B646D6" w14:textId="77777777" w:rsidR="00660680" w:rsidRPr="00840CA5" w:rsidRDefault="00660680" w:rsidP="007050C7">
            <w:pPr>
              <w:ind w:right="-211"/>
              <w:jc w:val="both"/>
              <w:rPr>
                <w:rFonts w:ascii="Sylfaen" w:hAnsi="Sylfaen" w:cs="Sylfaen"/>
                <w:sz w:val="24"/>
                <w:szCs w:val="24"/>
                <w:lang w:val="ka-GE"/>
              </w:rPr>
            </w:pPr>
            <w:r w:rsidRPr="00840CA5">
              <w:rPr>
                <w:rFonts w:ascii="Sylfaen" w:hAnsi="Sylfaen" w:cs="Sylfaen"/>
                <w:sz w:val="24"/>
                <w:szCs w:val="24"/>
                <w:lang w:val="ka-GE"/>
              </w:rPr>
              <w:t>არახშირი</w:t>
            </w:r>
          </w:p>
        </w:tc>
      </w:tr>
    </w:tbl>
    <w:p w14:paraId="0B0FE48F" w14:textId="1002CF4A" w:rsidR="00660680" w:rsidRPr="00840CA5" w:rsidRDefault="00EC7C50" w:rsidP="007050C7">
      <w:pPr>
        <w:spacing w:after="0" w:line="240" w:lineRule="auto"/>
        <w:ind w:left="-990" w:right="-211"/>
        <w:jc w:val="both"/>
        <w:rPr>
          <w:rFonts w:ascii="Sylfaen" w:hAnsi="Sylfaen" w:cs="Sylfaen"/>
          <w:b/>
          <w:sz w:val="24"/>
          <w:szCs w:val="24"/>
          <w:lang w:val="ka-GE"/>
        </w:rPr>
      </w:pPr>
      <w:r w:rsidRPr="00840CA5">
        <w:rPr>
          <w:rFonts w:ascii="Sylfaen" w:hAnsi="Sylfaen" w:cs="Sylfaen"/>
          <w:b/>
          <w:sz w:val="24"/>
          <w:szCs w:val="24"/>
          <w:lang w:val="ka-GE"/>
        </w:rPr>
        <w:t xml:space="preserve">შერჩეული </w:t>
      </w:r>
      <w:r w:rsidR="00660680" w:rsidRPr="00840CA5">
        <w:rPr>
          <w:rFonts w:ascii="Sylfaen" w:hAnsi="Sylfaen" w:cs="Sylfaen"/>
          <w:b/>
          <w:sz w:val="24"/>
          <w:szCs w:val="24"/>
          <w:lang w:val="ka-GE"/>
        </w:rPr>
        <w:t>გვერდითი მოვლენების აღწერა</w:t>
      </w:r>
    </w:p>
    <w:p w14:paraId="4224FF74" w14:textId="4F8B09FA" w:rsidR="00660680" w:rsidRPr="00840CA5" w:rsidRDefault="00660680"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არამელანომური კანის კიბო: ეპიდემიოლოგიური კვლევების მონაცემების თანახმად გამოვლინდა  კავშირი HCTZ-ის კუმულატიურ დოზა-დამოკიდებულებასა და არამელანომურ კანის კიბოს შორის.</w:t>
      </w:r>
    </w:p>
    <w:p w14:paraId="017048F1" w14:textId="2197A8A0" w:rsidR="00F911CD" w:rsidRPr="00840CA5" w:rsidRDefault="00F911CD" w:rsidP="007050C7">
      <w:pPr>
        <w:pStyle w:val="ListParagraph"/>
        <w:numPr>
          <w:ilvl w:val="0"/>
          <w:numId w:val="37"/>
        </w:numPr>
        <w:spacing w:after="0" w:line="240" w:lineRule="auto"/>
        <w:ind w:left="-630" w:right="-301"/>
        <w:jc w:val="both"/>
        <w:rPr>
          <w:rFonts w:ascii="Sylfaen" w:hAnsi="Sylfaen" w:cs="Sylfaen"/>
          <w:b/>
          <w:bCs/>
          <w:sz w:val="24"/>
          <w:szCs w:val="24"/>
          <w:lang w:val="ka-GE"/>
        </w:rPr>
      </w:pPr>
      <w:r w:rsidRPr="00840CA5">
        <w:rPr>
          <w:rFonts w:ascii="Sylfaen" w:hAnsi="Sylfaen" w:cs="Sylfaen"/>
          <w:b/>
          <w:bCs/>
          <w:sz w:val="24"/>
          <w:szCs w:val="24"/>
          <w:lang w:val="ka-GE"/>
        </w:rPr>
        <w:t>განსაკუთრებული მითითებები და უსაფრთხოების ზომები</w:t>
      </w:r>
    </w:p>
    <w:p w14:paraId="40AF7BF8" w14:textId="0F4B2A8B"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lastRenderedPageBreak/>
        <w:t>ლო</w:t>
      </w:r>
      <w:r w:rsidR="0039482E" w:rsidRPr="00840CA5">
        <w:rPr>
          <w:rFonts w:ascii="Sylfaen" w:hAnsi="Sylfaen" w:cs="Sylfaen"/>
          <w:b/>
          <w:bCs/>
          <w:sz w:val="24"/>
          <w:szCs w:val="24"/>
          <w:lang w:val="ka-GE"/>
        </w:rPr>
        <w:t>ზ</w:t>
      </w:r>
      <w:r w:rsidRPr="00840CA5">
        <w:rPr>
          <w:rFonts w:ascii="Sylfaen" w:hAnsi="Sylfaen" w:cs="Sylfaen"/>
          <w:b/>
          <w:bCs/>
          <w:sz w:val="24"/>
          <w:szCs w:val="24"/>
          <w:lang w:val="ka-GE"/>
        </w:rPr>
        <w:t>არტანი</w:t>
      </w:r>
    </w:p>
    <w:p w14:paraId="1CE038D5"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ანგიონევროზული შეშუპება</w:t>
      </w:r>
    </w:p>
    <w:p w14:paraId="70A39B56"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აუცილებელია იმ პაციენტების მონიტორინგი, რომელთაც ანამნეზში აღენიშნებათ ანგიონევროზული შეშუპება (სახის, ტუჩების, ყელის და/ან ენის შეშუპება).</w:t>
      </w:r>
    </w:p>
    <w:p w14:paraId="2038ED84" w14:textId="45CC761B"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 xml:space="preserve">ჰიპოტენზია და </w:t>
      </w:r>
      <w:r w:rsidR="001B3AB2" w:rsidRPr="00840CA5">
        <w:rPr>
          <w:rFonts w:ascii="Sylfaen" w:hAnsi="Sylfaen" w:cs="Sylfaen"/>
          <w:b/>
          <w:bCs/>
          <w:i/>
          <w:iCs/>
          <w:sz w:val="24"/>
          <w:szCs w:val="24"/>
          <w:lang w:val="ka-GE"/>
        </w:rPr>
        <w:t>ცირლკულირებადი სისხლის მოცულობის შემცირება</w:t>
      </w:r>
    </w:p>
    <w:p w14:paraId="53D29001" w14:textId="470B6025" w:rsidR="0046374E" w:rsidRPr="00840CA5" w:rsidRDefault="0046374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სიმპტომური ჰიპოტენზია, განსაკუთრებით პირველი დოზის მიღების შემდეგ, შეიძლება განვითარდეს პაციენტებში, რომელთაც აღ</w:t>
      </w:r>
      <w:r w:rsidR="00A929C6" w:rsidRPr="00840CA5">
        <w:rPr>
          <w:rFonts w:ascii="Sylfaen" w:hAnsi="Sylfaen" w:cs="Sylfaen"/>
          <w:sz w:val="24"/>
          <w:szCs w:val="24"/>
          <w:lang w:val="ka-GE"/>
        </w:rPr>
        <w:t>ე</w:t>
      </w:r>
      <w:r w:rsidRPr="00840CA5">
        <w:rPr>
          <w:rFonts w:ascii="Sylfaen" w:hAnsi="Sylfaen" w:cs="Sylfaen"/>
          <w:sz w:val="24"/>
          <w:szCs w:val="24"/>
          <w:lang w:val="ka-GE"/>
        </w:rPr>
        <w:t xml:space="preserve">ნიშნებათ მოცულობისა და/ან ნატრიუმის დონის შემცირება ინტენსიური დიურეზული თერაპიის, საკვები მარილის შეზღუდვის, დიარეის ან ღებინების გამო. აღნიშნული უნდა გამოსწორდეს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 ჰიდროქლოროთიაზიდის</w:t>
      </w:r>
      <w:r w:rsidRPr="00840CA5">
        <w:rPr>
          <w:rFonts w:ascii="Sylfaen" w:hAnsi="Sylfaen" w:cs="Sylfaen"/>
          <w:sz w:val="24"/>
          <w:szCs w:val="24"/>
          <w:lang w:val="ka-GE"/>
        </w:rPr>
        <w:t xml:space="preserve"> ტაბლეტების მიღებ</w:t>
      </w:r>
      <w:r w:rsidR="009F4606" w:rsidRPr="00840CA5">
        <w:rPr>
          <w:rFonts w:ascii="Sylfaen" w:hAnsi="Sylfaen" w:cs="Sylfaen"/>
          <w:sz w:val="24"/>
          <w:szCs w:val="24"/>
          <w:lang w:val="ka-GE"/>
        </w:rPr>
        <w:t>ის დაწყებამდე</w:t>
      </w:r>
      <w:r w:rsidRPr="00840CA5">
        <w:rPr>
          <w:rFonts w:ascii="Sylfaen" w:hAnsi="Sylfaen" w:cs="Sylfaen"/>
          <w:sz w:val="24"/>
          <w:szCs w:val="24"/>
          <w:lang w:val="ka-GE"/>
        </w:rPr>
        <w:t>.</w:t>
      </w:r>
    </w:p>
    <w:p w14:paraId="3C719CEB"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ელექტროლიტური დისბალანსი</w:t>
      </w:r>
    </w:p>
    <w:p w14:paraId="36162565" w14:textId="56DF9C78"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ელექტროლიტური დისბალანსი ხშირია პაციენტებში</w:t>
      </w:r>
      <w:r w:rsidR="009F4606" w:rsidRPr="00840CA5">
        <w:rPr>
          <w:rFonts w:ascii="Sylfaen" w:hAnsi="Sylfaen" w:cs="Sylfaen"/>
          <w:sz w:val="24"/>
          <w:szCs w:val="24"/>
          <w:lang w:val="ka-GE"/>
        </w:rPr>
        <w:t>, რომელთაც აღენიშნებათ</w:t>
      </w:r>
      <w:r w:rsidRPr="00840CA5">
        <w:rPr>
          <w:rFonts w:ascii="Sylfaen" w:hAnsi="Sylfaen" w:cs="Sylfaen"/>
          <w:sz w:val="24"/>
          <w:szCs w:val="24"/>
          <w:lang w:val="ka-GE"/>
        </w:rPr>
        <w:t xml:space="preserve"> თირკმელების ფუნქციის დარღვევ</w:t>
      </w:r>
      <w:r w:rsidR="009F4606" w:rsidRPr="00840CA5">
        <w:rPr>
          <w:rFonts w:ascii="Sylfaen" w:hAnsi="Sylfaen" w:cs="Sylfaen"/>
          <w:sz w:val="24"/>
          <w:szCs w:val="24"/>
          <w:lang w:val="ka-GE"/>
        </w:rPr>
        <w:t>ა</w:t>
      </w:r>
      <w:r w:rsidRPr="00840CA5">
        <w:rPr>
          <w:rFonts w:ascii="Sylfaen" w:hAnsi="Sylfaen" w:cs="Sylfaen"/>
          <w:sz w:val="24"/>
          <w:szCs w:val="24"/>
          <w:lang w:val="ka-GE"/>
        </w:rPr>
        <w:t>, შაქრიანი დიაბეტით ან მის გარეშე, და ეს უნდა მოგვარდეს. ამიტომ, აუცილებელია სისხლის პლაზმაში კალიუმის კონცენტრაციისა და კრეატინინის კლირენსის მნიშვნელობების მონიტორინგი; განსაკუთრებულ ყურადღებას საჭიროებენ პაციენტები, რომელთაც აღენიშნებათ გულის უკმარისობა და კრეატინინის კლირენსი 30-50 მლ/წთ.</w:t>
      </w:r>
    </w:p>
    <w:p w14:paraId="71EA5B51" w14:textId="370E0A62" w:rsidR="0071309F" w:rsidRPr="00840CA5" w:rsidRDefault="0071309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 კალიუმთან/ჰიდროქლორთიაზიდთან ერთად </w:t>
      </w:r>
      <w:r w:rsidR="0046374E" w:rsidRPr="00840CA5">
        <w:rPr>
          <w:rFonts w:ascii="Sylfaen" w:hAnsi="Sylfaen" w:cs="Sylfaen"/>
          <w:sz w:val="24"/>
          <w:szCs w:val="24"/>
          <w:lang w:val="ka-GE"/>
        </w:rPr>
        <w:t>არ არის რეკომენდებული კალიუმის დამზოგველი დიურეზულების, კალიუმის დანამატებისა და კალიუმის შემცველი მარილის შემცვლელების</w:t>
      </w:r>
      <w:r w:rsidRPr="00840CA5">
        <w:rPr>
          <w:rFonts w:ascii="Sylfaen" w:hAnsi="Sylfaen" w:cs="Sylfaen"/>
          <w:sz w:val="24"/>
          <w:szCs w:val="24"/>
          <w:lang w:val="ka-GE"/>
        </w:rPr>
        <w:t xml:space="preserve"> ან იმ საშუალებების</w:t>
      </w:r>
      <w:r w:rsidR="0046374E" w:rsidRPr="00840CA5">
        <w:rPr>
          <w:rFonts w:ascii="Sylfaen" w:hAnsi="Sylfaen" w:cs="Sylfaen"/>
          <w:sz w:val="24"/>
          <w:szCs w:val="24"/>
          <w:lang w:val="ka-GE"/>
        </w:rPr>
        <w:t xml:space="preserve"> გამოყენება</w:t>
      </w:r>
      <w:r w:rsidRPr="00840CA5">
        <w:rPr>
          <w:rFonts w:ascii="Sylfaen" w:hAnsi="Sylfaen" w:cs="Sylfaen"/>
          <w:sz w:val="24"/>
          <w:szCs w:val="24"/>
          <w:lang w:val="ka-GE"/>
        </w:rPr>
        <w:t>, რომლებიც იწვევენ შრატში კალიუმის დონის მატებას (მაგ., ტრიმე</w:t>
      </w:r>
      <w:r w:rsidR="00A26413" w:rsidRPr="00840CA5">
        <w:rPr>
          <w:rFonts w:ascii="Sylfaen" w:hAnsi="Sylfaen" w:cs="Sylfaen"/>
          <w:sz w:val="24"/>
          <w:szCs w:val="24"/>
          <w:lang w:val="ka-GE"/>
        </w:rPr>
        <w:t>ტ</w:t>
      </w:r>
      <w:r w:rsidRPr="00840CA5">
        <w:rPr>
          <w:rFonts w:ascii="Sylfaen" w:hAnsi="Sylfaen" w:cs="Sylfaen"/>
          <w:sz w:val="24"/>
          <w:szCs w:val="24"/>
          <w:lang w:val="ka-GE"/>
        </w:rPr>
        <w:t>ოპრიმის შემცველი პროდუქტები).</w:t>
      </w:r>
    </w:p>
    <w:p w14:paraId="05E8A949"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ღვიძლის ფუნქციის დარღვევა</w:t>
      </w:r>
    </w:p>
    <w:p w14:paraId="27494D8B" w14:textId="07A056A1"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ფარმაკოკინეტიკური მონაცემების საფუძველზე, რომლებიც მიუთითებენ სისხლის პლაზმაში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 კონცენტრაციის მნიშვნელოვან ზრდაზე ღვიძლის ციროზის მქონე პაციენტებში,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კალიუმი/ ჰიდროქლოროთიაზიდი </w:t>
      </w:r>
      <w:r w:rsidRPr="00840CA5">
        <w:rPr>
          <w:rFonts w:ascii="Sylfaen" w:hAnsi="Sylfaen" w:cs="Sylfaen"/>
          <w:sz w:val="24"/>
          <w:szCs w:val="24"/>
          <w:lang w:val="ka-GE"/>
        </w:rPr>
        <w:t>სიფრთხილით უნდა იქნას გამოყენებული პაციენტებში, რომლებსაც ანამნეზში აღენიშნებათ ღვიძლის ფუნქციის მსუბუქი და საშულო სიმძიმის დარღვევა. ღვიძლის ფუნქციის მძიმე დარღვევის მქონე პაციენტებში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 თერაპიული გამოცდილება არ არსებობს. აქედან გამომდინარე,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კალიუმი/ ჰიდროქლოროთიაზიდი </w:t>
      </w:r>
      <w:r w:rsidRPr="00840CA5">
        <w:rPr>
          <w:rFonts w:ascii="Sylfaen" w:hAnsi="Sylfaen" w:cs="Sylfaen"/>
          <w:sz w:val="24"/>
          <w:szCs w:val="24"/>
          <w:lang w:val="ka-GE"/>
        </w:rPr>
        <w:t>უკუნაჩვენებია პაციენტებში, რომელთაც აღენიშნებათ ღვიძლის ფუნქციის მძიმე დარღვევა.</w:t>
      </w:r>
    </w:p>
    <w:p w14:paraId="2136266A"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თირკმლის ფუნქციის დარღვევა</w:t>
      </w:r>
    </w:p>
    <w:p w14:paraId="7D5661C7" w14:textId="70E8B07F"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რენინ-ანგიოტენზინ-ალდოსტერონის სისტემაზე მაინჰიბირებელი ზემოქმედების შედეგად</w:t>
      </w:r>
      <w:r w:rsidRPr="00840CA5">
        <w:rPr>
          <w:rFonts w:ascii="Sylfaen" w:hAnsi="Sylfaen" w:cs="Sylfaen"/>
          <w:color w:val="4D5156"/>
          <w:sz w:val="21"/>
          <w:szCs w:val="21"/>
          <w:shd w:val="clear" w:color="auto" w:fill="FFFFFF"/>
          <w:lang w:val="ka-GE"/>
        </w:rPr>
        <w:t xml:space="preserve"> </w:t>
      </w:r>
      <w:r w:rsidRPr="00840CA5">
        <w:rPr>
          <w:rFonts w:ascii="Sylfaen" w:hAnsi="Sylfaen" w:cs="Sylfaen"/>
          <w:sz w:val="24"/>
          <w:szCs w:val="24"/>
          <w:lang w:val="ka-GE"/>
        </w:rPr>
        <w:t xml:space="preserve">აღინიშნა თირკმლის ფუნქციის ცვლილებები, მათ შორის თირკმლის უკმარისობა (განსაკუთრებით </w:t>
      </w:r>
      <w:r w:rsidR="00CC5FA5" w:rsidRPr="00840CA5">
        <w:rPr>
          <w:rFonts w:ascii="Sylfaen" w:hAnsi="Sylfaen" w:cs="Sylfaen"/>
          <w:sz w:val="24"/>
          <w:szCs w:val="24"/>
          <w:lang w:val="ka-GE"/>
        </w:rPr>
        <w:t xml:space="preserve">იმ </w:t>
      </w:r>
      <w:r w:rsidRPr="00840CA5">
        <w:rPr>
          <w:rFonts w:ascii="Sylfaen" w:hAnsi="Sylfaen" w:cs="Sylfaen"/>
          <w:sz w:val="24"/>
          <w:szCs w:val="24"/>
          <w:lang w:val="ka-GE"/>
        </w:rPr>
        <w:t xml:space="preserve">პაციენტებში, რომელთა თირკმლის ფუნქცია დამოკიდებულია რენინ-ანგიოტენზინ-ალდოსტერონის სისტემაზე, </w:t>
      </w:r>
      <w:r w:rsidR="009F4606" w:rsidRPr="00840CA5">
        <w:rPr>
          <w:rFonts w:ascii="Sylfaen" w:hAnsi="Sylfaen" w:cs="Sylfaen"/>
          <w:sz w:val="24"/>
          <w:szCs w:val="24"/>
          <w:lang w:val="ka-GE"/>
        </w:rPr>
        <w:t>მაგალითად,</w:t>
      </w:r>
      <w:r w:rsidRPr="00840CA5">
        <w:rPr>
          <w:rFonts w:ascii="Sylfaen" w:hAnsi="Sylfaen" w:cs="Sylfaen"/>
          <w:sz w:val="24"/>
          <w:szCs w:val="24"/>
          <w:lang w:val="ka-GE"/>
        </w:rPr>
        <w:t xml:space="preserve"> პაციენტებ</w:t>
      </w:r>
      <w:r w:rsidR="00CC5FA5" w:rsidRPr="00840CA5">
        <w:rPr>
          <w:rFonts w:ascii="Sylfaen" w:hAnsi="Sylfaen" w:cs="Sylfaen"/>
          <w:sz w:val="24"/>
          <w:szCs w:val="24"/>
          <w:lang w:val="ka-GE"/>
        </w:rPr>
        <w:t>შ</w:t>
      </w:r>
      <w:r w:rsidRPr="00840CA5">
        <w:rPr>
          <w:rFonts w:ascii="Sylfaen" w:hAnsi="Sylfaen" w:cs="Sylfaen"/>
          <w:sz w:val="24"/>
          <w:szCs w:val="24"/>
          <w:lang w:val="ka-GE"/>
        </w:rPr>
        <w:t>ი მძიმე გულის უკმარისობით ან არსებული თირკმლის დისფუნქციით).</w:t>
      </w:r>
    </w:p>
    <w:p w14:paraId="77D208E1" w14:textId="769C1302"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როგორც რენინ-ანგიოტენზინის სისტემაზე მოქმედი სხვა სამკურნალო საშუალებების შემთხვევაში, სისხლში შარდოვანას და შრატში კრეატინინის დონის მატება ასევე აღინიშნა პაციენტებში ორმხრივი თირკმლის არტერიის სტენოზით ან ცალმხრივი თირკმლის არტერიის სტენოზით; თირკმლის ფუნქციის ეს ცვლილებები შეიძლება შექცევადი იყოს მკურნალობის შეწყვეტის </w:t>
      </w:r>
      <w:r w:rsidR="001B3AB2" w:rsidRPr="00840CA5">
        <w:rPr>
          <w:rFonts w:ascii="Sylfaen" w:hAnsi="Sylfaen" w:cs="Sylfaen"/>
          <w:sz w:val="24"/>
          <w:szCs w:val="24"/>
          <w:lang w:val="ka-GE"/>
        </w:rPr>
        <w:t>შემთხვევაში.</w:t>
      </w:r>
      <w:r w:rsidRPr="00840CA5">
        <w:rPr>
          <w:rFonts w:ascii="Sylfaen" w:hAnsi="Sylfaen" w:cs="Sylfaen"/>
          <w:sz w:val="24"/>
          <w:szCs w:val="24"/>
          <w:lang w:val="ka-GE"/>
        </w:rPr>
        <w:t xml:space="preserve">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სიფრთხილით უნდა დაინიშნოს პაციენტებში ორმხრივი თირკმლის არტერიის სტენოზით ან ცალმხრივი თირკმლის არტერიის სტენოზით.</w:t>
      </w:r>
    </w:p>
    <w:p w14:paraId="2CF74B25"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თირკმლის ტრანსპლანტაცია</w:t>
      </w:r>
    </w:p>
    <w:p w14:paraId="71C47697"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არ არსებობს პროდუქტის გამოყენების გამოცდილება პაციენტებში, რომელთაც ჩაუტარდათ თირკმლის ტრანსპლანტაცია.</w:t>
      </w:r>
    </w:p>
    <w:p w14:paraId="60D72696"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პირველადი ჰიპერალდოსტერონიზმი</w:t>
      </w:r>
    </w:p>
    <w:p w14:paraId="290F923C" w14:textId="710CD58D"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lastRenderedPageBreak/>
        <w:t xml:space="preserve">პირველადი ალდოსტერონიზმის მქონე პაციენტები, როგორც წესი, არ რეაგირებენ ანტიჰიპერტენზიულ საშუალებებზე, რომლებიც მოქმედებენ რენინ-ანგიოტენზინის სისტემის ინჰიბირებით. აქედან გამომდინარე,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w:t>
      </w:r>
      <w:r w:rsidR="00BD168A" w:rsidRPr="00840CA5">
        <w:rPr>
          <w:rFonts w:ascii="Sylfaen" w:hAnsi="Sylfaen"/>
          <w:sz w:val="24"/>
          <w:szCs w:val="24"/>
          <w:lang w:val="ka-GE"/>
        </w:rPr>
        <w:t>ს</w:t>
      </w:r>
      <w:r w:rsidRPr="00840CA5">
        <w:rPr>
          <w:rFonts w:ascii="Sylfaen" w:hAnsi="Sylfaen"/>
          <w:sz w:val="24"/>
          <w:szCs w:val="24"/>
          <w:lang w:val="ka-GE"/>
        </w:rPr>
        <w:t xml:space="preserve">/ ჰიდროქლოროთიაზიდის </w:t>
      </w:r>
      <w:r w:rsidRPr="00840CA5">
        <w:rPr>
          <w:rFonts w:ascii="Sylfaen" w:hAnsi="Sylfaen" w:cs="Sylfaen"/>
          <w:sz w:val="24"/>
          <w:szCs w:val="24"/>
          <w:lang w:val="ka-GE"/>
        </w:rPr>
        <w:t xml:space="preserve"> ტაბლეტების გამოყენება არ არის რეკომენდებული.</w:t>
      </w:r>
    </w:p>
    <w:p w14:paraId="041E230C"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გულის იშემიური დაავადება და ცერებროვასკულური დაავადება</w:t>
      </w:r>
    </w:p>
    <w:p w14:paraId="547EAA12"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როგორც ანტიჰიპერტენზიული საშუალებების შემთხვევაში, არტერიული წნევის ზედმეტად დაქვეითებამ გულ-სისხლძარღვთა და ცერებროვასკულური იშემიური დაავადების მქონე პაციენტებში შეიძლება გამოიწვიოს მიოკარდიუმის ინფარქტი ან ინსულტი.</w:t>
      </w:r>
    </w:p>
    <w:p w14:paraId="73D8285A"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გულის უკმარისობა</w:t>
      </w:r>
    </w:p>
    <w:p w14:paraId="337515BA"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გულის უკმარისობის მქონე პაციენტებში, თირკმლის ფუნქციის დარღვევით ან მის გარეშე, არსებობს - როგორც რენინ-ანგიოტენზინის სისტემაზე მოქმედი სხვა პრეპარატების შემთხვევაში - მძიმე არტერიული ჰიპოტენზიისა და (ხშირად მწვავე) თირკმლის უკმარისობის განვითარების  რისკი.</w:t>
      </w:r>
    </w:p>
    <w:p w14:paraId="531E9550" w14:textId="2A588464"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აორტისა და მიტრალური სარქველების სტენოზი, ობსტრუქციული ჰიპერტროფიული კარდიომიოპათია</w:t>
      </w:r>
    </w:p>
    <w:p w14:paraId="0F850A34"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სხვა ვაზოდილატატორების მსგავსად, განსაკუთრებული სიფრთხილის გამოჩენაა საჭირო პაციენტებში, რომელთაც აღენიშნებათ აორტის ან მიტრალური სტენოზი ან ობსტრუქციული ჰიპერტროფიული კარდიომიოპათია.</w:t>
      </w:r>
    </w:p>
    <w:p w14:paraId="4002C566" w14:textId="77777777" w:rsidR="0046374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ეთნიკური განსხვავებები</w:t>
      </w:r>
    </w:p>
    <w:p w14:paraId="11EB3EB7" w14:textId="683A9FA7" w:rsidR="0046374E" w:rsidRPr="00840CA5" w:rsidRDefault="0046374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ისევე როგორც ანგიოტენზინ-გარდამქმნელი ფერმენტის ინჰიბიტორების შემთხვევაში, ლო</w:t>
      </w:r>
      <w:r w:rsidR="00563666"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არტანისა და სხვა ანგიოტენზინის ანტაგონისტების ჰიპოტენზური ეფექტი ნაკლებად არის გამოხატული შავკანიანებში, არაშავკანიანებთან შედარებით, </w:t>
      </w:r>
      <w:r w:rsidR="009F4606" w:rsidRPr="00840CA5">
        <w:rPr>
          <w:rFonts w:ascii="Sylfaen" w:hAnsi="Sylfaen" w:cs="Sylfaen"/>
          <w:sz w:val="24"/>
          <w:szCs w:val="24"/>
          <w:lang w:val="ka-GE"/>
        </w:rPr>
        <w:t>სავარაუდოდ</w:t>
      </w:r>
      <w:r w:rsidRPr="00840CA5">
        <w:rPr>
          <w:rFonts w:ascii="Sylfaen" w:hAnsi="Sylfaen" w:cs="Sylfaen"/>
          <w:sz w:val="24"/>
          <w:szCs w:val="24"/>
          <w:lang w:val="ka-GE"/>
        </w:rPr>
        <w:t>, ჰიპერტენზიის მქონე შავკანიან პოპულაციაში რენინის დაბალი დონის უფრო მაღალი გავრცელების გამო.</w:t>
      </w:r>
    </w:p>
    <w:p w14:paraId="69D843BA" w14:textId="77777777" w:rsidR="008B4E96"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ორსულობა</w:t>
      </w:r>
    </w:p>
    <w:p w14:paraId="2F66A4DF" w14:textId="7EE3EC00" w:rsidR="001B3AB2" w:rsidRPr="00840CA5" w:rsidRDefault="008900F0" w:rsidP="007050C7">
      <w:pPr>
        <w:spacing w:after="0" w:line="240" w:lineRule="auto"/>
        <w:ind w:left="-990" w:right="-301"/>
        <w:jc w:val="both"/>
        <w:rPr>
          <w:rFonts w:ascii="Sylfaen" w:hAnsi="Sylfaen" w:cs="Sylfaen"/>
          <w:b/>
          <w:bCs/>
          <w:sz w:val="24"/>
          <w:szCs w:val="24"/>
          <w:lang w:val="ka-GE"/>
        </w:rPr>
      </w:pPr>
      <w:r w:rsidRPr="008900F0">
        <w:rPr>
          <w:rFonts w:ascii="Sylfaen" w:hAnsi="Sylfaen" w:cs="Sylfaen"/>
          <w:sz w:val="24"/>
          <w:szCs w:val="24"/>
          <w:lang w:val="ka-GE"/>
        </w:rPr>
        <w:t>ლოზარტანი/ ჰიდროქლოროთიაზიდი</w:t>
      </w:r>
      <w:r>
        <w:rPr>
          <w:rFonts w:ascii="Sylfaen" w:hAnsi="Sylfaen" w:cs="Sylfaen"/>
          <w:sz w:val="24"/>
          <w:szCs w:val="24"/>
          <w:lang w:val="ka-GE"/>
        </w:rPr>
        <w:t xml:space="preserve"> </w:t>
      </w:r>
      <w:r w:rsidR="0046374E" w:rsidRPr="00840CA5">
        <w:rPr>
          <w:rFonts w:ascii="Sylfaen" w:hAnsi="Sylfaen" w:cs="Sylfaen"/>
          <w:sz w:val="24"/>
          <w:szCs w:val="24"/>
          <w:lang w:val="ka-GE"/>
        </w:rPr>
        <w:t xml:space="preserve">არ უნდა დაიწყოს ორსულობის დროს. </w:t>
      </w:r>
      <w:r w:rsidR="001B3AB2" w:rsidRPr="00840CA5">
        <w:rPr>
          <w:rFonts w:ascii="Sylfaen" w:hAnsi="Sylfaen" w:cs="Sylfaen"/>
          <w:sz w:val="24"/>
          <w:szCs w:val="24"/>
          <w:lang w:val="ka-GE"/>
        </w:rPr>
        <w:t xml:space="preserve">თუ </w:t>
      </w:r>
      <w:r w:rsidRPr="008900F0">
        <w:rPr>
          <w:rFonts w:ascii="Sylfaen" w:hAnsi="Sylfaen" w:cs="Sylfaen"/>
          <w:sz w:val="24"/>
          <w:szCs w:val="24"/>
          <w:lang w:val="ka-GE"/>
        </w:rPr>
        <w:t>ლოზარტანი</w:t>
      </w:r>
      <w:r>
        <w:rPr>
          <w:rFonts w:ascii="Sylfaen" w:hAnsi="Sylfaen" w:cs="Sylfaen"/>
          <w:sz w:val="24"/>
          <w:szCs w:val="24"/>
          <w:lang w:val="ka-GE"/>
        </w:rPr>
        <w:t>ს</w:t>
      </w:r>
      <w:r w:rsidRPr="008900F0">
        <w:rPr>
          <w:rFonts w:ascii="Sylfaen" w:hAnsi="Sylfaen" w:cs="Sylfaen"/>
          <w:sz w:val="24"/>
          <w:szCs w:val="24"/>
          <w:lang w:val="ka-GE"/>
        </w:rPr>
        <w:t>/ ჰიდროქლოროთიაზიდი</w:t>
      </w:r>
      <w:r>
        <w:rPr>
          <w:rFonts w:ascii="Sylfaen" w:hAnsi="Sylfaen" w:cs="Sylfaen"/>
          <w:sz w:val="24"/>
          <w:szCs w:val="24"/>
          <w:lang w:val="ka-GE"/>
        </w:rPr>
        <w:t xml:space="preserve">ს </w:t>
      </w:r>
      <w:r w:rsidR="001B3AB2" w:rsidRPr="00840CA5">
        <w:rPr>
          <w:rFonts w:ascii="Sylfaen" w:hAnsi="Sylfaen" w:cs="Sylfaen"/>
          <w:sz w:val="24"/>
          <w:szCs w:val="24"/>
          <w:lang w:val="ka-GE"/>
        </w:rPr>
        <w:t xml:space="preserve">მიღება არ არის სასიცოცხლოდ აუცილებელი, მაშინ პაციენტები, რომლებიც გეგმავენ ორსულებას, უნდა გადავიდნენ ალტერნატიულ ანტიჰიპერტენზიულ საშუალებებზე, რომელთა უსაფრთხოების პროფილიც კარგად არის შესწავლილი ორსულებში. ორსულობის დადასტურებისთანავე </w:t>
      </w:r>
      <w:r w:rsidRPr="008900F0">
        <w:rPr>
          <w:rFonts w:ascii="Sylfaen" w:hAnsi="Sylfaen" w:cs="Sylfaen"/>
          <w:sz w:val="24"/>
          <w:szCs w:val="24"/>
          <w:lang w:val="ka-GE"/>
        </w:rPr>
        <w:t>ლოზარტანი</w:t>
      </w:r>
      <w:r>
        <w:rPr>
          <w:rFonts w:ascii="Sylfaen" w:hAnsi="Sylfaen" w:cs="Sylfaen"/>
          <w:sz w:val="24"/>
          <w:szCs w:val="24"/>
          <w:lang w:val="ka-GE"/>
        </w:rPr>
        <w:t>ს</w:t>
      </w:r>
      <w:r w:rsidRPr="008900F0">
        <w:rPr>
          <w:rFonts w:ascii="Sylfaen" w:hAnsi="Sylfaen" w:cs="Sylfaen"/>
          <w:sz w:val="24"/>
          <w:szCs w:val="24"/>
          <w:lang w:val="ka-GE"/>
        </w:rPr>
        <w:t>/ ჰიდროქლოროთიაზიდი</w:t>
      </w:r>
      <w:r>
        <w:rPr>
          <w:rFonts w:ascii="Sylfaen" w:hAnsi="Sylfaen" w:cs="Sylfaen"/>
          <w:sz w:val="24"/>
          <w:szCs w:val="24"/>
          <w:lang w:val="ka-GE"/>
        </w:rPr>
        <w:t xml:space="preserve">ს </w:t>
      </w:r>
      <w:r w:rsidR="001B3AB2" w:rsidRPr="00840CA5">
        <w:rPr>
          <w:rFonts w:ascii="Sylfaen" w:hAnsi="Sylfaen" w:cs="Sylfaen"/>
          <w:sz w:val="24"/>
          <w:szCs w:val="24"/>
          <w:lang w:val="ka-GE"/>
        </w:rPr>
        <w:t>გამოყენება უნდა შეწყდეს, ხოლო, აუცილებლობის შემთხვევაში, უნდა დაინიშნოს ალტერნატიული თერაპია.</w:t>
      </w:r>
    </w:p>
    <w:p w14:paraId="7B6D8353" w14:textId="77777777" w:rsidR="00892F65"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რენინ-ანგიოტენზინ-ალდოსტერონის სისტემის (რაას) ორმაგი ბლოკადა</w:t>
      </w:r>
    </w:p>
    <w:p w14:paraId="49C831EB" w14:textId="109EF60E" w:rsidR="00892F65"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არსებობს მტკიცებულება, რომ აგფ ინჰიბიტორების, ანგიოტენზინ II რეცეპტორების ბლოკატორების ან ალისკირენის ერთდროული გამოყენება ზრდის არტერიული ჰიპოტენზიის, ჰიპერკალიემიის და თირკმლის ფუნქციის დაქვეითების </w:t>
      </w:r>
      <w:r w:rsidR="000A55E2" w:rsidRPr="00840CA5">
        <w:rPr>
          <w:rFonts w:ascii="Sylfaen" w:hAnsi="Sylfaen" w:cs="Sylfaen"/>
          <w:sz w:val="24"/>
          <w:szCs w:val="24"/>
          <w:lang w:val="ka-GE"/>
        </w:rPr>
        <w:t xml:space="preserve">(მათ შორის თირკმელების ფუნქციის მწვავე დარღვევის) </w:t>
      </w:r>
      <w:r w:rsidRPr="00840CA5">
        <w:rPr>
          <w:rFonts w:ascii="Sylfaen" w:hAnsi="Sylfaen" w:cs="Sylfaen"/>
          <w:sz w:val="24"/>
          <w:szCs w:val="24"/>
          <w:lang w:val="ka-GE"/>
        </w:rPr>
        <w:t>განვითარების რისკს</w:t>
      </w:r>
      <w:r w:rsidR="008B4E96" w:rsidRPr="00840CA5">
        <w:rPr>
          <w:rFonts w:ascii="Sylfaen" w:hAnsi="Sylfaen" w:cs="Sylfaen"/>
          <w:sz w:val="24"/>
          <w:szCs w:val="24"/>
          <w:lang w:val="ka-GE"/>
        </w:rPr>
        <w:t>.</w:t>
      </w:r>
      <w:r w:rsidRPr="00840CA5">
        <w:rPr>
          <w:rFonts w:ascii="Sylfaen" w:hAnsi="Sylfaen" w:cs="Sylfaen"/>
          <w:sz w:val="24"/>
          <w:szCs w:val="24"/>
          <w:lang w:val="ka-GE"/>
        </w:rPr>
        <w:t xml:space="preserve"> ამიტომ, არ არის რეკომენდებული რაას-ის ორმაგი ბლოკადა აგფ-ინჰიბიტორების, ანგიოტენზინ II რეცეპტორების ბლოკატორების ან ალისკირენის </w:t>
      </w:r>
      <w:r w:rsidR="00892F65" w:rsidRPr="00840CA5">
        <w:rPr>
          <w:rFonts w:ascii="Sylfaen" w:hAnsi="Sylfaen" w:cs="Sylfaen"/>
          <w:sz w:val="24"/>
          <w:szCs w:val="24"/>
          <w:lang w:val="ka-GE"/>
        </w:rPr>
        <w:t>კომბინირებული</w:t>
      </w:r>
      <w:r w:rsidR="00892F65" w:rsidRPr="00840CA5">
        <w:rPr>
          <w:rFonts w:ascii="Sylfaen" w:hAnsi="Sylfaen" w:cs="Sylfaen"/>
          <w:sz w:val="24"/>
          <w:szCs w:val="24"/>
        </w:rPr>
        <w:t xml:space="preserve"> </w:t>
      </w:r>
      <w:r w:rsidRPr="00840CA5">
        <w:rPr>
          <w:rFonts w:ascii="Sylfaen" w:hAnsi="Sylfaen" w:cs="Sylfaen"/>
          <w:sz w:val="24"/>
          <w:szCs w:val="24"/>
          <w:lang w:val="ka-GE"/>
        </w:rPr>
        <w:t>გამოყენე</w:t>
      </w:r>
      <w:r w:rsidR="00892F65" w:rsidRPr="00840CA5">
        <w:rPr>
          <w:rFonts w:ascii="Sylfaen" w:hAnsi="Sylfaen" w:cs="Sylfaen"/>
          <w:sz w:val="24"/>
          <w:szCs w:val="24"/>
          <w:lang w:val="ka-GE"/>
        </w:rPr>
        <w:t>ბით</w:t>
      </w:r>
      <w:r w:rsidRPr="00840CA5">
        <w:rPr>
          <w:rFonts w:ascii="Sylfaen" w:hAnsi="Sylfaen" w:cs="Sylfaen"/>
          <w:sz w:val="24"/>
          <w:szCs w:val="24"/>
          <w:lang w:val="ka-GE"/>
        </w:rPr>
        <w:t>.</w:t>
      </w:r>
    </w:p>
    <w:p w14:paraId="1334F3A0" w14:textId="77777777" w:rsidR="000A55E2" w:rsidRPr="00840CA5" w:rsidRDefault="0046374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ორმაგი ბლოკადის თერაპი</w:t>
      </w:r>
      <w:r w:rsidR="00892F65" w:rsidRPr="00840CA5">
        <w:rPr>
          <w:rFonts w:ascii="Sylfaen" w:hAnsi="Sylfaen" w:cs="Sylfaen"/>
          <w:sz w:val="24"/>
          <w:szCs w:val="24"/>
          <w:lang w:val="ka-GE"/>
        </w:rPr>
        <w:t>ის აუცილებლობის შემთხვევაში</w:t>
      </w:r>
      <w:r w:rsidRPr="00840CA5">
        <w:rPr>
          <w:rFonts w:ascii="Sylfaen" w:hAnsi="Sylfaen" w:cs="Sylfaen"/>
          <w:sz w:val="24"/>
          <w:szCs w:val="24"/>
          <w:lang w:val="ka-GE"/>
        </w:rPr>
        <w:t xml:space="preserve">, ეს უნდა გაკეთდეს მხოლოდ სპეციალისტის მეთვალყურეობის ქვეშ, რა დროსაც აუცილებელია თირკმლის ფუნქციის, ელექტროლიტების და არტერიული წნევის ხშირი მონიტორინგი. </w:t>
      </w:r>
    </w:p>
    <w:p w14:paraId="5584D38F" w14:textId="3D5223D2" w:rsidR="00892F65"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აგფ- ინჰიბიტორები და ანგიოტენზინ II რეცეპტორების ბლოკატორები არ უნდა იქნას გამოყენებული ერთდროულად დიაბეტური ნეფროპათიის მქონე პაციენტებში.</w:t>
      </w:r>
    </w:p>
    <w:p w14:paraId="57296594" w14:textId="77777777" w:rsidR="00892F65"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ჰიდროქლოროთიაზიდი</w:t>
      </w:r>
    </w:p>
    <w:p w14:paraId="0B9C386F" w14:textId="77777777" w:rsidR="00597C94"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ჰიპოტენზია და ელექტროლიტების/სითხის დისბალანსი</w:t>
      </w:r>
    </w:p>
    <w:p w14:paraId="44DCB838" w14:textId="77777777"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 xml:space="preserve">როგორც ყველა ანტიჰიპერტენზიული თერაპიის შემთხვევაში, ზოგიერთ პაციენტში შეიძლება განვითარდეს სიმპტომური ჰიპოტენზია. აუცილებელია სითხის ან ელექტროლიტური </w:t>
      </w:r>
      <w:r w:rsidRPr="00840CA5">
        <w:rPr>
          <w:rFonts w:ascii="Sylfaen" w:hAnsi="Sylfaen" w:cs="Sylfaen"/>
          <w:sz w:val="24"/>
          <w:szCs w:val="24"/>
          <w:lang w:val="ka-GE"/>
        </w:rPr>
        <w:lastRenderedPageBreak/>
        <w:t>დისბალანსის კლინიკური ნიშნების მონიტორინგი, როგორიცაა მოცულობის შემცირება, ჰიპონატრიემია, ჰიპოქლორემიული ალკალოზი, ჰიპომაგნიემია ან ჰიპოკალიემია, რომელიც შეიძლება განვითარდეს თანმხლები დიარეის ან ღებინების ფონზე. ასეთ პაციენტებში აუცილებელია პერიოდულად, შესაბამისი ინტერვალებით, სისხლის პლაზმაში ელექტროლიტების შემცველობის კონტროლი. პაციენტებს, რომლებსაც ცხელ ამინდში აქვთ შეშუპეპები, შეიძლება განუვითარდეთ ჰიპონატრიემია (Dilutional hyponatremia).</w:t>
      </w:r>
    </w:p>
    <w:p w14:paraId="0C789004" w14:textId="77777777"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მეტაბოლური და ენდოკრინული ეფექტები</w:t>
      </w:r>
    </w:p>
    <w:p w14:paraId="764BA3EA" w14:textId="77777777"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თიაზიდებით  მკურნალობის დროს შეიძლება დაირღვეს გლუკოზის მიმართ ტოლერანტობა. შესაძლოა საჭირო გახდეს ანტიდიაბეტური საშუალებების, მათ შორის ინსულინის, დოზის კორექცია. თიაზიდებით  მკურნალობის დროს შეიძლება განვითარდეს შაქრიანი დიაბეტი ფარული მიმდინარეობით.</w:t>
      </w:r>
    </w:p>
    <w:p w14:paraId="37E5F08C" w14:textId="77777777" w:rsidR="00FD03A1" w:rsidRPr="00840CA5" w:rsidRDefault="0046374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თიაზიდებმა შეიძლება გამოიწვიოს შარდით კალციუმის გამოყოფის შემცირება და შრატში კალციუმის დონის უმნიშვნელო პერიოდული მატება. გამოხატული ჰიპერკალციემია შეიძლება მიუთითებდეს ლატენტურ ჰიპერპარათირეოიდიზმზე. </w:t>
      </w:r>
    </w:p>
    <w:p w14:paraId="46E388D3" w14:textId="5F7F7630"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თიაზიდების მიღება უნდა შეწყდეს პარათირეოიდული ჯირკვლების ფუნქციის გამოკვლევის ჩატარებამდე.</w:t>
      </w:r>
    </w:p>
    <w:p w14:paraId="6A4D16FC" w14:textId="77777777"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ქოლესტერინის და ტრიგლიცერიდების დონის მატება შეიძლება დაკავშირებული იყოს თიაზიდური შარდმდენებით მკურნალობასთან.</w:t>
      </w:r>
    </w:p>
    <w:p w14:paraId="7D95AA56" w14:textId="0639D99B"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sz w:val="24"/>
          <w:szCs w:val="24"/>
          <w:lang w:val="ka-GE"/>
        </w:rPr>
        <w:t>ზოგიერთ პაციენტში თიაზიდებით მკურნალობამ შეიძლება გამოიწვიოს ჰიპერურიკემია და/ან პოდაგრა. ვინაიდან</w:t>
      </w:r>
      <w:r w:rsidR="00FD03A1" w:rsidRPr="00840CA5">
        <w:rPr>
          <w:rFonts w:ascii="Sylfaen" w:hAnsi="Sylfaen" w:cs="Sylfaen"/>
          <w:sz w:val="24"/>
          <w:szCs w:val="24"/>
          <w:lang w:val="ka-GE"/>
        </w:rPr>
        <w:t>,</w:t>
      </w:r>
      <w:r w:rsidRPr="00840CA5">
        <w:rPr>
          <w:rFonts w:ascii="Sylfaen" w:hAnsi="Sylfaen" w:cs="Sylfaen"/>
          <w:sz w:val="24"/>
          <w:szCs w:val="24"/>
          <w:lang w:val="ka-GE"/>
        </w:rPr>
        <w:t xml:space="preserve"> ლო</w:t>
      </w:r>
      <w:r w:rsidR="00563666" w:rsidRPr="00840CA5">
        <w:rPr>
          <w:rFonts w:ascii="Sylfaen" w:hAnsi="Sylfaen" w:cs="Sylfaen"/>
          <w:sz w:val="24"/>
          <w:szCs w:val="24"/>
          <w:lang w:val="ka-GE"/>
        </w:rPr>
        <w:t>ზ</w:t>
      </w:r>
      <w:r w:rsidRPr="00840CA5">
        <w:rPr>
          <w:rFonts w:ascii="Sylfaen" w:hAnsi="Sylfaen" w:cs="Sylfaen"/>
          <w:sz w:val="24"/>
          <w:szCs w:val="24"/>
          <w:lang w:val="ka-GE"/>
        </w:rPr>
        <w:t>არტანი ამცირებს შარდმჟავას დონეს, ლო</w:t>
      </w:r>
      <w:r w:rsidR="00563666" w:rsidRPr="00840CA5">
        <w:rPr>
          <w:rFonts w:ascii="Sylfaen" w:hAnsi="Sylfaen" w:cs="Sylfaen"/>
          <w:sz w:val="24"/>
          <w:szCs w:val="24"/>
          <w:lang w:val="ka-GE"/>
        </w:rPr>
        <w:t>ზ</w:t>
      </w:r>
      <w:r w:rsidRPr="00840CA5">
        <w:rPr>
          <w:rFonts w:ascii="Sylfaen" w:hAnsi="Sylfaen" w:cs="Sylfaen"/>
          <w:sz w:val="24"/>
          <w:szCs w:val="24"/>
          <w:lang w:val="ka-GE"/>
        </w:rPr>
        <w:t>არტანი ჰიდროქლოროთიაზიდთან ერთად ასუსტებს შარდმდენებით გამოწვეულ ჰიპერურიკემიას.</w:t>
      </w:r>
    </w:p>
    <w:p w14:paraId="191CAD7F" w14:textId="77777777" w:rsidR="005F373E" w:rsidRPr="00840CA5" w:rsidRDefault="0046374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ღვიძლის ფუნქციის დარღვევა</w:t>
      </w:r>
    </w:p>
    <w:p w14:paraId="6B390FB3" w14:textId="77777777" w:rsidR="00017997" w:rsidRPr="00840CA5" w:rsidRDefault="0046374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თიაზიდები სიფრთხილით უნდა დაინიშნოს ღვიძლის ფუნქციის დარღვევის ან ღვიძლის პროგრესირებადი დაავადების მქონე პაციენტებში, რადგან ამან შეიძლება გამოიწვიოს ინტრაჰეპატური ქოლესტაზი და ასევე იმის გამო, რომ სითხისა და ელექტროლიტური ბალანსის უმნიშვნელო ცვლილებამ შეიძლება გამოიწვიოს ღვიძლის კომა. </w:t>
      </w:r>
    </w:p>
    <w:p w14:paraId="458DDF15" w14:textId="2D1114B1" w:rsidR="005F373E" w:rsidRPr="00840CA5" w:rsidRDefault="005F373E" w:rsidP="007050C7">
      <w:pPr>
        <w:spacing w:after="0" w:line="240" w:lineRule="auto"/>
        <w:ind w:left="-990" w:right="-301"/>
        <w:jc w:val="both"/>
        <w:rPr>
          <w:rFonts w:ascii="Sylfaen" w:hAnsi="Sylfaen" w:cs="Sylfaen"/>
          <w:sz w:val="24"/>
          <w:szCs w:val="24"/>
          <w:lang w:val="ka-GE"/>
        </w:rPr>
      </w:pP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კალიუმი/ ჰიდროქლოროთიაზიდი </w:t>
      </w:r>
      <w:r w:rsidR="0046374E" w:rsidRPr="00840CA5">
        <w:rPr>
          <w:rFonts w:ascii="Sylfaen" w:hAnsi="Sylfaen" w:cs="Sylfaen"/>
          <w:sz w:val="24"/>
          <w:szCs w:val="24"/>
          <w:lang w:val="ka-GE"/>
        </w:rPr>
        <w:t>უკუნაჩვენებია პაციენტებში ღვიძლის ფუნქციის მძიმე დარღვევით.</w:t>
      </w:r>
    </w:p>
    <w:p w14:paraId="2F05E6AF" w14:textId="77777777" w:rsidR="005F373E" w:rsidRPr="00840CA5" w:rsidRDefault="0046374E"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არამელანომური კანის კიბო</w:t>
      </w:r>
    </w:p>
    <w:p w14:paraId="2FF2ACE4" w14:textId="77777777" w:rsidR="005F373E" w:rsidRPr="00840CA5" w:rsidRDefault="0046374E"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sz w:val="24"/>
          <w:szCs w:val="24"/>
          <w:lang w:val="ka-GE"/>
        </w:rPr>
        <w:t>არამელანომური კანის კიბოს (NMSC) [ბაზალურუჯრედოვანი კარცინომა (BCC) და ბრტყელუჯრედოვანი კარცინომა (SCC)] განვითარების რისკის ზრდა ჰიდროქლორთიაზიდის (HCTZ) კუმულაციური დოზის ზრდასთან ერთად დაფიქსირდა ორ ეპიდემიოლოგიურ კვლევაში დანიის კიბოს ეროვნულ რეესტრზე დაყრდნობით. HCTZ-ის ფოტომასენსიბილიზირებელი მოქმედება შეიძლება იყოს NMSC-ის  განვითარების შესაძლო მექანიზმი.</w:t>
      </w:r>
    </w:p>
    <w:p w14:paraId="39B905BA" w14:textId="113C4425" w:rsidR="005F373E" w:rsidRPr="00840CA5" w:rsidRDefault="0046374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პაციენტები, რომლებიც იღებენ HCTZ-ს, უნდა იყვნენ ინფორმირებული NMSC-ის რისკის შესახებ, ასევე აუცილებელია მათთვის რეკომენდაციის მიცემა რეგულარულად შეამოწმონ კანი ახალი დაზიანებების არსებობაზე</w:t>
      </w:r>
      <w:r w:rsidR="005F373E" w:rsidRPr="00840CA5">
        <w:rPr>
          <w:rFonts w:ascii="Sylfaen" w:hAnsi="Sylfaen" w:cs="Sylfaen"/>
          <w:sz w:val="24"/>
          <w:szCs w:val="24"/>
          <w:lang w:val="ka-GE"/>
        </w:rPr>
        <w:t xml:space="preserve"> და</w:t>
      </w:r>
      <w:r w:rsidRPr="00840CA5">
        <w:rPr>
          <w:rFonts w:ascii="Sylfaen" w:hAnsi="Sylfaen" w:cs="Sylfaen"/>
          <w:sz w:val="24"/>
          <w:szCs w:val="24"/>
          <w:lang w:val="ka-GE"/>
        </w:rPr>
        <w:t xml:space="preserve"> დროულად </w:t>
      </w:r>
      <w:r w:rsidR="008F5639" w:rsidRPr="00840CA5">
        <w:rPr>
          <w:rFonts w:ascii="Sylfaen" w:hAnsi="Sylfaen" w:cs="Sylfaen"/>
          <w:sz w:val="24"/>
          <w:szCs w:val="24"/>
          <w:lang w:val="ka-GE"/>
        </w:rPr>
        <w:t>განაცხადონ</w:t>
      </w:r>
      <w:r w:rsidRPr="00840CA5">
        <w:rPr>
          <w:rFonts w:ascii="Sylfaen" w:hAnsi="Sylfaen" w:cs="Sylfaen"/>
          <w:sz w:val="24"/>
          <w:szCs w:val="24"/>
          <w:lang w:val="ka-GE"/>
        </w:rPr>
        <w:t xml:space="preserve"> კანის ნებისმიერი საეჭვო დაზიანების შესახებ. პაციენტებს უნდა მიეწოდოთ ინფორმაცია შესაძლო პროფილაქტიკური ზომების შესახებ, როგორიცაა მზის სხივებისა და ულტრაიისფერი სხივების შეზღუდული ზემოქმედება, ხოლო, ზემოქმედების შემთხვევაში, კანის კიბოს რისკის მინიმუმამდე შესამცირებლად ადეკვატური დაცვის შესახებ. კანის საეჭვო დაზიანებების გამოკვლევა უნდა მოხდეს სასწრაფოდ, მათ შორის ბიოფსიის ჰისტოლოგიური კვლევებით. ასევე შეიძლება საჭირო გახდეს HCTZ-ის გამოყენების გადახედვა იმ პაციენტებში, რომლებ</w:t>
      </w:r>
      <w:r w:rsidR="005F373E" w:rsidRPr="00840CA5">
        <w:rPr>
          <w:rFonts w:ascii="Sylfaen" w:hAnsi="Sylfaen" w:cs="Sylfaen"/>
          <w:sz w:val="24"/>
          <w:szCs w:val="24"/>
          <w:lang w:val="ka-GE"/>
        </w:rPr>
        <w:t>ს</w:t>
      </w:r>
      <w:r w:rsidRPr="00840CA5">
        <w:rPr>
          <w:rFonts w:ascii="Sylfaen" w:hAnsi="Sylfaen" w:cs="Sylfaen"/>
          <w:sz w:val="24"/>
          <w:szCs w:val="24"/>
          <w:lang w:val="ka-GE"/>
        </w:rPr>
        <w:t xml:space="preserve">აც </w:t>
      </w:r>
      <w:r w:rsidR="005F373E" w:rsidRPr="00840CA5">
        <w:rPr>
          <w:rFonts w:ascii="Sylfaen" w:hAnsi="Sylfaen" w:cs="Sylfaen"/>
          <w:sz w:val="24"/>
          <w:szCs w:val="24"/>
          <w:lang w:val="ka-GE"/>
        </w:rPr>
        <w:t>გადატანილი აქვთ</w:t>
      </w:r>
      <w:r w:rsidRPr="00840CA5">
        <w:rPr>
          <w:rFonts w:ascii="Sylfaen" w:hAnsi="Sylfaen" w:cs="Sylfaen"/>
          <w:sz w:val="24"/>
          <w:szCs w:val="24"/>
          <w:lang w:val="ka-GE"/>
        </w:rPr>
        <w:t xml:space="preserve"> NMSC.</w:t>
      </w:r>
    </w:p>
    <w:p w14:paraId="4E187AD8" w14:textId="77777777" w:rsidR="005F373E" w:rsidRPr="00840CA5" w:rsidRDefault="005F373E"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i/>
          <w:iCs/>
          <w:sz w:val="24"/>
          <w:szCs w:val="24"/>
          <w:lang w:val="ka-GE"/>
        </w:rPr>
        <w:t>სხვა</w:t>
      </w:r>
    </w:p>
    <w:p w14:paraId="23D86730" w14:textId="52C18C75" w:rsidR="005F373E" w:rsidRPr="00840CA5" w:rsidRDefault="005F373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თიაზიდების მიღების ფონზე, შესაძლებელია ჰიპერმგრძნობელობითი რეაქციების განვითარება </w:t>
      </w:r>
      <w:r w:rsidR="00017997" w:rsidRPr="00840CA5">
        <w:rPr>
          <w:rFonts w:ascii="Sylfaen" w:hAnsi="Sylfaen" w:cs="Sylfaen"/>
          <w:sz w:val="24"/>
          <w:szCs w:val="24"/>
          <w:lang w:val="ka-GE"/>
        </w:rPr>
        <w:t xml:space="preserve">იმ </w:t>
      </w:r>
      <w:r w:rsidRPr="00840CA5">
        <w:rPr>
          <w:rFonts w:ascii="Sylfaen" w:hAnsi="Sylfaen" w:cs="Sylfaen"/>
          <w:sz w:val="24"/>
          <w:szCs w:val="24"/>
          <w:lang w:val="ka-GE"/>
        </w:rPr>
        <w:t xml:space="preserve">პაციენტებში, რომლებსაც ანამნეზში </w:t>
      </w:r>
      <w:r w:rsidR="005F3F08" w:rsidRPr="00840CA5">
        <w:rPr>
          <w:rFonts w:ascii="Sylfaen" w:hAnsi="Sylfaen" w:cs="Sylfaen"/>
          <w:sz w:val="24"/>
          <w:szCs w:val="24"/>
          <w:lang w:val="ka-GE"/>
        </w:rPr>
        <w:t>აღენიშნებათ</w:t>
      </w:r>
      <w:r w:rsidRPr="00840CA5">
        <w:rPr>
          <w:rFonts w:ascii="Sylfaen" w:hAnsi="Sylfaen" w:cs="Sylfaen"/>
          <w:sz w:val="24"/>
          <w:szCs w:val="24"/>
          <w:lang w:val="ka-GE"/>
        </w:rPr>
        <w:t xml:space="preserve"> ან არ </w:t>
      </w:r>
      <w:r w:rsidR="005F3F08" w:rsidRPr="00840CA5">
        <w:rPr>
          <w:rFonts w:ascii="Sylfaen" w:hAnsi="Sylfaen" w:cs="Sylfaen"/>
          <w:sz w:val="24"/>
          <w:szCs w:val="24"/>
          <w:lang w:val="ka-GE"/>
        </w:rPr>
        <w:t xml:space="preserve">აღენიშნებათ </w:t>
      </w:r>
      <w:r w:rsidRPr="00840CA5">
        <w:rPr>
          <w:rFonts w:ascii="Sylfaen" w:hAnsi="Sylfaen" w:cs="Sylfaen"/>
          <w:sz w:val="24"/>
          <w:szCs w:val="24"/>
          <w:lang w:val="ka-GE"/>
        </w:rPr>
        <w:t xml:space="preserve">ალერგია ან ბრონქული ასთმა. </w:t>
      </w:r>
      <w:r w:rsidRPr="00840CA5">
        <w:rPr>
          <w:rFonts w:ascii="Sylfaen" w:hAnsi="Sylfaen" w:cs="Sylfaen"/>
          <w:sz w:val="24"/>
          <w:szCs w:val="24"/>
          <w:lang w:val="ka-GE"/>
        </w:rPr>
        <w:lastRenderedPageBreak/>
        <w:t>თიაზიდებით მკურნალობის ფონზე დაფიქსირებულია სისტემური წითელი მგლურას გამწვავების შემთხვევები.</w:t>
      </w:r>
    </w:p>
    <w:p w14:paraId="4D698074" w14:textId="77777777" w:rsidR="009E3A86" w:rsidRPr="00840CA5" w:rsidRDefault="009E3A86" w:rsidP="007050C7">
      <w:pPr>
        <w:spacing w:after="0" w:line="240" w:lineRule="auto"/>
        <w:ind w:left="-990" w:right="-211"/>
        <w:jc w:val="both"/>
        <w:rPr>
          <w:rFonts w:ascii="Sylfaen" w:hAnsi="Sylfaen" w:cs="Sylfaen"/>
          <w:i/>
          <w:iCs/>
          <w:sz w:val="24"/>
          <w:szCs w:val="24"/>
          <w:lang w:val="ka-GE"/>
        </w:rPr>
      </w:pPr>
      <w:r w:rsidRPr="00840CA5">
        <w:rPr>
          <w:rFonts w:ascii="Sylfaen" w:hAnsi="Sylfaen" w:cs="Sylfaen"/>
          <w:i/>
          <w:iCs/>
          <w:sz w:val="24"/>
          <w:szCs w:val="24"/>
          <w:lang w:val="ka-GE"/>
        </w:rPr>
        <w:t>დარღვევები მხედველობის ორგანოს მხრივ</w:t>
      </w:r>
    </w:p>
    <w:p w14:paraId="6371CCD6" w14:textId="42336F74" w:rsidR="009E3A86" w:rsidRPr="00840CA5" w:rsidRDefault="00F53D5A" w:rsidP="007050C7">
      <w:pPr>
        <w:spacing w:after="0" w:line="240" w:lineRule="auto"/>
        <w:ind w:left="-990" w:right="-211"/>
        <w:jc w:val="both"/>
        <w:rPr>
          <w:rFonts w:ascii="Sylfaen" w:hAnsi="Sylfaen" w:cs="Sylfaen"/>
          <w:i/>
          <w:iCs/>
          <w:sz w:val="24"/>
          <w:szCs w:val="24"/>
          <w:lang w:val="ka-GE"/>
        </w:rPr>
      </w:pPr>
      <w:r w:rsidRPr="00840CA5">
        <w:rPr>
          <w:rFonts w:ascii="Sylfaen" w:hAnsi="Sylfaen" w:cs="Sylfaen"/>
          <w:sz w:val="24"/>
          <w:szCs w:val="24"/>
          <w:lang w:val="ka-GE"/>
        </w:rPr>
        <w:t xml:space="preserve">ქორიოიდული </w:t>
      </w:r>
      <w:r w:rsidR="009E3A86" w:rsidRPr="00840CA5">
        <w:rPr>
          <w:rFonts w:ascii="Sylfaen" w:hAnsi="Sylfaen" w:cs="Sylfaen"/>
          <w:bCs/>
          <w:sz w:val="24"/>
          <w:szCs w:val="24"/>
          <w:lang w:val="ka-GE"/>
        </w:rPr>
        <w:t>ეფუზია, მწვავე მიოპია და მეორადი დახურულკუთხოვანი  გლაუკომა:</w:t>
      </w:r>
    </w:p>
    <w:p w14:paraId="1FCC20C2" w14:textId="35DD8983" w:rsidR="009E3A86" w:rsidRPr="00840CA5" w:rsidRDefault="009E3A86"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 xml:space="preserve">სულფანილამიდმა ან სულფანილამიდის წარმოებულებმა შეიძლება გამოიწვიონ თავისებური რეაქცია, რასაც მოჰყვება </w:t>
      </w:r>
      <w:r w:rsidR="00F53D5A" w:rsidRPr="00840CA5">
        <w:rPr>
          <w:rFonts w:ascii="Sylfaen" w:hAnsi="Sylfaen" w:cs="Sylfaen"/>
          <w:sz w:val="24"/>
          <w:szCs w:val="24"/>
          <w:lang w:val="ka-GE"/>
        </w:rPr>
        <w:t xml:space="preserve">ქორიოიდული </w:t>
      </w:r>
      <w:r w:rsidRPr="00840CA5">
        <w:rPr>
          <w:rFonts w:ascii="Sylfaen" w:hAnsi="Sylfaen" w:cs="Sylfaen"/>
          <w:sz w:val="24"/>
          <w:szCs w:val="24"/>
          <w:lang w:val="ka-GE"/>
        </w:rPr>
        <w:t>ეფუზია მხედველობის არის დეფექტით, გარდამავალი მიოპია და მწვავე დახურულკუთხოვანი  გლაუკომა. სიმპტომები მოიცავს მხედველობის სიმახვილის მკვეთრ დაქვეითებას ან თვალის ტკივილს და, როგორც წესი, ვითარდება პრეპარატის მიღების დაწყებიდან რამდენიმე საათში ან კვირაში. არანამკურნალევმა მწვავე დახურულკუთხოვანმა გლაუკომამ შეიძლება გამოიწვიოს მხედველობის მუდმივი დაკარგვა. პირველ რიგში, აუცილებელია პრეპარატის მიღების დაუყონებლივ შეწყვეტა. შესაძლოა საჭირო გახდეს სასწრაფო სამედიცინო ან ქირურგიული ჩარევა, თუ თვალშიდა წნევის მართვა ვერ მოხერხდა. მწვავე დახურულკუთხოვანი გლაუკომის რისკ-ფაქტორებია ანამნეზში სულფონამიდის ან პენიცილინის მიმართ ალერგია.</w:t>
      </w:r>
    </w:p>
    <w:p w14:paraId="75118558" w14:textId="77777777" w:rsidR="009E3A86" w:rsidRPr="00840CA5" w:rsidRDefault="009E3A86" w:rsidP="007050C7">
      <w:pPr>
        <w:spacing w:after="0" w:line="240" w:lineRule="auto"/>
        <w:ind w:left="-990" w:right="-211"/>
        <w:jc w:val="both"/>
        <w:rPr>
          <w:rFonts w:ascii="Sylfaen" w:hAnsi="Sylfaen" w:cs="Sylfaen"/>
          <w:i/>
          <w:sz w:val="24"/>
          <w:szCs w:val="24"/>
          <w:lang w:val="ka-GE"/>
        </w:rPr>
      </w:pPr>
      <w:r w:rsidRPr="00840CA5">
        <w:rPr>
          <w:rFonts w:ascii="Sylfaen" w:hAnsi="Sylfaen" w:cs="Sylfaen"/>
          <w:bCs/>
          <w:i/>
          <w:sz w:val="24"/>
          <w:szCs w:val="24"/>
          <w:lang w:val="ka-GE"/>
        </w:rPr>
        <w:t>სასუნთქი გზების მწვავე ტოქსიკურობა</w:t>
      </w:r>
    </w:p>
    <w:p w14:paraId="3C357D20" w14:textId="7BA49498" w:rsidR="009E3A86" w:rsidRPr="00840CA5" w:rsidRDefault="009E3A86"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ჰიდროქლორთიაზიდის მიღების შემდეგ დაფიქსირდა სასუნთქი გზების მწვავე ტოქსიკურობის, მათ შორის მწვავე რესპირატორული დისტრეს-სინდრომის (ARDS) ძალიან იშვიათი, მძიმე შემთხვევები. ფილტვის შეშუპება ჩვეულებრივ ვითარდება ჰიდროქლორთიაზიდის მიღებიდან რამდენიმე წუთში ან საათში. საწყისი სიმპტომებია ქოშინი, ცხელება, ფილტვების არსებული მდგომარეობის გაუარესება და ჰიპოტენზია. ARDS-ის დიაგნოზზე ეჭვის არსებობის შემთხვევაში,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არტანის კალიუმი/ჰიდროქლოროთიაზიდი უნდა მოიხსნას და დაინიშნოს შესაბამისი მკურნალობა. ჰიდროქლორთიაზიდი არ უნდა დაინიშნოს პაციენტებში, რომლებსაც წარსულში განუვითარდათ ARDS ჰიდროქლორთიაზიდის მიღების შემდეგ.</w:t>
      </w:r>
    </w:p>
    <w:p w14:paraId="6B0E0DB6" w14:textId="77777777" w:rsidR="009E3A86" w:rsidRPr="00840CA5" w:rsidRDefault="009E3A86" w:rsidP="007050C7">
      <w:pPr>
        <w:spacing w:after="0" w:line="240" w:lineRule="auto"/>
        <w:ind w:left="-990" w:right="-211"/>
        <w:jc w:val="both"/>
        <w:rPr>
          <w:rFonts w:ascii="Sylfaen" w:hAnsi="Sylfaen" w:cs="Sylfaen"/>
          <w:i/>
          <w:sz w:val="24"/>
          <w:szCs w:val="24"/>
          <w:lang w:val="ka-GE"/>
        </w:rPr>
      </w:pPr>
      <w:r w:rsidRPr="00840CA5">
        <w:rPr>
          <w:rFonts w:ascii="Sylfaen" w:hAnsi="Sylfaen" w:cs="Sylfaen"/>
          <w:i/>
          <w:sz w:val="24"/>
          <w:szCs w:val="24"/>
          <w:lang w:val="ka-GE"/>
        </w:rPr>
        <w:t>ნაწლავური ანგიონევროზული შეშუპება</w:t>
      </w:r>
    </w:p>
    <w:p w14:paraId="1530FE33" w14:textId="554B79BF" w:rsidR="009E3A86" w:rsidRPr="00840CA5" w:rsidRDefault="009E3A86"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ნაწლავური ანგიონევროზული შეშუპების შემთხვევები დაფიქსირდა პაციენტებში, რომლებიც იღებდნენ ანგიოტენზინ II რეცეპტორების ანტაგონისტების (მათ შორის ლო</w:t>
      </w:r>
      <w:r w:rsidR="00563666" w:rsidRPr="00840CA5">
        <w:rPr>
          <w:rFonts w:ascii="Sylfaen" w:hAnsi="Sylfaen" w:cs="Sylfaen"/>
          <w:sz w:val="24"/>
          <w:szCs w:val="24"/>
          <w:lang w:val="ka-GE"/>
        </w:rPr>
        <w:t>ზ</w:t>
      </w:r>
      <w:r w:rsidRPr="00840CA5">
        <w:rPr>
          <w:rFonts w:ascii="Sylfaen" w:hAnsi="Sylfaen" w:cs="Sylfaen"/>
          <w:sz w:val="24"/>
          <w:szCs w:val="24"/>
          <w:lang w:val="ka-GE"/>
        </w:rPr>
        <w:t>არტანს). ამ პაციენტებს აღენიშნებოდათ მუცლის ტკივილი, გულისრევა, ღებინება და დიარეა. სიმპტომები გაქრა ანგიოტენზინ II რეცეპტორების ანტაგონისტების შეწყვეტის შემდეგ. ანგიონევროზული შეშუპების დიაგნოზის დასმის შემთხვევაში, ლო</w:t>
      </w:r>
      <w:r w:rsidR="00563666" w:rsidRPr="00840CA5">
        <w:rPr>
          <w:rFonts w:ascii="Sylfaen" w:hAnsi="Sylfaen" w:cs="Sylfaen"/>
          <w:sz w:val="24"/>
          <w:szCs w:val="24"/>
          <w:lang w:val="ka-GE"/>
        </w:rPr>
        <w:t>ზ</w:t>
      </w:r>
      <w:r w:rsidRPr="00840CA5">
        <w:rPr>
          <w:rFonts w:ascii="Sylfaen" w:hAnsi="Sylfaen" w:cs="Sylfaen"/>
          <w:sz w:val="24"/>
          <w:szCs w:val="24"/>
          <w:lang w:val="ka-GE"/>
        </w:rPr>
        <w:t>არტანის მიღება უნდა შეწყდეს და დაიწყოს შესაბამისი მონიტორინგი სიმპტომების სრულ გაქრობამდე.</w:t>
      </w:r>
    </w:p>
    <w:p w14:paraId="47EADFD1" w14:textId="77777777" w:rsidR="00583CC8" w:rsidRPr="00840CA5" w:rsidRDefault="009E3A86" w:rsidP="007050C7">
      <w:pPr>
        <w:spacing w:after="0" w:line="240" w:lineRule="auto"/>
        <w:ind w:left="-990" w:right="-211"/>
        <w:jc w:val="both"/>
        <w:rPr>
          <w:rFonts w:ascii="Sylfaen" w:hAnsi="Sylfaen" w:cs="Sylfaen"/>
          <w:sz w:val="24"/>
          <w:szCs w:val="24"/>
          <w:lang w:val="ka-GE"/>
        </w:rPr>
      </w:pPr>
      <w:r w:rsidRPr="00840CA5">
        <w:rPr>
          <w:rFonts w:ascii="Sylfaen" w:hAnsi="Sylfaen" w:cs="Sylfaen"/>
          <w:bCs/>
          <w:i/>
          <w:iCs/>
          <w:sz w:val="24"/>
          <w:szCs w:val="24"/>
          <w:lang w:val="ka-GE"/>
        </w:rPr>
        <w:t>შემავსებლები</w:t>
      </w:r>
    </w:p>
    <w:p w14:paraId="3E7A2EF9" w14:textId="33C92C90" w:rsidR="00017997" w:rsidRPr="00840CA5" w:rsidRDefault="00C87AA9" w:rsidP="007050C7">
      <w:pPr>
        <w:spacing w:after="0" w:line="240" w:lineRule="auto"/>
        <w:ind w:left="-990" w:right="-211"/>
        <w:jc w:val="both"/>
        <w:rPr>
          <w:rFonts w:ascii="Sylfaen" w:hAnsi="Sylfaen" w:cs="Sylfaen"/>
          <w:sz w:val="24"/>
          <w:szCs w:val="24"/>
          <w:lang w:val="ka-GE"/>
        </w:rPr>
      </w:pPr>
      <w:r>
        <w:rPr>
          <w:rFonts w:ascii="Sylfaen" w:hAnsi="Sylfaen"/>
          <w:sz w:val="24"/>
          <w:szCs w:val="24"/>
          <w:lang w:val="ka-GE"/>
        </w:rPr>
        <w:t>აღნიშნული პროდუქტი</w:t>
      </w:r>
      <w:r w:rsidR="006E61C2" w:rsidRPr="00840CA5">
        <w:rPr>
          <w:rFonts w:ascii="Sylfaen" w:hAnsi="Sylfaen"/>
          <w:sz w:val="24"/>
          <w:szCs w:val="24"/>
          <w:lang w:val="ka-GE"/>
        </w:rPr>
        <w:t xml:space="preserve"> </w:t>
      </w:r>
      <w:r w:rsidR="005F373E" w:rsidRPr="00840CA5">
        <w:rPr>
          <w:rFonts w:ascii="Sylfaen" w:hAnsi="Sylfaen" w:cs="Sylfaen"/>
          <w:sz w:val="24"/>
          <w:szCs w:val="24"/>
          <w:lang w:val="ka-GE"/>
        </w:rPr>
        <w:t xml:space="preserve">შეიცავს ლაქტოზას.  </w:t>
      </w:r>
    </w:p>
    <w:p w14:paraId="2C237CE8" w14:textId="21A7D3EF" w:rsidR="005F373E" w:rsidRPr="00840CA5" w:rsidRDefault="005F373E"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პაციენტებს, </w:t>
      </w:r>
      <w:r w:rsidR="00E628A0" w:rsidRPr="00840CA5">
        <w:rPr>
          <w:rFonts w:ascii="Sylfaen" w:hAnsi="Sylfaen" w:cs="Sylfaen"/>
          <w:sz w:val="24"/>
          <w:szCs w:val="24"/>
          <w:lang w:val="ka-GE"/>
        </w:rPr>
        <w:t>რომლებსაც აღენიშნებათ</w:t>
      </w:r>
      <w:r w:rsidRPr="00840CA5">
        <w:rPr>
          <w:rFonts w:ascii="Sylfaen" w:hAnsi="Sylfaen" w:cs="Sylfaen"/>
          <w:sz w:val="24"/>
          <w:szCs w:val="24"/>
          <w:lang w:val="ka-GE"/>
        </w:rPr>
        <w:t xml:space="preserve"> გალაქტოზის აუტანლობის იშვიათი მემკვიდრეობითი ფორმ</w:t>
      </w:r>
      <w:r w:rsidR="00E628A0" w:rsidRPr="00840CA5">
        <w:rPr>
          <w:rFonts w:ascii="Sylfaen" w:hAnsi="Sylfaen" w:cs="Sylfaen"/>
          <w:sz w:val="24"/>
          <w:szCs w:val="24"/>
          <w:lang w:val="ka-GE"/>
        </w:rPr>
        <w:t>ა</w:t>
      </w:r>
      <w:r w:rsidRPr="00840CA5">
        <w:rPr>
          <w:rFonts w:ascii="Sylfaen" w:hAnsi="Sylfaen" w:cs="Sylfaen"/>
          <w:sz w:val="24"/>
          <w:szCs w:val="24"/>
          <w:lang w:val="ka-GE"/>
        </w:rPr>
        <w:t xml:space="preserve">, </w:t>
      </w:r>
      <w:r w:rsidR="00E628A0" w:rsidRPr="00840CA5">
        <w:rPr>
          <w:rFonts w:ascii="Sylfaen" w:hAnsi="Sylfaen" w:cs="Sylfaen"/>
          <w:sz w:val="24"/>
          <w:szCs w:val="24"/>
          <w:lang w:val="ka-GE"/>
        </w:rPr>
        <w:t>ლაქტაზას სრული დეფიციტი</w:t>
      </w:r>
      <w:r w:rsidR="00E628A0" w:rsidRPr="00840CA5">
        <w:rPr>
          <w:rFonts w:ascii="Sylfaen" w:hAnsi="Sylfaen" w:cs="Sylfaen"/>
          <w:sz w:val="24"/>
          <w:szCs w:val="24"/>
        </w:rPr>
        <w:t xml:space="preserve"> </w:t>
      </w:r>
      <w:r w:rsidRPr="00840CA5">
        <w:rPr>
          <w:rFonts w:ascii="Sylfaen" w:hAnsi="Sylfaen" w:cs="Sylfaen"/>
          <w:sz w:val="24"/>
          <w:szCs w:val="24"/>
          <w:lang w:val="ka-GE"/>
        </w:rPr>
        <w:t>ან გლუკოზა-გალაქტოზის მალაბსორბცი</w:t>
      </w:r>
      <w:r w:rsidR="00E628A0" w:rsidRPr="00840CA5">
        <w:rPr>
          <w:rFonts w:ascii="Sylfaen" w:hAnsi="Sylfaen" w:cs="Sylfaen"/>
          <w:sz w:val="24"/>
          <w:szCs w:val="24"/>
          <w:lang w:val="ka-GE"/>
        </w:rPr>
        <w:t>ა</w:t>
      </w:r>
      <w:r w:rsidRPr="00840CA5">
        <w:rPr>
          <w:rFonts w:ascii="Sylfaen" w:hAnsi="Sylfaen" w:cs="Sylfaen"/>
          <w:sz w:val="24"/>
          <w:szCs w:val="24"/>
          <w:lang w:val="ka-GE"/>
        </w:rPr>
        <w:t>, ეს პრეპარატი არ უნდა დაენიშნოთ.</w:t>
      </w:r>
    </w:p>
    <w:p w14:paraId="2A005CD9" w14:textId="359E2226" w:rsidR="00B6755F" w:rsidRPr="00840CA5" w:rsidRDefault="00B6755F" w:rsidP="007050C7">
      <w:pPr>
        <w:pStyle w:val="ListParagraph"/>
        <w:numPr>
          <w:ilvl w:val="0"/>
          <w:numId w:val="37"/>
        </w:numPr>
        <w:spacing w:after="0" w:line="240" w:lineRule="auto"/>
        <w:ind w:left="-630" w:right="-301"/>
        <w:jc w:val="both"/>
        <w:rPr>
          <w:rFonts w:ascii="Sylfaen" w:hAnsi="Sylfaen" w:cs="Sylfaen"/>
          <w:b/>
          <w:bCs/>
          <w:sz w:val="24"/>
          <w:szCs w:val="24"/>
          <w:lang w:val="ka-GE"/>
        </w:rPr>
      </w:pPr>
      <w:r w:rsidRPr="00840CA5">
        <w:rPr>
          <w:rFonts w:ascii="Sylfaen" w:hAnsi="Sylfaen" w:cs="Sylfaen"/>
          <w:b/>
          <w:bCs/>
          <w:sz w:val="24"/>
          <w:szCs w:val="24"/>
          <w:lang w:val="ka-GE"/>
        </w:rPr>
        <w:t>უკუჩვენებები</w:t>
      </w:r>
    </w:p>
    <w:p w14:paraId="395A43E0" w14:textId="2F7A14B4"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მომატებული მგრძნობელობა  ლო</w:t>
      </w:r>
      <w:r w:rsidR="0039482E" w:rsidRPr="00840CA5">
        <w:rPr>
          <w:rFonts w:ascii="Sylfaen" w:hAnsi="Sylfaen"/>
          <w:sz w:val="24"/>
          <w:szCs w:val="24"/>
          <w:lang w:val="ka-GE"/>
        </w:rPr>
        <w:t>ზ</w:t>
      </w:r>
      <w:r w:rsidRPr="00840CA5">
        <w:rPr>
          <w:rFonts w:ascii="Sylfaen" w:hAnsi="Sylfaen"/>
          <w:sz w:val="24"/>
          <w:szCs w:val="24"/>
          <w:lang w:val="ka-GE"/>
        </w:rPr>
        <w:t>არტანის, სულფონამიდის წარმოებულების (როგორიცაა ჰიდროქლოროთიაზიდი)  ან მითითებული რომელიმე დამხმ</w:t>
      </w:r>
      <w:r w:rsidR="005F3F08" w:rsidRPr="00840CA5">
        <w:rPr>
          <w:rFonts w:ascii="Sylfaen" w:hAnsi="Sylfaen"/>
          <w:sz w:val="24"/>
          <w:szCs w:val="24"/>
          <w:lang w:val="ka-GE"/>
        </w:rPr>
        <w:t>ა</w:t>
      </w:r>
      <w:r w:rsidRPr="00840CA5">
        <w:rPr>
          <w:rFonts w:ascii="Sylfaen" w:hAnsi="Sylfaen"/>
          <w:sz w:val="24"/>
          <w:szCs w:val="24"/>
          <w:lang w:val="ka-GE"/>
        </w:rPr>
        <w:t>რე ნივთიერების მიმართ;</w:t>
      </w:r>
    </w:p>
    <w:p w14:paraId="116215AF"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რეზისტენტული ჰიპოკალიემია ან ჰიპერკალციემია;</w:t>
      </w:r>
    </w:p>
    <w:p w14:paraId="310CE9BF"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ღვიძლის ფუნქციის მძიმე დარღვევა; ქოლესტაზი და სანაღვლე გზების ობსტრუქციული დარღვევები;</w:t>
      </w:r>
    </w:p>
    <w:p w14:paraId="7F066CC9"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რეფრაქტორული ჰიპონატრიემია;</w:t>
      </w:r>
    </w:p>
    <w:p w14:paraId="6C3C13FD"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სიმპტომური ჰიპერურიკემია/ პოდაგრა;</w:t>
      </w:r>
    </w:p>
    <w:p w14:paraId="4DD0534D"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ორსულობის მე-2 და მე-3 ტრიმესტრი;</w:t>
      </w:r>
    </w:p>
    <w:p w14:paraId="29E3E916"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თირკმლების ფუნქციის მძიმე დარღვევა (მაგ. კრეატინინის კლირენსი &lt;30 მლ/წთ);</w:t>
      </w:r>
    </w:p>
    <w:p w14:paraId="3DC81099" w14:textId="77777777"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t>ანურია;</w:t>
      </w:r>
    </w:p>
    <w:p w14:paraId="20A7682D" w14:textId="10AE8DE9" w:rsidR="00E628A0" w:rsidRPr="00840CA5" w:rsidRDefault="00E628A0" w:rsidP="007050C7">
      <w:pPr>
        <w:pStyle w:val="ListParagraph"/>
        <w:numPr>
          <w:ilvl w:val="0"/>
          <w:numId w:val="39"/>
        </w:numPr>
        <w:spacing w:after="0" w:line="240" w:lineRule="auto"/>
        <w:ind w:right="-301"/>
        <w:jc w:val="both"/>
        <w:rPr>
          <w:rFonts w:ascii="Sylfaen" w:hAnsi="Sylfaen"/>
          <w:sz w:val="24"/>
          <w:szCs w:val="24"/>
          <w:lang w:val="ka-GE"/>
        </w:rPr>
      </w:pPr>
      <w:r w:rsidRPr="00840CA5">
        <w:rPr>
          <w:rFonts w:ascii="Sylfaen" w:hAnsi="Sylfaen"/>
          <w:sz w:val="24"/>
          <w:szCs w:val="24"/>
          <w:lang w:val="ka-GE"/>
        </w:rPr>
        <w:lastRenderedPageBreak/>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w:t>
      </w:r>
      <w:r w:rsidR="00631B9C" w:rsidRPr="00840CA5">
        <w:rPr>
          <w:rFonts w:ascii="Sylfaen" w:hAnsi="Sylfaen"/>
          <w:sz w:val="24"/>
          <w:szCs w:val="24"/>
          <w:lang w:val="ka-GE"/>
        </w:rPr>
        <w:t>/</w:t>
      </w:r>
      <w:r w:rsidRPr="00840CA5">
        <w:rPr>
          <w:rFonts w:ascii="Sylfaen" w:hAnsi="Sylfaen"/>
          <w:sz w:val="24"/>
          <w:szCs w:val="24"/>
          <w:lang w:val="ka-GE"/>
        </w:rPr>
        <w:t xml:space="preserve">ჰიდროქლოროთიაზიდის გამოყენება ალისკირენის შემცველ პრეპარატებთან ერთად უკუნაჩვენებია </w:t>
      </w:r>
      <w:r w:rsidR="00017997" w:rsidRPr="00840CA5">
        <w:rPr>
          <w:rFonts w:ascii="Sylfaen" w:hAnsi="Sylfaen"/>
          <w:sz w:val="24"/>
          <w:szCs w:val="24"/>
          <w:lang w:val="ka-GE"/>
        </w:rPr>
        <w:t xml:space="preserve">იმ </w:t>
      </w:r>
      <w:r w:rsidRPr="00840CA5">
        <w:rPr>
          <w:rFonts w:ascii="Sylfaen" w:hAnsi="Sylfaen"/>
          <w:sz w:val="24"/>
          <w:szCs w:val="24"/>
          <w:lang w:val="ka-GE"/>
        </w:rPr>
        <w:t>პაციენტებში, რომელთაც აღნიშნებათ შაქრიანი დიაბეტი ან თირკმელების ფუნქციის დარღვევა (GFR &lt; 60 მლ/წთ/1.73 მ2).</w:t>
      </w:r>
    </w:p>
    <w:p w14:paraId="35FB1F48" w14:textId="77777777" w:rsidR="00B6755F" w:rsidRPr="00840CA5" w:rsidRDefault="00B6755F" w:rsidP="007050C7">
      <w:pPr>
        <w:pStyle w:val="ListParagraph"/>
        <w:numPr>
          <w:ilvl w:val="0"/>
          <w:numId w:val="37"/>
        </w:numPr>
        <w:spacing w:after="0" w:line="240" w:lineRule="auto"/>
        <w:ind w:left="-630" w:right="-301"/>
        <w:jc w:val="both"/>
        <w:rPr>
          <w:rFonts w:ascii="Sylfaen" w:hAnsi="Sylfaen" w:cs="Sylfaen"/>
          <w:b/>
          <w:bCs/>
          <w:sz w:val="24"/>
          <w:szCs w:val="24"/>
          <w:lang w:val="ka-GE"/>
        </w:rPr>
      </w:pPr>
      <w:r w:rsidRPr="00840CA5">
        <w:rPr>
          <w:rFonts w:ascii="Sylfaen" w:hAnsi="Sylfaen" w:cs="Sylfaen"/>
          <w:b/>
          <w:bCs/>
          <w:sz w:val="24"/>
          <w:szCs w:val="24"/>
          <w:lang w:val="ka-GE"/>
        </w:rPr>
        <w:t>ურთიერთქმედება სხვა სამკურნალო საშუალებებთან</w:t>
      </w:r>
    </w:p>
    <w:p w14:paraId="4589FB13" w14:textId="324CA8D6" w:rsidR="00E628A0" w:rsidRPr="00840CA5" w:rsidRDefault="00E628A0" w:rsidP="007050C7">
      <w:pPr>
        <w:spacing w:after="0" w:line="240" w:lineRule="auto"/>
        <w:ind w:left="-990" w:right="-301"/>
        <w:jc w:val="both"/>
        <w:rPr>
          <w:rFonts w:ascii="Sylfaen" w:hAnsi="Sylfaen"/>
          <w:b/>
          <w:bCs/>
          <w:sz w:val="24"/>
          <w:szCs w:val="24"/>
          <w:lang w:val="ka-GE"/>
        </w:rPr>
      </w:pPr>
      <w:r w:rsidRPr="00840CA5">
        <w:rPr>
          <w:rFonts w:ascii="Sylfaen" w:hAnsi="Sylfaen"/>
          <w:b/>
          <w:bCs/>
          <w:sz w:val="24"/>
          <w:szCs w:val="24"/>
          <w:lang w:val="ka-GE"/>
        </w:rPr>
        <w:t>ლო</w:t>
      </w:r>
      <w:r w:rsidR="0039482E" w:rsidRPr="00840CA5">
        <w:rPr>
          <w:rFonts w:ascii="Sylfaen" w:hAnsi="Sylfaen"/>
          <w:b/>
          <w:bCs/>
          <w:sz w:val="24"/>
          <w:szCs w:val="24"/>
          <w:lang w:val="ka-GE"/>
        </w:rPr>
        <w:t>ზ</w:t>
      </w:r>
      <w:r w:rsidRPr="00840CA5">
        <w:rPr>
          <w:rFonts w:ascii="Sylfaen" w:hAnsi="Sylfaen"/>
          <w:b/>
          <w:bCs/>
          <w:sz w:val="24"/>
          <w:szCs w:val="24"/>
          <w:lang w:val="ka-GE"/>
        </w:rPr>
        <w:t>არტანი</w:t>
      </w:r>
    </w:p>
    <w:p w14:paraId="15609FC5" w14:textId="77777777" w:rsidR="00181A76" w:rsidRPr="00840CA5" w:rsidRDefault="00E628A0"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ფლუკონაზოლისა და რიფამპიცინის ერთდროული გამოყენებისას აღინიშნა აქტიური მეტაბოლიტის კონცენტრაციის შემცირება. ამ ურთიერთქმედების კლინიკური შედეგები არ შეფასებულა.</w:t>
      </w:r>
    </w:p>
    <w:p w14:paraId="097AEDC3" w14:textId="0AB831DB" w:rsidR="00181A76" w:rsidRPr="00840CA5" w:rsidRDefault="00181A76"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ანგიოტენზინ II რეცეპტორების ბლოკატორების მსგავსად, კალიუმის დამზოგველი დიურეზულების (მაგ., სპირონოლაქტონი, ტრიამტერენი, ამილორიდი), კალიუმის დანამატების ან კალიუმის შემცველი მარილის შემცვლელების ერთდროულმა გამოყენებამ შეიძლება გამოიწვიოს შრატში კალიუმის დონის მატება (მაგ., ტრიმეთოპრიმის შემცველი პროდუქტები). არ არის რეკომენდებული ამ სამკურნალო საშუალებების ერთდროულად გამოყენება.</w:t>
      </w:r>
    </w:p>
    <w:p w14:paraId="306C089A" w14:textId="77777777" w:rsidR="0002338C" w:rsidRPr="00840CA5" w:rsidRDefault="0002338C"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 xml:space="preserve">ისევე, როგორც იმ სამკურნალო საშუალებებით მკურნალობის დროს, რომლებიც გავლენას ახდენენ ნატრიუმის გამოყოფაზე, ლითიუმის გამოყოფა შეიძლება შემცირდეს. </w:t>
      </w:r>
    </w:p>
    <w:p w14:paraId="475E58A1" w14:textId="5565C98F" w:rsidR="00181A76" w:rsidRPr="00840CA5" w:rsidRDefault="0002338C"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t>შესაბამისად, ლითიუმის მარილების ანგიოტენზინ II რეცეპტორების ანტაგონისტებთან ერთად გამოყენებისას, აუცილებელია შრატში ლითიუმის დონის კონტროლი.</w:t>
      </w:r>
    </w:p>
    <w:p w14:paraId="2EFCB722" w14:textId="6FF34B2A" w:rsidR="00E628A0" w:rsidRPr="00840CA5" w:rsidRDefault="00E628A0"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ანგიოტენზინ II ანტაგონისტების არასტეროიდული ანთების საწინააღმდეგო საშუალებებთან (მაგ. სელექციური COX-2 ინჰიბიტორები, აცეტილსალიცილის მჟავა ანთების საწინააღმდეგო დოზებით) და არასელექციური არასტეროიდული ანთების საწინააღმდეგო საშუალებებთან გამოყენებისას შეიძლება აღინიშნოს ანტიჰიპერტენზიული მოქმედების შესუსტება. ანგიოტენზინ II-ის ანტაგონისტების ან დიურეზულების და არასტეროიდული ანთების საწინააღმდეგო საშუალებების ერთდროულმა გამოყენებამ შეიძლება გამოიწვიოს თირკმელების ფუნქციის გაუარესების, მათ შორის თირკმელების შესაძლო მწვავე უკმარისობის რისკის გაზრდა, აგრეთვე შრატში კალიუმის დონის მატება, განსაკუთრებით თირკმელების ფუნქციის დარღვევის მქონე პაციენტებში. კომბინირებული მკურნალობა უნდა დაინიშნოს სიფრთხილით, განსაკუთრებით ხანდაზმული ასაკის პაციენტებში. კომბინირებული თერაპიის დაწყების შემდეგ და პერიოდულად მკურნალობის დროს აუცილებელია პაციენტების ადეკვატური ჰიდრატაციის უზრუნველყოფა და თირკმელების ფუნქციის მონიტორინგი.</w:t>
      </w:r>
    </w:p>
    <w:p w14:paraId="300A6C38" w14:textId="77777777" w:rsidR="00E628A0" w:rsidRPr="00840CA5" w:rsidRDefault="00E628A0"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თირკმელების ფუნქციის დარღვევების მქონე ზოგიერთ პაციენტში, რომლებიც იღებენ არასტეროიდულ ანთების საწინააღმდეგო საშუალებებს, მათ შორის ციკლოოქსიგენაზა-2-ის სელექციური ინჰიბიტორებს, ანგიოტენზინ II რეცეპტორების ანტაგონისტების ერთდროულმა გამოყენებამ შეიძლება გამოიწვიოს თირკმელების ფუნქციის შემდგომი გაუარესება. როგორც წესი, ეს ეფექტები შექცევადია.</w:t>
      </w:r>
    </w:p>
    <w:p w14:paraId="1AE66428" w14:textId="6D75FC94" w:rsidR="00E628A0" w:rsidRPr="00840CA5" w:rsidRDefault="00E628A0"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კლინიკური კვლევების მონაცემები</w:t>
      </w:r>
      <w:r w:rsidR="002E35A0" w:rsidRPr="00840CA5">
        <w:rPr>
          <w:rFonts w:ascii="Sylfaen" w:hAnsi="Sylfaen"/>
          <w:sz w:val="24"/>
          <w:szCs w:val="24"/>
          <w:lang w:val="ka-GE"/>
        </w:rPr>
        <w:t>თ</w:t>
      </w:r>
      <w:r w:rsidRPr="00840CA5">
        <w:rPr>
          <w:rFonts w:ascii="Sylfaen" w:hAnsi="Sylfaen"/>
          <w:sz w:val="24"/>
          <w:szCs w:val="24"/>
          <w:lang w:val="ka-GE"/>
        </w:rPr>
        <w:t>, აგფ-ინჰიბიტორების, ანგიოტენზინ II რეცეპტორების ბლოკატორების ან ალისკირენის კომბინირებული გამოყენების გზით რენინ-ანგიოტენზინ-ალდოსტერონის სისტემის (რაას) ორმაგი ბლოკადა ასოცირდება ისეთი გვერდითი მოვლენების განვითარების მომატებულ სიხშ</w:t>
      </w:r>
      <w:r w:rsidR="002E35A0" w:rsidRPr="00840CA5">
        <w:rPr>
          <w:rFonts w:ascii="Sylfaen" w:hAnsi="Sylfaen"/>
          <w:sz w:val="24"/>
          <w:szCs w:val="24"/>
          <w:lang w:val="ka-GE"/>
        </w:rPr>
        <w:t>ი</w:t>
      </w:r>
      <w:r w:rsidRPr="00840CA5">
        <w:rPr>
          <w:rFonts w:ascii="Sylfaen" w:hAnsi="Sylfaen"/>
          <w:sz w:val="24"/>
          <w:szCs w:val="24"/>
          <w:lang w:val="ka-GE"/>
        </w:rPr>
        <w:t>რესთან, როგორიცაა ჰიპოტენზია, ჰიპერკალიემია და თირკმლების ფუნქციის დაქვეითება (</w:t>
      </w:r>
      <w:r w:rsidR="002E35A0" w:rsidRPr="00840CA5">
        <w:rPr>
          <w:rFonts w:ascii="Sylfaen" w:hAnsi="Sylfaen"/>
          <w:sz w:val="24"/>
          <w:szCs w:val="24"/>
          <w:lang w:val="ka-GE"/>
        </w:rPr>
        <w:t xml:space="preserve">მათ შორის </w:t>
      </w:r>
      <w:r w:rsidRPr="00840CA5">
        <w:rPr>
          <w:rFonts w:ascii="Sylfaen" w:hAnsi="Sylfaen"/>
          <w:sz w:val="24"/>
          <w:szCs w:val="24"/>
          <w:lang w:val="ka-GE"/>
        </w:rPr>
        <w:t>თირკმლის მწვავე უკმარისობ</w:t>
      </w:r>
      <w:r w:rsidR="002E35A0" w:rsidRPr="00840CA5">
        <w:rPr>
          <w:rFonts w:ascii="Sylfaen" w:hAnsi="Sylfaen"/>
          <w:sz w:val="24"/>
          <w:szCs w:val="24"/>
          <w:lang w:val="ka-GE"/>
        </w:rPr>
        <w:t>ა</w:t>
      </w:r>
      <w:r w:rsidRPr="00840CA5">
        <w:rPr>
          <w:rFonts w:ascii="Sylfaen" w:hAnsi="Sylfaen"/>
          <w:sz w:val="24"/>
          <w:szCs w:val="24"/>
          <w:lang w:val="ka-GE"/>
        </w:rPr>
        <w:t>) ისეთი ერთი სამკურნალო საშუალების გამოყენებასთან შედარებ</w:t>
      </w:r>
      <w:r w:rsidR="002E35A0" w:rsidRPr="00840CA5">
        <w:rPr>
          <w:rFonts w:ascii="Sylfaen" w:hAnsi="Sylfaen"/>
          <w:sz w:val="24"/>
          <w:szCs w:val="24"/>
          <w:lang w:val="ka-GE"/>
        </w:rPr>
        <w:t>ი</w:t>
      </w:r>
      <w:r w:rsidRPr="00840CA5">
        <w:rPr>
          <w:rFonts w:ascii="Sylfaen" w:hAnsi="Sylfaen"/>
          <w:sz w:val="24"/>
          <w:szCs w:val="24"/>
          <w:lang w:val="ka-GE"/>
        </w:rPr>
        <w:t>თ, რომელიც გავლენას ახდენს რენინ-ანგიოტენზინ-ალდოსტერონის სისტემაზე.</w:t>
      </w:r>
    </w:p>
    <w:p w14:paraId="457C5B82" w14:textId="24A3A299" w:rsidR="002E35A0" w:rsidRPr="00840CA5" w:rsidRDefault="00E628A0"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 xml:space="preserve">ჰიპოტენზიის გამომწვევი </w:t>
      </w:r>
      <w:r w:rsidR="00013306" w:rsidRPr="00840CA5">
        <w:rPr>
          <w:rFonts w:ascii="Sylfaen" w:hAnsi="Sylfaen"/>
          <w:sz w:val="24"/>
          <w:szCs w:val="24"/>
          <w:lang w:val="ka-GE"/>
        </w:rPr>
        <w:t>ს</w:t>
      </w:r>
      <w:r w:rsidRPr="00840CA5">
        <w:rPr>
          <w:rFonts w:ascii="Sylfaen" w:hAnsi="Sylfaen"/>
          <w:sz w:val="24"/>
          <w:szCs w:val="24"/>
          <w:lang w:val="ka-GE"/>
        </w:rPr>
        <w:t>ხვა სამკურნალო საშუალებები, როგორიცაა ტრიციკლური ანტიდეპრესანტები, ანტიფსიქოზური საშუალებები, ბაკლოფენი, ამიფოსტინი: ამ პრეპარატებთან ერთად გამოყენებამ, რომლებიც არტერიულ წნევას ამცირებენ ძირითადი ან გვერდითი მოქმედების ფარგლებში, შეიძლება გაზარდოს არტერიული ჰიპოტენზიის განვითარების რისკი.</w:t>
      </w:r>
    </w:p>
    <w:p w14:paraId="34A1816E" w14:textId="069E5BD5" w:rsidR="00EA0306" w:rsidRPr="00840CA5" w:rsidRDefault="0038417B" w:rsidP="007050C7">
      <w:pPr>
        <w:spacing w:after="0" w:line="240" w:lineRule="auto"/>
        <w:ind w:left="-990" w:right="-211"/>
        <w:jc w:val="both"/>
        <w:rPr>
          <w:rFonts w:ascii="Sylfaen" w:hAnsi="Sylfaen" w:cs="Sylfaen"/>
          <w:sz w:val="24"/>
          <w:szCs w:val="24"/>
          <w:lang w:val="ka-GE"/>
        </w:rPr>
      </w:pPr>
      <w:r w:rsidRPr="00840CA5">
        <w:rPr>
          <w:rFonts w:ascii="Sylfaen" w:hAnsi="Sylfaen" w:cs="Sylfaen"/>
          <w:sz w:val="24"/>
          <w:szCs w:val="24"/>
          <w:lang w:val="ka-GE"/>
        </w:rPr>
        <w:lastRenderedPageBreak/>
        <w:t xml:space="preserve">გრეიპფრუტის </w:t>
      </w:r>
      <w:r w:rsidR="00EA0306" w:rsidRPr="00840CA5">
        <w:rPr>
          <w:rFonts w:ascii="Sylfaen" w:hAnsi="Sylfaen" w:cs="Sylfaen"/>
          <w:sz w:val="24"/>
          <w:szCs w:val="24"/>
          <w:lang w:val="ka-GE"/>
        </w:rPr>
        <w:t>წვენი შეიცავს კომპონენტებს, რომლებიც თრგუნავენ CYP450 ფერმენტებს და შეიძლება შეამცირონ ლო</w:t>
      </w:r>
      <w:r w:rsidR="0039482E" w:rsidRPr="00840CA5">
        <w:rPr>
          <w:rFonts w:ascii="Sylfaen" w:hAnsi="Sylfaen" w:cs="Sylfaen"/>
          <w:sz w:val="24"/>
          <w:szCs w:val="24"/>
          <w:lang w:val="ka-GE"/>
        </w:rPr>
        <w:t>ზ</w:t>
      </w:r>
      <w:r w:rsidR="00EA0306" w:rsidRPr="00840CA5">
        <w:rPr>
          <w:rFonts w:ascii="Sylfaen" w:hAnsi="Sylfaen" w:cs="Sylfaen"/>
          <w:sz w:val="24"/>
          <w:szCs w:val="24"/>
          <w:lang w:val="ka-GE"/>
        </w:rPr>
        <w:t>არტანის აქტიური მეტაბოლიტის კონცენტრაცია, რამაც შეიძლება გამოიწვიოს თერაპიული ეფექტის შემცირება. ლო</w:t>
      </w:r>
      <w:r w:rsidR="0039482E" w:rsidRPr="00840CA5">
        <w:rPr>
          <w:rFonts w:ascii="Sylfaen" w:hAnsi="Sylfaen" w:cs="Sylfaen"/>
          <w:sz w:val="24"/>
          <w:szCs w:val="24"/>
          <w:lang w:val="ka-GE"/>
        </w:rPr>
        <w:t>ზ</w:t>
      </w:r>
      <w:r w:rsidR="00EA0306" w:rsidRPr="00840CA5">
        <w:rPr>
          <w:rFonts w:ascii="Sylfaen" w:hAnsi="Sylfaen" w:cs="Sylfaen"/>
          <w:sz w:val="24"/>
          <w:szCs w:val="24"/>
          <w:lang w:val="ka-GE"/>
        </w:rPr>
        <w:t xml:space="preserve">არტანის /HCTZ ტაბლეტების მიღების დროს მოერიდეთ </w:t>
      </w:r>
      <w:r w:rsidRPr="00840CA5">
        <w:rPr>
          <w:rFonts w:ascii="Sylfaen" w:hAnsi="Sylfaen" w:cs="Sylfaen"/>
          <w:sz w:val="24"/>
          <w:szCs w:val="24"/>
          <w:lang w:val="ka-GE"/>
        </w:rPr>
        <w:t xml:space="preserve">გრეიპფრუტის </w:t>
      </w:r>
      <w:r w:rsidR="00EA0306" w:rsidRPr="00840CA5">
        <w:rPr>
          <w:rFonts w:ascii="Sylfaen" w:hAnsi="Sylfaen" w:cs="Sylfaen"/>
          <w:sz w:val="24"/>
          <w:szCs w:val="24"/>
          <w:lang w:val="ka-GE"/>
        </w:rPr>
        <w:t>წვენის მიღებას.</w:t>
      </w:r>
    </w:p>
    <w:p w14:paraId="692461F3"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sz w:val="24"/>
          <w:szCs w:val="24"/>
          <w:lang w:val="ka-GE"/>
        </w:rPr>
        <w:t>ჰიდროქლოროთიაზიდი</w:t>
      </w:r>
    </w:p>
    <w:p w14:paraId="3048180F"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ერთდროულად მიღების შემთხვევაში, თიაზიდურ შარდმდენებთან ურთიერთქმედებაში შეიძლება შევიდეს შემდეგი სამკურნალო საშუალებები:</w:t>
      </w:r>
    </w:p>
    <w:p w14:paraId="1E2BA586"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სპირტი, ბარბიტურატები, ნარკოტიკული საშუალებები ან ანტიდეპრესანტები:</w:t>
      </w:r>
    </w:p>
    <w:p w14:paraId="032CF416" w14:textId="4C8CFAB0"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შეიძლება გაიზარდოს ორთოსტატიკური ჰიპოტენზიის განვითარების რისკი</w:t>
      </w:r>
      <w:r w:rsidR="00013306" w:rsidRPr="00840CA5">
        <w:rPr>
          <w:rFonts w:ascii="Sylfaen" w:hAnsi="Sylfaen" w:cs="Sylfaen"/>
          <w:sz w:val="24"/>
          <w:szCs w:val="24"/>
          <w:lang w:val="ka-GE"/>
        </w:rPr>
        <w:t>.</w:t>
      </w:r>
    </w:p>
    <w:p w14:paraId="31BC2A1C" w14:textId="77F56E06"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ანტიდიაბეტური საშუალებები (პერორალურად მისაღები საშუალებები  და ინსულინი)</w:t>
      </w:r>
      <w:r w:rsidR="00017997" w:rsidRPr="00840CA5">
        <w:rPr>
          <w:rFonts w:ascii="Sylfaen" w:hAnsi="Sylfaen" w:cs="Sylfaen"/>
          <w:b/>
          <w:bCs/>
          <w:i/>
          <w:iCs/>
          <w:sz w:val="24"/>
          <w:szCs w:val="24"/>
          <w:lang w:val="ka-GE"/>
        </w:rPr>
        <w:t>:</w:t>
      </w:r>
    </w:p>
    <w:p w14:paraId="42FB3AEE"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თიაზიდით მკურნალობამ შეიძლება გავლენა მოახდინოს გლუკოზის მიმართ ტოლერანტობაზე. შესაძლოა საჭირო გახდეს ანტიდიაბეტური საშუალების დოზის კორექტირება. მეტფორმინი სიფრთხილით უნდა დაინიშნოს ჰიდროქლოროთიაზიდის გამოყენებასთან დაკავშირებული თირკმლის ფუნქციის შესაძლო დარღვევით გამოწვეული ლაქტაციდოზის განვითარების რისკის გამო.</w:t>
      </w:r>
    </w:p>
    <w:p w14:paraId="445324CE" w14:textId="44B7CFE6"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სხვა ანტიჰიპერტენზიული საშუალებები:</w:t>
      </w:r>
    </w:p>
    <w:p w14:paraId="2213DBB3"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ადიტიური ეფექტი.</w:t>
      </w:r>
    </w:p>
    <w:p w14:paraId="5C524629"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ქოლესტირამინი და ქოლესტიპოლი:</w:t>
      </w:r>
    </w:p>
    <w:p w14:paraId="51473F6D"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ანიონგაცვლითი ფისების არსებობისას ირღვევა ჰიდროქლოროთიაზიდის შეწოვა. ქოლესტირამინის ან ქოლესტიპოლის ერთჯერადი დოზის მიღება იწვევს ჰიდროქლოროთიაზიდის შეკავშირებას და კუჭ-ნაწლავის ტრაქტიდან მისი შეწოვის შემცირებას, შესაბამისად, 85 და 43 პროცენტამდე.</w:t>
      </w:r>
    </w:p>
    <w:p w14:paraId="5E517EB3"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კორტიკოსტეროიდები, აკტჰ:</w:t>
      </w:r>
    </w:p>
    <w:p w14:paraId="68D9A6B6"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შესაძლებელია ელექტროლიტების დეფიციტის გაუარესება, განსაკუთრებით ჰიპოკალიემია.</w:t>
      </w:r>
    </w:p>
    <w:p w14:paraId="2177574E"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პრესორული ამინები (მაგ. ადრენალინი):</w:t>
      </w:r>
    </w:p>
    <w:p w14:paraId="400F1266"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შესაძლებელია შემცირდეს რეაქცია პრესორულ ამინებზე, მაგრამ არა იმდენად, რომ გამოირიცხოს მათი გამოყენება.</w:t>
      </w:r>
    </w:p>
    <w:p w14:paraId="2C2D9EDC"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არადეპოლარიზებადი მიორელაქსანტები (მაგ., ტუბოკურარინი):</w:t>
      </w:r>
    </w:p>
    <w:p w14:paraId="24CA5B47"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შესაძლოა გაიზარდოს  მგრძნობელობა მიორელაქსანტის მიმართ.</w:t>
      </w:r>
    </w:p>
    <w:p w14:paraId="4F8FD046"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ლითიუმი:</w:t>
      </w:r>
    </w:p>
    <w:p w14:paraId="3045DFDD"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დიურეზული საშუალებები ამცირებენ ლითიუმის თირკმლისმიერ კლირენსს და ზრდიან ლითიუმის ტოქსიკურობის რისკს; არ არის რეკომენდებული ერთდროული გამოყენება.</w:t>
      </w:r>
    </w:p>
    <w:p w14:paraId="5B46A730"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სამკურნალო საშუალებები, რომლებიც გამოიყენება პოდაგრის სამკურნალოდ (პრობენეციდი, სულფინპირაზონი და ალოპურინოლი):</w:t>
      </w:r>
    </w:p>
    <w:p w14:paraId="6ABD67F5"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შეიძლება საჭირო გახდეს ურიკოზურიული მედიკამენტების დოზის კორექცია, რადგან ჰიდროქლოროთიაზიდმა შეიძლება გაზარდოს შრატში შარდმჟავას დონე. შესაძლოა საჭირო გახდეს პრობენეციდის ან სულფინპირაზონის დოზის გაზრდა. თიაზიდებთან ერთად გამოყენებამ შეიძლება გაზარდოს ალოპურინოლის მიმართ ჰიპერმგრძნობელობითი რეაქციების განვითარების სიხშირე.</w:t>
      </w:r>
    </w:p>
    <w:p w14:paraId="77BE9D68" w14:textId="57F7B11A"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ანტიქოლინერგული საშუალებები (მაგ., ატროპინი, ბიპერიდენი):</w:t>
      </w:r>
    </w:p>
    <w:p w14:paraId="1CE45CA0"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თიაზიდური ტიპის დიურეზულების ბიოშეღწევადობის გაზრდა კუჭ-ნაწლავის ტრაქტის მოტორიკისა და კუჭის დაცლის სიჩქარის შემცირების ხარჯზე.</w:t>
      </w:r>
    </w:p>
    <w:p w14:paraId="344CA2C4"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ციტოტოქსიური აგენტები (მაგ., ციკლოფოსფამიდი, მეტოტრექსატი):</w:t>
      </w:r>
    </w:p>
    <w:p w14:paraId="241E03BD"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თიაზიდებმა შეიძლება შეამცირონ ციტოტოქსიკური საშუალებების თირკმლისმიერი ექსკრეცია და გაზარდონ მათი მიელოსუპრესიული ეფექტი.</w:t>
      </w:r>
    </w:p>
    <w:p w14:paraId="76AD1814"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სალიცილატები:</w:t>
      </w:r>
    </w:p>
    <w:p w14:paraId="72B46760" w14:textId="7C15A93B"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lastRenderedPageBreak/>
        <w:t xml:space="preserve">სალიცილატების </w:t>
      </w:r>
      <w:r w:rsidR="00057E94" w:rsidRPr="00840CA5">
        <w:rPr>
          <w:rFonts w:ascii="Sylfaen" w:hAnsi="Sylfaen" w:cs="Sylfaen"/>
          <w:sz w:val="24"/>
          <w:szCs w:val="24"/>
          <w:lang w:val="ka-GE"/>
        </w:rPr>
        <w:t>დიდი</w:t>
      </w:r>
      <w:r w:rsidRPr="00840CA5">
        <w:rPr>
          <w:rFonts w:ascii="Sylfaen" w:hAnsi="Sylfaen" w:cs="Sylfaen"/>
          <w:sz w:val="24"/>
          <w:szCs w:val="24"/>
          <w:lang w:val="ka-GE"/>
        </w:rPr>
        <w:t xml:space="preserve"> დოზებით გამოყენების შემთხვევაში ჰიდროქლოროთიაზიდმა შეიძლება გაზარდოს სალიცილატების ტოქსიკური მოქმედება ცენტრალურ ნერვულ სისტემაზე.</w:t>
      </w:r>
    </w:p>
    <w:p w14:paraId="22629803"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მეთილდოპა:</w:t>
      </w:r>
    </w:p>
    <w:p w14:paraId="05094D19"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არსებობს ცნობები ჰემოლიზური ანემიის განვითარების ცალკეული შემთხვევების შესახებ იმ პაციენტებში, რომლებიც ერთდროულად იღებდნენ ჰიდროქლოროთიაზიდსა და მეთილდოპას.</w:t>
      </w:r>
    </w:p>
    <w:p w14:paraId="705E4F08"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ციკლოსპორინი:</w:t>
      </w:r>
    </w:p>
    <w:p w14:paraId="4266C677"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ციკლოსპორინთან ერთად გამოყენების შემთხვევაში შეიძლება გაზარდოს ჰიპერურიკემიისა და პოდაგრის მსგავსი გართულებების რისკი.</w:t>
      </w:r>
    </w:p>
    <w:p w14:paraId="1B2AA214"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საგულე გლიკოზიდები:</w:t>
      </w:r>
    </w:p>
    <w:p w14:paraId="41480E30" w14:textId="77777777"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sz w:val="24"/>
          <w:szCs w:val="24"/>
          <w:lang w:val="ka-GE"/>
        </w:rPr>
        <w:t>თიაზიდებით გამოწვეულმა ჰიპოკალიემიამ ან ჰიპომაგნიემიამ შეიძლება ხელი შეუწყოს საგულე გლიკოზიდებით გამოწვეული არითმიების განვითარებას.</w:t>
      </w:r>
    </w:p>
    <w:p w14:paraId="20407816" w14:textId="0A32567C" w:rsidR="002E35A0" w:rsidRPr="00840CA5" w:rsidRDefault="002E35A0" w:rsidP="007050C7">
      <w:pPr>
        <w:spacing w:after="0" w:line="240" w:lineRule="auto"/>
        <w:ind w:left="-990" w:right="-301"/>
        <w:jc w:val="both"/>
        <w:rPr>
          <w:rFonts w:ascii="Sylfaen" w:hAnsi="Sylfaen"/>
          <w:b/>
          <w:bCs/>
          <w:sz w:val="24"/>
          <w:szCs w:val="24"/>
          <w:lang w:val="ka-GE"/>
        </w:rPr>
      </w:pPr>
      <w:r w:rsidRPr="00840CA5">
        <w:rPr>
          <w:rFonts w:ascii="Sylfaen" w:hAnsi="Sylfaen" w:cs="Sylfaen"/>
          <w:b/>
          <w:bCs/>
          <w:i/>
          <w:iCs/>
          <w:sz w:val="24"/>
          <w:szCs w:val="24"/>
          <w:lang w:val="ka-GE"/>
        </w:rPr>
        <w:t>სამკურნალო საშუალებები, რომელთა ეფექტზე გავლენას ახდენს სისხლის პლაზმაში კალიუმის შემცველობის ცვლილებები:</w:t>
      </w:r>
    </w:p>
    <w:p w14:paraId="64A52DAF" w14:textId="411B3750" w:rsidR="002E35A0" w:rsidRPr="00840CA5" w:rsidRDefault="002E35A0"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რეკომენდებულია პერიოდულად შრატში კალიუმის შემცველობის და ეკგ-ს მონიტორინგის ჩატარება ლო</w:t>
      </w:r>
      <w:r w:rsidR="0039482E" w:rsidRPr="00840CA5">
        <w:rPr>
          <w:rFonts w:ascii="Sylfaen" w:hAnsi="Sylfaen" w:cs="Sylfaen"/>
          <w:sz w:val="24"/>
          <w:szCs w:val="24"/>
          <w:lang w:val="ka-GE"/>
        </w:rPr>
        <w:t>ზ</w:t>
      </w:r>
      <w:r w:rsidRPr="00840CA5">
        <w:rPr>
          <w:rFonts w:ascii="Sylfaen" w:hAnsi="Sylfaen" w:cs="Sylfaen"/>
          <w:sz w:val="24"/>
          <w:szCs w:val="24"/>
          <w:lang w:val="ka-GE"/>
        </w:rPr>
        <w:t xml:space="preserve">არტანი/ჰიდროქლორითიაზიდის გამოყენებისას ისეთ პრეპარატებთან ერთად, რომლებზეც გავლენას ახდენს შრატში კალიუმის შემცველობის ცვლილებები (მაგალითად, საგულე გლიკოზიდები და ანტიარითმიული საშუალებები) და შემდეგ სამკურნალო საშუალებებთან (მათ შორის ზოგიერთი ანტიარითმული საშუალებები) ერთად, რომლებმაც შეიძლება გამოიწვიოს  </w:t>
      </w:r>
      <w:r w:rsidR="00EA5CD0" w:rsidRPr="00840CA5">
        <w:rPr>
          <w:rFonts w:ascii="Sylfaen" w:hAnsi="Sylfaen" w:cs="Sylfaen"/>
          <w:sz w:val="24"/>
          <w:szCs w:val="24"/>
          <w:lang w:val="ka-GE"/>
        </w:rPr>
        <w:t>პოლიმორფული პარკუჭოვანი ტაქიკარდია (Torsade de Pointes)</w:t>
      </w:r>
      <w:r w:rsidRPr="00840CA5">
        <w:rPr>
          <w:rFonts w:ascii="Sylfaen" w:hAnsi="Sylfaen" w:cs="Sylfaen"/>
          <w:sz w:val="24"/>
          <w:szCs w:val="24"/>
          <w:lang w:val="ka-GE"/>
        </w:rPr>
        <w:t xml:space="preserve">, ჰიპოკალემია, რომელიც არის </w:t>
      </w:r>
      <w:r w:rsidR="00EA5CD0" w:rsidRPr="00840CA5">
        <w:rPr>
          <w:rFonts w:ascii="Sylfaen" w:hAnsi="Sylfaen" w:cs="Sylfaen"/>
          <w:sz w:val="24"/>
          <w:szCs w:val="24"/>
          <w:lang w:val="ka-GE"/>
        </w:rPr>
        <w:t xml:space="preserve">პოლიმორფული პარკუჭოვანი ტაქიკარდიის (Torsade de Pointes) </w:t>
      </w:r>
      <w:r w:rsidRPr="00840CA5">
        <w:rPr>
          <w:rFonts w:ascii="Sylfaen" w:hAnsi="Sylfaen" w:cs="Sylfaen"/>
          <w:sz w:val="24"/>
          <w:szCs w:val="24"/>
          <w:lang w:val="ka-GE"/>
        </w:rPr>
        <w:t>განვითარების განმაპირობებელი ფაქტორი:</w:t>
      </w:r>
    </w:p>
    <w:p w14:paraId="525B20E1" w14:textId="77777777" w:rsidR="002E35A0" w:rsidRPr="00840CA5" w:rsidRDefault="002E35A0" w:rsidP="007050C7">
      <w:pPr>
        <w:pStyle w:val="ListParagraph"/>
        <w:numPr>
          <w:ilvl w:val="0"/>
          <w:numId w:val="39"/>
        </w:numPr>
        <w:spacing w:after="0" w:line="240" w:lineRule="auto"/>
        <w:ind w:right="-301"/>
        <w:jc w:val="both"/>
        <w:rPr>
          <w:rFonts w:ascii="Sylfaen" w:hAnsi="Sylfaen" w:cs="Sylfaen"/>
          <w:sz w:val="24"/>
          <w:szCs w:val="24"/>
          <w:lang w:val="ka-GE"/>
        </w:rPr>
      </w:pPr>
      <w:r w:rsidRPr="00840CA5">
        <w:rPr>
          <w:rFonts w:ascii="Sylfaen" w:hAnsi="Sylfaen" w:cs="Sylfaen"/>
          <w:sz w:val="24"/>
          <w:szCs w:val="24"/>
          <w:lang w:val="ka-GE"/>
        </w:rPr>
        <w:t>Ia კლასის ანტიარითმიული საშუალებები (მაგალითად, ქინიდინი, ჰიდროქინიდინი, დიზოპირამიდი).</w:t>
      </w:r>
    </w:p>
    <w:p w14:paraId="78FCD569" w14:textId="77777777" w:rsidR="002E35A0" w:rsidRPr="00840CA5" w:rsidRDefault="002E35A0" w:rsidP="007050C7">
      <w:pPr>
        <w:pStyle w:val="ListParagraph"/>
        <w:numPr>
          <w:ilvl w:val="0"/>
          <w:numId w:val="39"/>
        </w:numPr>
        <w:spacing w:after="0" w:line="240" w:lineRule="auto"/>
        <w:ind w:right="-301"/>
        <w:jc w:val="both"/>
        <w:rPr>
          <w:rFonts w:ascii="Sylfaen" w:hAnsi="Sylfaen" w:cs="Sylfaen"/>
          <w:sz w:val="24"/>
          <w:szCs w:val="24"/>
          <w:lang w:val="ka-GE"/>
        </w:rPr>
      </w:pPr>
      <w:r w:rsidRPr="00840CA5">
        <w:rPr>
          <w:rFonts w:ascii="Sylfaen" w:hAnsi="Sylfaen" w:cs="Sylfaen"/>
          <w:sz w:val="24"/>
          <w:szCs w:val="24"/>
          <w:lang w:val="ka-GE"/>
        </w:rPr>
        <w:t>III კლასის ანტიარითმიული საშუალებები (მაგალითად, ამიოდარონი, სოტალოლი, დოფეტილიდი, იბუტილიდი).</w:t>
      </w:r>
    </w:p>
    <w:p w14:paraId="2888FC90" w14:textId="77777777" w:rsidR="002E35A0" w:rsidRPr="00840CA5" w:rsidRDefault="002E35A0" w:rsidP="007050C7">
      <w:pPr>
        <w:pStyle w:val="ListParagraph"/>
        <w:numPr>
          <w:ilvl w:val="0"/>
          <w:numId w:val="39"/>
        </w:numPr>
        <w:spacing w:after="0" w:line="240" w:lineRule="auto"/>
        <w:ind w:right="-301"/>
        <w:jc w:val="both"/>
        <w:rPr>
          <w:rFonts w:ascii="Sylfaen" w:hAnsi="Sylfaen" w:cs="Sylfaen"/>
          <w:sz w:val="24"/>
          <w:szCs w:val="24"/>
          <w:lang w:val="ka-GE"/>
        </w:rPr>
      </w:pPr>
      <w:r w:rsidRPr="00840CA5">
        <w:rPr>
          <w:rFonts w:ascii="Sylfaen" w:hAnsi="Sylfaen" w:cs="Sylfaen"/>
          <w:sz w:val="24"/>
          <w:szCs w:val="24"/>
          <w:lang w:val="ka-GE"/>
        </w:rPr>
        <w:t>ზოგიერთი ნეიროლეპტიკი (მაგალითად, თიორიდაზინი, ქლორპრომაზინი, ლევომეპრომაზინი, ტრიფლუოპერაზინი, ციამემაზინი, სულპირიდი, სულტოპრიდი, ამსულპრიდი, ტიაპრიდი, პიმოზიდი, ჰალოპერიდოლი, დროპერიდოლი).</w:t>
      </w:r>
    </w:p>
    <w:p w14:paraId="45C457C8" w14:textId="3E7BA580" w:rsidR="002E35A0" w:rsidRPr="00840CA5" w:rsidRDefault="002E35A0" w:rsidP="007050C7">
      <w:pPr>
        <w:pStyle w:val="ListParagraph"/>
        <w:numPr>
          <w:ilvl w:val="0"/>
          <w:numId w:val="39"/>
        </w:numPr>
        <w:spacing w:after="0" w:line="240" w:lineRule="auto"/>
        <w:ind w:right="-301"/>
        <w:jc w:val="both"/>
        <w:rPr>
          <w:rFonts w:ascii="Sylfaen" w:hAnsi="Sylfaen" w:cs="Sylfaen"/>
          <w:sz w:val="24"/>
          <w:szCs w:val="24"/>
          <w:lang w:val="ka-GE"/>
        </w:rPr>
      </w:pPr>
      <w:r w:rsidRPr="00840CA5">
        <w:rPr>
          <w:rFonts w:ascii="Sylfaen" w:hAnsi="Sylfaen" w:cs="Sylfaen"/>
          <w:sz w:val="24"/>
          <w:szCs w:val="24"/>
          <w:lang w:val="ka-GE"/>
        </w:rPr>
        <w:t>სხვა საშუალებები (მაგალითად, ბეპრიდილი, ციზაპრიდი, დიფემანილი, ი/ვ ერითრომიცინი, ჰალოფანტრინი, მიზოლასტინი, პენტამიდინი, ტერფენადინი, ი/ვ ვინკამინი).</w:t>
      </w:r>
    </w:p>
    <w:p w14:paraId="3495EB87" w14:textId="77777777" w:rsidR="002E35A0"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კალციუმის მარილები:</w:t>
      </w:r>
    </w:p>
    <w:p w14:paraId="409920A8"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sz w:val="24"/>
          <w:szCs w:val="24"/>
          <w:lang w:val="ka-GE"/>
        </w:rPr>
        <w:t>თიაზიდურ დიურეტიკებს შეუძლიათ სისხლის პლაზმაში კალციუმის კონცენტრაციის გაზრდა თირკმელებით კალციუმის გამოყოფის შემცირების ხარჯზე. კალციუმის დანამატების დანიშვნის დროს აუცილებელია შრატში კალციუმის დონის კონტროლი და, შესაბამისად, კალციუმის დანამატების დოზის კორექტირება.</w:t>
      </w:r>
    </w:p>
    <w:p w14:paraId="56A05B30"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გავლენა ლაბორატორიული კვლევების შედეგებზე</w:t>
      </w:r>
      <w:r w:rsidR="00B06D3F" w:rsidRPr="00840CA5">
        <w:rPr>
          <w:rFonts w:ascii="Sylfaen" w:hAnsi="Sylfaen" w:cs="Sylfaen"/>
          <w:b/>
          <w:bCs/>
          <w:i/>
          <w:iCs/>
          <w:sz w:val="24"/>
          <w:szCs w:val="24"/>
          <w:lang w:val="ka-GE"/>
        </w:rPr>
        <w:t>:</w:t>
      </w:r>
    </w:p>
    <w:p w14:paraId="35E584DA"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sz w:val="24"/>
          <w:szCs w:val="24"/>
          <w:lang w:val="ka-GE"/>
        </w:rPr>
        <w:t>კალციუმის მეტაბოლიზმზე ზემოქმედების გამო, თიაზიდებს შეუძლიათ პარათიროიდული ჯირკვლების ფუნქციის კვლევის ანალიზების შედეგების შეცვლა.</w:t>
      </w:r>
    </w:p>
    <w:p w14:paraId="46B4A0C7"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კარბამაზეპინი</w:t>
      </w:r>
      <w:r w:rsidR="00B06D3F" w:rsidRPr="00840CA5">
        <w:rPr>
          <w:rFonts w:ascii="Sylfaen" w:hAnsi="Sylfaen" w:cs="Sylfaen"/>
          <w:b/>
          <w:bCs/>
          <w:i/>
          <w:iCs/>
          <w:sz w:val="24"/>
          <w:szCs w:val="24"/>
          <w:lang w:val="ka-GE"/>
        </w:rPr>
        <w:t>:</w:t>
      </w:r>
    </w:p>
    <w:p w14:paraId="6E484984"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sz w:val="24"/>
          <w:szCs w:val="24"/>
          <w:lang w:val="ka-GE"/>
        </w:rPr>
        <w:t xml:space="preserve">არსებობს სიმპტომური ჰიპონატრიემიის განვითარების რისკი. აუცილებელია კლინიკური და ბიოლოგიური მონიტორინგის ჩატარება. </w:t>
      </w:r>
    </w:p>
    <w:p w14:paraId="3C9AB367"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t>იოდის შემცველი კონტრასტული აგენტები</w:t>
      </w:r>
      <w:r w:rsidR="00B06D3F" w:rsidRPr="00840CA5">
        <w:rPr>
          <w:rFonts w:ascii="Sylfaen" w:hAnsi="Sylfaen" w:cs="Sylfaen"/>
          <w:b/>
          <w:bCs/>
          <w:i/>
          <w:iCs/>
          <w:sz w:val="24"/>
          <w:szCs w:val="24"/>
          <w:lang w:val="ka-GE"/>
        </w:rPr>
        <w:t>:</w:t>
      </w:r>
    </w:p>
    <w:p w14:paraId="5658C4EC"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sz w:val="24"/>
          <w:szCs w:val="24"/>
          <w:lang w:val="ka-GE"/>
        </w:rPr>
        <w:t>შარდმდენების გამოყენებით გამოწვეული დეჰიდრატაციის შემთხვევაში, იზრდება თირკმლის მწვავე უკმარისობის განვითარების რისკი, განსაკუთრებით იოდის პრეპარატების მაღალი დოზებით მიღებისას. მათ შეყვანამდე აუცილებელია პაციენტების რეჰიდრატაცია.</w:t>
      </w:r>
    </w:p>
    <w:p w14:paraId="3854A21E" w14:textId="77777777" w:rsidR="00B06D3F"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b/>
          <w:bCs/>
          <w:i/>
          <w:iCs/>
          <w:sz w:val="24"/>
          <w:szCs w:val="24"/>
          <w:lang w:val="ka-GE"/>
        </w:rPr>
        <w:lastRenderedPageBreak/>
        <w:t>ამფოტერიცინი B (პარენტერალურად), კორტიკოსტეროიდები, აკტჰ, ნაწლავის პერისტალტიკის მასტიმულირებელი საშუალებები ან გლიცირიზინი (შეიცავს ძირტკბილა)</w:t>
      </w:r>
      <w:r w:rsidR="00B06D3F" w:rsidRPr="00840CA5">
        <w:rPr>
          <w:rFonts w:ascii="Sylfaen" w:hAnsi="Sylfaen" w:cs="Sylfaen"/>
          <w:b/>
          <w:bCs/>
          <w:i/>
          <w:iCs/>
          <w:sz w:val="24"/>
          <w:szCs w:val="24"/>
          <w:lang w:val="ka-GE"/>
        </w:rPr>
        <w:t>:</w:t>
      </w:r>
    </w:p>
    <w:p w14:paraId="0BCC495B" w14:textId="2A1F9F5A" w:rsidR="002E35A0" w:rsidRPr="00840CA5" w:rsidRDefault="002E35A0" w:rsidP="007050C7">
      <w:pPr>
        <w:spacing w:after="0" w:line="240" w:lineRule="auto"/>
        <w:ind w:left="-990" w:right="-301"/>
        <w:jc w:val="both"/>
        <w:rPr>
          <w:rFonts w:ascii="Sylfaen" w:hAnsi="Sylfaen" w:cs="Sylfaen"/>
          <w:b/>
          <w:bCs/>
          <w:i/>
          <w:iCs/>
          <w:sz w:val="24"/>
          <w:szCs w:val="24"/>
          <w:lang w:val="ka-GE"/>
        </w:rPr>
      </w:pPr>
      <w:r w:rsidRPr="00840CA5">
        <w:rPr>
          <w:rFonts w:ascii="Sylfaen" w:hAnsi="Sylfaen" w:cs="Sylfaen"/>
          <w:sz w:val="24"/>
          <w:szCs w:val="24"/>
          <w:lang w:val="ka-GE"/>
        </w:rPr>
        <w:t>ჰიდროქლოროთიაზიდმა შეიძლება გამოიწვიოს ელექტროლიტების დეფიციტი</w:t>
      </w:r>
      <w:r w:rsidR="00E223A5" w:rsidRPr="00840CA5">
        <w:rPr>
          <w:rFonts w:ascii="Sylfaen" w:hAnsi="Sylfaen" w:cs="Sylfaen"/>
          <w:sz w:val="24"/>
          <w:szCs w:val="24"/>
          <w:lang w:val="ka-GE"/>
        </w:rPr>
        <w:t>ს,</w:t>
      </w:r>
      <w:r w:rsidRPr="00840CA5">
        <w:rPr>
          <w:rFonts w:ascii="Sylfaen" w:hAnsi="Sylfaen" w:cs="Sylfaen"/>
          <w:sz w:val="24"/>
          <w:szCs w:val="24"/>
          <w:lang w:val="ka-GE"/>
        </w:rPr>
        <w:t xml:space="preserve">  განსაკუთრებით ჰიპოკალიემიის განვითარება.</w:t>
      </w:r>
    </w:p>
    <w:p w14:paraId="45BBF0E4" w14:textId="7F097897" w:rsidR="006107FE" w:rsidRPr="00840CA5" w:rsidRDefault="006107FE" w:rsidP="007050C7">
      <w:pPr>
        <w:pStyle w:val="ListParagraph"/>
        <w:numPr>
          <w:ilvl w:val="0"/>
          <w:numId w:val="37"/>
        </w:numPr>
        <w:spacing w:after="0" w:line="240" w:lineRule="auto"/>
        <w:ind w:left="-630" w:right="-301"/>
        <w:jc w:val="both"/>
        <w:rPr>
          <w:rFonts w:ascii="Sylfaen" w:hAnsi="Sylfaen" w:cs="Sylfaen"/>
          <w:sz w:val="24"/>
          <w:szCs w:val="24"/>
          <w:lang w:val="ka-GE"/>
        </w:rPr>
      </w:pPr>
      <w:r w:rsidRPr="00840CA5">
        <w:rPr>
          <w:rFonts w:ascii="Sylfaen" w:hAnsi="Sylfaen" w:cs="Sylfaen"/>
          <w:b/>
          <w:sz w:val="24"/>
          <w:szCs w:val="24"/>
          <w:lang w:val="ka-GE"/>
        </w:rPr>
        <w:t>დოზის გადაჭარბება</w:t>
      </w:r>
    </w:p>
    <w:p w14:paraId="00F304BE" w14:textId="47EA75AA" w:rsidR="00B06D3F" w:rsidRPr="00840CA5" w:rsidRDefault="00B06D3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არ არსებობს კონკრეტული ინფორმაცია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არტანის კალიუმი/ ჰიდროქლოროთიაზიდის</w:t>
      </w:r>
      <w:r w:rsidRPr="00840CA5">
        <w:rPr>
          <w:rFonts w:ascii="Sylfaen" w:hAnsi="Sylfaen" w:cs="Sylfaen"/>
          <w:sz w:val="24"/>
          <w:szCs w:val="24"/>
          <w:lang w:val="ka-GE"/>
        </w:rPr>
        <w:t xml:space="preserve"> დოზის გადაჭარბების მკურნალობის შესახებ. ზედოზირების სიმპტომების გამოვლენისას საჭიროა სიმპტომური მკურნალობა. </w:t>
      </w:r>
      <w:r w:rsidRPr="00840CA5">
        <w:rPr>
          <w:rFonts w:ascii="Sylfaen" w:hAnsi="Sylfaen"/>
          <w:sz w:val="24"/>
          <w:szCs w:val="24"/>
          <w:lang w:val="ka-GE"/>
        </w:rPr>
        <w:t>ლო</w:t>
      </w:r>
      <w:r w:rsidR="0039482E" w:rsidRPr="00840CA5">
        <w:rPr>
          <w:rFonts w:ascii="Sylfaen" w:hAnsi="Sylfaen"/>
          <w:sz w:val="24"/>
          <w:szCs w:val="24"/>
          <w:lang w:val="ka-GE"/>
        </w:rPr>
        <w:t>ზ</w:t>
      </w:r>
      <w:r w:rsidRPr="00840CA5">
        <w:rPr>
          <w:rFonts w:ascii="Sylfaen" w:hAnsi="Sylfaen"/>
          <w:sz w:val="24"/>
          <w:szCs w:val="24"/>
          <w:lang w:val="ka-GE"/>
        </w:rPr>
        <w:t xml:space="preserve">არტანის კალიუმი/ ჰიდროქლოროთიაზიდით </w:t>
      </w:r>
      <w:r w:rsidRPr="00840CA5">
        <w:rPr>
          <w:rFonts w:ascii="Sylfaen" w:hAnsi="Sylfaen" w:cs="Sylfaen"/>
          <w:sz w:val="24"/>
          <w:szCs w:val="24"/>
          <w:lang w:val="ka-GE"/>
        </w:rPr>
        <w:t>მკურნალობა უნდა შეწყდეს და პაციენტზე უნდა განხორციელდეს დაკვირვება. მისაღები ზომები მოიცავს ღებინების გამოწვევას, აგრეთვე დეჰიდრატაციის, ელექტროლიტური დისბალანსის, ღვიძლის კომისა და ჰიპოტენზიის მკურნალობას დადგენილი პროცედურებით.</w:t>
      </w:r>
    </w:p>
    <w:p w14:paraId="0609ABD1" w14:textId="046B3127" w:rsidR="00B06D3F" w:rsidRPr="00840CA5" w:rsidRDefault="00B06D3F"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ლო</w:t>
      </w:r>
      <w:r w:rsidR="0039482E" w:rsidRPr="00840CA5">
        <w:rPr>
          <w:rFonts w:ascii="Sylfaen" w:hAnsi="Sylfaen" w:cs="Sylfaen"/>
          <w:b/>
          <w:bCs/>
          <w:sz w:val="24"/>
          <w:szCs w:val="24"/>
          <w:lang w:val="ka-GE"/>
        </w:rPr>
        <w:t>ზ</w:t>
      </w:r>
      <w:r w:rsidRPr="00840CA5">
        <w:rPr>
          <w:rFonts w:ascii="Sylfaen" w:hAnsi="Sylfaen" w:cs="Sylfaen"/>
          <w:b/>
          <w:bCs/>
          <w:sz w:val="24"/>
          <w:szCs w:val="24"/>
          <w:lang w:val="ka-GE"/>
        </w:rPr>
        <w:t>არტანი</w:t>
      </w:r>
    </w:p>
    <w:p w14:paraId="3C112CA5" w14:textId="188E955C" w:rsidR="00B06D3F" w:rsidRPr="00840CA5" w:rsidRDefault="00E223A5"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არ არსებობს საკმარისი</w:t>
      </w:r>
      <w:r w:rsidR="00B06D3F" w:rsidRPr="00840CA5">
        <w:rPr>
          <w:rFonts w:ascii="Sylfaen" w:hAnsi="Sylfaen" w:cs="Sylfaen"/>
          <w:sz w:val="24"/>
          <w:szCs w:val="24"/>
          <w:lang w:val="ka-GE"/>
        </w:rPr>
        <w:t xml:space="preserve"> მონაცემები ადამიანებში დოზის გადაჭარბების შესახებ. დოზის გადაჭარბების ყველაზე სავარაუდო გამოვლინება იქნება არტერიული ჰიპოტენზია და ტაქიკარდია; ბრადიკარდია შეიძლება განვითარდეს პარასიმპათიკური (ვაგალური) სტიმულაციით. სიმპტომატური ჰიპოტენზიის შემთხ</w:t>
      </w:r>
      <w:r w:rsidRPr="00840CA5">
        <w:rPr>
          <w:rFonts w:ascii="Sylfaen" w:hAnsi="Sylfaen" w:cs="Sylfaen"/>
          <w:sz w:val="24"/>
          <w:szCs w:val="24"/>
          <w:lang w:val="ka-GE"/>
        </w:rPr>
        <w:t>ვ</w:t>
      </w:r>
      <w:r w:rsidR="00B06D3F" w:rsidRPr="00840CA5">
        <w:rPr>
          <w:rFonts w:ascii="Sylfaen" w:hAnsi="Sylfaen" w:cs="Sylfaen"/>
          <w:sz w:val="24"/>
          <w:szCs w:val="24"/>
          <w:lang w:val="ka-GE"/>
        </w:rPr>
        <w:t>ევაში უნდა ჩატარდეს დამხმარე მკურნალობა.</w:t>
      </w:r>
    </w:p>
    <w:p w14:paraId="79EA925C" w14:textId="5B8FC6F9" w:rsidR="00B06D3F" w:rsidRPr="00840CA5" w:rsidRDefault="00B06D3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არც ლო</w:t>
      </w:r>
      <w:r w:rsidR="0039482E" w:rsidRPr="00840CA5">
        <w:rPr>
          <w:rFonts w:ascii="Sylfaen" w:hAnsi="Sylfaen" w:cs="Sylfaen"/>
          <w:sz w:val="24"/>
          <w:szCs w:val="24"/>
          <w:lang w:val="ka-GE"/>
        </w:rPr>
        <w:t>ზ</w:t>
      </w:r>
      <w:r w:rsidRPr="00840CA5">
        <w:rPr>
          <w:rFonts w:ascii="Sylfaen" w:hAnsi="Sylfaen" w:cs="Sylfaen"/>
          <w:sz w:val="24"/>
          <w:szCs w:val="24"/>
          <w:lang w:val="ka-GE"/>
        </w:rPr>
        <w:t>არტანი და არც აქტიური მეტაბოლიტი არ გამოიდევნება ჰემოდიალიზით.</w:t>
      </w:r>
    </w:p>
    <w:p w14:paraId="36FDBAE6" w14:textId="77777777" w:rsidR="00B06D3F" w:rsidRPr="00840CA5" w:rsidRDefault="00B06D3F" w:rsidP="007050C7">
      <w:pPr>
        <w:spacing w:after="0" w:line="240" w:lineRule="auto"/>
        <w:ind w:left="-990" w:right="-301"/>
        <w:jc w:val="both"/>
        <w:rPr>
          <w:rFonts w:ascii="Sylfaen" w:hAnsi="Sylfaen" w:cs="Sylfaen"/>
          <w:b/>
          <w:bCs/>
          <w:sz w:val="24"/>
          <w:szCs w:val="24"/>
          <w:lang w:val="ka-GE"/>
        </w:rPr>
      </w:pPr>
      <w:r w:rsidRPr="00840CA5">
        <w:rPr>
          <w:rFonts w:ascii="Sylfaen" w:hAnsi="Sylfaen" w:cs="Sylfaen"/>
          <w:b/>
          <w:bCs/>
          <w:sz w:val="24"/>
          <w:szCs w:val="24"/>
          <w:lang w:val="ka-GE"/>
        </w:rPr>
        <w:t>ჰიდროქლოროთიაზიდი</w:t>
      </w:r>
    </w:p>
    <w:p w14:paraId="3EF7DD8D" w14:textId="522E916E" w:rsidR="00B06D3F" w:rsidRPr="00840CA5" w:rsidRDefault="00B06D3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 xml:space="preserve">ყველაზე ხშირად გამოვლენილი ნიშნები და სიმპტომები გამოწვეულია ელექტროლიტების დაკარგვით (ჰიპოკალემია, ჰიპოქლორემია, ჰიპონატრიემია) და ჭარბი დიურეზის შედეგად გამოწვეული დეჰიდრატაციით.  თუ ასევე მიღებულია საგულე გლიკოზიდები, ჰიპოკალემიამ შეიძლება გაამწვაოს გულის არითმია. </w:t>
      </w:r>
    </w:p>
    <w:p w14:paraId="45FB3573" w14:textId="77777777" w:rsidR="00B06D3F" w:rsidRPr="00840CA5" w:rsidRDefault="00B06D3F" w:rsidP="007050C7">
      <w:pPr>
        <w:spacing w:after="0" w:line="240" w:lineRule="auto"/>
        <w:ind w:left="-990" w:right="-301"/>
        <w:jc w:val="both"/>
        <w:rPr>
          <w:rFonts w:ascii="Sylfaen" w:hAnsi="Sylfaen" w:cs="Sylfaen"/>
          <w:sz w:val="24"/>
          <w:szCs w:val="24"/>
          <w:lang w:val="ka-GE"/>
        </w:rPr>
      </w:pPr>
      <w:r w:rsidRPr="00840CA5">
        <w:rPr>
          <w:rFonts w:ascii="Sylfaen" w:hAnsi="Sylfaen" w:cs="Sylfaen"/>
          <w:sz w:val="24"/>
          <w:szCs w:val="24"/>
          <w:lang w:val="ka-GE"/>
        </w:rPr>
        <w:t>ჰემოდიალიზით ჰიდროქლორთიაზიდის გამოდევნის ხარისხი დადგენილი არ არის.</w:t>
      </w:r>
    </w:p>
    <w:p w14:paraId="03198203" w14:textId="73E5BCF3" w:rsidR="006107FE" w:rsidRPr="00840CA5" w:rsidRDefault="006107FE" w:rsidP="007050C7">
      <w:pPr>
        <w:pStyle w:val="ListParagraph"/>
        <w:numPr>
          <w:ilvl w:val="0"/>
          <w:numId w:val="37"/>
        </w:numPr>
        <w:spacing w:after="0" w:line="240" w:lineRule="auto"/>
        <w:ind w:left="-630" w:right="-301"/>
        <w:jc w:val="both"/>
        <w:rPr>
          <w:rFonts w:ascii="Sylfaen" w:hAnsi="Sylfaen" w:cs="Sylfaen"/>
          <w:b/>
          <w:sz w:val="24"/>
          <w:szCs w:val="24"/>
          <w:lang w:val="ka-GE"/>
        </w:rPr>
      </w:pPr>
      <w:r w:rsidRPr="00840CA5">
        <w:rPr>
          <w:rFonts w:ascii="Sylfaen" w:hAnsi="Sylfaen" w:cs="Sylfaen"/>
          <w:b/>
          <w:sz w:val="24"/>
          <w:szCs w:val="24"/>
          <w:lang w:val="ka-GE"/>
        </w:rPr>
        <w:t>შენახვის პირობები</w:t>
      </w:r>
    </w:p>
    <w:p w14:paraId="049D4CB7" w14:textId="154F6896" w:rsidR="00B06D3F" w:rsidRPr="00840CA5" w:rsidRDefault="006107FE" w:rsidP="007050C7">
      <w:pPr>
        <w:spacing w:after="0" w:line="240" w:lineRule="auto"/>
        <w:ind w:left="-990" w:right="-301"/>
        <w:jc w:val="both"/>
        <w:rPr>
          <w:rFonts w:ascii="Sylfaen" w:hAnsi="Sylfaen"/>
          <w:sz w:val="24"/>
          <w:szCs w:val="24"/>
          <w:lang w:val="ka-GE"/>
        </w:rPr>
      </w:pPr>
      <w:r w:rsidRPr="00840CA5">
        <w:rPr>
          <w:rFonts w:ascii="Sylfaen" w:hAnsi="Sylfaen"/>
          <w:bCs/>
          <w:sz w:val="24"/>
          <w:szCs w:val="24"/>
          <w:lang w:val="ka-GE"/>
        </w:rPr>
        <w:t xml:space="preserve">ინახება არაუმეტეს </w:t>
      </w:r>
      <w:r w:rsidRPr="00840CA5">
        <w:rPr>
          <w:rFonts w:ascii="Sylfaen" w:hAnsi="Sylfaen"/>
          <w:sz w:val="24"/>
          <w:szCs w:val="24"/>
          <w:lang w:val="ka-GE"/>
        </w:rPr>
        <w:t>25</w:t>
      </w:r>
      <w:r w:rsidRPr="00840CA5">
        <w:rPr>
          <w:rFonts w:ascii="Sylfaen" w:hAnsi="Sylfaen"/>
          <w:sz w:val="24"/>
          <w:szCs w:val="24"/>
          <w:vertAlign w:val="superscript"/>
          <w:lang w:val="ka-GE"/>
        </w:rPr>
        <w:t>0</w:t>
      </w:r>
      <w:r w:rsidRPr="00840CA5">
        <w:rPr>
          <w:rFonts w:ascii="Sylfaen" w:hAnsi="Sylfaen"/>
          <w:sz w:val="24"/>
          <w:szCs w:val="24"/>
        </w:rPr>
        <w:t>C</w:t>
      </w:r>
      <w:r w:rsidRPr="00840CA5">
        <w:rPr>
          <w:rFonts w:ascii="Sylfaen" w:hAnsi="Sylfaen"/>
          <w:sz w:val="24"/>
          <w:szCs w:val="24"/>
          <w:lang w:val="ka-GE"/>
        </w:rPr>
        <w:t xml:space="preserve"> ტემპერატურაზე</w:t>
      </w:r>
      <w:r w:rsidR="00B06D3F" w:rsidRPr="00840CA5">
        <w:rPr>
          <w:rFonts w:ascii="Sylfaen" w:hAnsi="Sylfaen"/>
          <w:sz w:val="24"/>
          <w:szCs w:val="24"/>
          <w:lang w:val="ka-GE"/>
        </w:rPr>
        <w:t>.</w:t>
      </w:r>
      <w:r w:rsidRPr="00840CA5">
        <w:rPr>
          <w:rFonts w:ascii="Sylfaen" w:hAnsi="Sylfaen"/>
          <w:sz w:val="24"/>
          <w:szCs w:val="24"/>
          <w:lang w:val="ka-GE"/>
        </w:rPr>
        <w:t xml:space="preserve"> </w:t>
      </w:r>
    </w:p>
    <w:p w14:paraId="226BF54C" w14:textId="182BF79F" w:rsidR="00057E94" w:rsidRPr="00840CA5" w:rsidRDefault="00057E94" w:rsidP="007050C7">
      <w:pPr>
        <w:spacing w:after="0" w:line="240" w:lineRule="auto"/>
        <w:ind w:left="-990" w:right="-211"/>
        <w:jc w:val="both"/>
        <w:rPr>
          <w:rFonts w:ascii="Sylfaen" w:hAnsi="Sylfaen" w:cs="Sylfaen"/>
          <w:sz w:val="24"/>
          <w:szCs w:val="24"/>
          <w:lang w:val="ka-GE"/>
        </w:rPr>
      </w:pPr>
      <w:r w:rsidRPr="00840CA5">
        <w:rPr>
          <w:rFonts w:ascii="Sylfaen" w:hAnsi="Sylfaen"/>
          <w:sz w:val="24"/>
          <w:szCs w:val="24"/>
          <w:lang w:val="ka-GE"/>
        </w:rPr>
        <w:t>შეინახეთ ბავშვებისთვის მიუწვდომელ ადგილას.</w:t>
      </w:r>
    </w:p>
    <w:p w14:paraId="5FFBE5B0" w14:textId="77777777" w:rsidR="006107FE" w:rsidRPr="00840CA5" w:rsidRDefault="006107FE" w:rsidP="007050C7">
      <w:pPr>
        <w:pStyle w:val="ListParagraph"/>
        <w:numPr>
          <w:ilvl w:val="0"/>
          <w:numId w:val="37"/>
        </w:numPr>
        <w:spacing w:after="0" w:line="240" w:lineRule="auto"/>
        <w:ind w:left="-630" w:right="-301"/>
        <w:jc w:val="both"/>
        <w:rPr>
          <w:rFonts w:ascii="Sylfaen" w:hAnsi="Sylfaen" w:cs="Sylfaen"/>
          <w:b/>
          <w:sz w:val="24"/>
          <w:szCs w:val="24"/>
          <w:lang w:val="ka-GE"/>
        </w:rPr>
      </w:pPr>
      <w:r w:rsidRPr="00840CA5">
        <w:rPr>
          <w:rFonts w:ascii="Sylfaen" w:hAnsi="Sylfaen" w:cs="Sylfaen"/>
          <w:b/>
          <w:sz w:val="24"/>
          <w:szCs w:val="24"/>
          <w:lang w:val="ka-GE"/>
        </w:rPr>
        <w:t>შეფუთვა</w:t>
      </w:r>
    </w:p>
    <w:p w14:paraId="5DA77D05" w14:textId="17CE7E7E" w:rsidR="006107FE" w:rsidRPr="00840CA5" w:rsidRDefault="00057E94" w:rsidP="007050C7">
      <w:pPr>
        <w:spacing w:after="0" w:line="240" w:lineRule="auto"/>
        <w:ind w:left="-990" w:right="-301"/>
        <w:jc w:val="both"/>
        <w:rPr>
          <w:rFonts w:ascii="Sylfaen" w:hAnsi="Sylfaen"/>
          <w:sz w:val="24"/>
          <w:szCs w:val="24"/>
          <w:lang w:val="ka-GE"/>
        </w:rPr>
      </w:pPr>
      <w:r w:rsidRPr="00840CA5">
        <w:rPr>
          <w:rFonts w:ascii="Sylfaen" w:hAnsi="Sylfaen"/>
          <w:sz w:val="24"/>
          <w:szCs w:val="24"/>
        </w:rPr>
        <w:t xml:space="preserve">3x10 </w:t>
      </w:r>
      <w:r w:rsidR="006107FE" w:rsidRPr="00840CA5">
        <w:rPr>
          <w:rFonts w:ascii="Sylfaen" w:hAnsi="Sylfaen"/>
          <w:sz w:val="24"/>
          <w:szCs w:val="24"/>
          <w:lang w:val="ka-GE"/>
        </w:rPr>
        <w:t>ტაბლეტი დაფასოებულია Alu/Alu ბლისტერზე, რომელიც ინსტრუქციასთან ერთად მოთავსებულია მუყაოს კოლოფში.</w:t>
      </w:r>
    </w:p>
    <w:p w14:paraId="457B8BCA" w14:textId="77777777" w:rsidR="006107FE" w:rsidRPr="00840CA5" w:rsidRDefault="006107FE" w:rsidP="007050C7">
      <w:pPr>
        <w:pStyle w:val="ListParagraph"/>
        <w:numPr>
          <w:ilvl w:val="0"/>
          <w:numId w:val="37"/>
        </w:numPr>
        <w:spacing w:after="0" w:line="240" w:lineRule="auto"/>
        <w:ind w:left="-630" w:right="-301"/>
        <w:jc w:val="both"/>
        <w:rPr>
          <w:rFonts w:ascii="Sylfaen" w:hAnsi="Sylfaen" w:cs="Sylfaen"/>
          <w:b/>
          <w:sz w:val="24"/>
          <w:szCs w:val="24"/>
          <w:lang w:val="ka-GE"/>
        </w:rPr>
      </w:pPr>
      <w:r w:rsidRPr="00840CA5">
        <w:rPr>
          <w:rFonts w:ascii="Sylfaen" w:hAnsi="Sylfaen" w:cs="Sylfaen"/>
          <w:b/>
          <w:sz w:val="24"/>
          <w:szCs w:val="24"/>
          <w:lang w:val="ka-GE"/>
        </w:rPr>
        <w:t>ვარგისიანობის ვადა</w:t>
      </w:r>
    </w:p>
    <w:p w14:paraId="2FAEA617" w14:textId="388FE58C" w:rsidR="006107FE" w:rsidRDefault="00B06D3F" w:rsidP="007050C7">
      <w:pPr>
        <w:spacing w:after="0" w:line="240" w:lineRule="auto"/>
        <w:ind w:left="-990" w:right="-301"/>
        <w:jc w:val="both"/>
        <w:rPr>
          <w:rFonts w:ascii="Sylfaen" w:hAnsi="Sylfaen"/>
          <w:sz w:val="24"/>
          <w:szCs w:val="24"/>
          <w:lang w:val="ka-GE"/>
        </w:rPr>
      </w:pPr>
      <w:r w:rsidRPr="00840CA5">
        <w:rPr>
          <w:rFonts w:ascii="Sylfaen" w:hAnsi="Sylfaen"/>
          <w:sz w:val="24"/>
          <w:szCs w:val="24"/>
          <w:lang w:val="ka-GE"/>
        </w:rPr>
        <w:t>36</w:t>
      </w:r>
      <w:r w:rsidR="006107FE" w:rsidRPr="00840CA5">
        <w:rPr>
          <w:rFonts w:ascii="Sylfaen" w:hAnsi="Sylfaen"/>
          <w:sz w:val="24"/>
          <w:szCs w:val="24"/>
          <w:lang w:val="ka-GE"/>
        </w:rPr>
        <w:t>თვე</w:t>
      </w:r>
    </w:p>
    <w:p w14:paraId="2F8D918C" w14:textId="77777777" w:rsidR="008E46CC" w:rsidRPr="00840CA5" w:rsidRDefault="008E46CC" w:rsidP="008E46CC">
      <w:pPr>
        <w:spacing w:after="0" w:line="240" w:lineRule="auto"/>
        <w:ind w:left="-990" w:right="-211"/>
        <w:jc w:val="both"/>
        <w:rPr>
          <w:rFonts w:ascii="Sylfaen" w:hAnsi="Sylfaen"/>
          <w:b/>
          <w:bCs/>
          <w:sz w:val="24"/>
          <w:szCs w:val="24"/>
          <w:lang w:val="ka-GE"/>
        </w:rPr>
      </w:pPr>
      <w:r w:rsidRPr="0017283B">
        <w:rPr>
          <w:rFonts w:ascii="Sylfaen" w:eastAsia="SimSun" w:hAnsi="Sylfaen"/>
          <w:b/>
          <w:lang w:val="ka-GE"/>
        </w:rPr>
        <w:t>გაცემის წესი</w:t>
      </w:r>
      <w:r>
        <w:rPr>
          <w:rFonts w:ascii="Sylfaen" w:eastAsia="SimSun" w:hAnsi="Sylfaen"/>
          <w:bCs/>
          <w:lang w:val="ka-GE"/>
        </w:rPr>
        <w:t xml:space="preserve"> - </w:t>
      </w:r>
      <w:r w:rsidRPr="009F02B7">
        <w:rPr>
          <w:rFonts w:ascii="Sylfaen" w:eastAsia="SimSun" w:hAnsi="Sylfaen"/>
          <w:bCs/>
          <w:lang w:val="ka-GE"/>
        </w:rPr>
        <w:t xml:space="preserve">ფარმაცევტული პროდუქტის ჯგუფი II, გაიცემა ფორმა </w:t>
      </w:r>
      <w:r w:rsidRPr="009F02B7">
        <w:rPr>
          <w:rFonts w:ascii="Sylfaen" w:hAnsi="Sylfaen"/>
          <w:lang w:val="ka-GE"/>
        </w:rPr>
        <w:t>№</w:t>
      </w:r>
      <w:r w:rsidRPr="009F02B7">
        <w:rPr>
          <w:rFonts w:ascii="Sylfaen" w:eastAsia="SimSun" w:hAnsi="Sylfaen"/>
          <w:bCs/>
          <w:lang w:val="ka-GE"/>
        </w:rPr>
        <w:t>3 რეცეპტით</w:t>
      </w:r>
    </w:p>
    <w:p w14:paraId="1B206C32" w14:textId="77777777" w:rsidR="0091595D" w:rsidRPr="00C214F1" w:rsidRDefault="0091595D" w:rsidP="0091595D">
      <w:pPr>
        <w:spacing w:after="0"/>
        <w:ind w:left="-990" w:right="-301"/>
        <w:jc w:val="both"/>
        <w:rPr>
          <w:rFonts w:ascii="Sylfaen" w:hAnsi="Sylfaen"/>
          <w:sz w:val="24"/>
          <w:szCs w:val="24"/>
          <w:lang w:val="ka-GE"/>
        </w:rPr>
      </w:pPr>
      <w:r w:rsidRPr="00B87C15">
        <w:rPr>
          <w:rFonts w:ascii="Sylfaen" w:hAnsi="Sylfaen" w:cs="Sylfaen"/>
          <w:b/>
          <w:sz w:val="24"/>
          <w:szCs w:val="24"/>
          <w:lang w:val="ka-GE"/>
        </w:rPr>
        <w:t xml:space="preserve">წარმოებულია </w:t>
      </w:r>
      <w:r>
        <w:rPr>
          <w:rFonts w:ascii="Sylfaen" w:hAnsi="Sylfaen" w:cs="Sylfaen"/>
          <w:b/>
          <w:sz w:val="24"/>
          <w:szCs w:val="24"/>
        </w:rPr>
        <w:t>Centurion Laboratories Pvt.Ltd.,</w:t>
      </w:r>
      <w:r w:rsidRPr="00B87C15">
        <w:rPr>
          <w:rFonts w:ascii="Sylfaen" w:hAnsi="Sylfaen" w:cs="Sylfaen"/>
          <w:b/>
          <w:sz w:val="24"/>
          <w:szCs w:val="24"/>
          <w:lang w:val="ka-GE"/>
        </w:rPr>
        <w:t xml:space="preserve">-ის </w:t>
      </w:r>
      <w:r w:rsidRPr="00C214F1">
        <w:rPr>
          <w:rFonts w:ascii="Sylfaen" w:hAnsi="Sylfaen" w:cs="Sylfaen"/>
          <w:b/>
          <w:sz w:val="24"/>
          <w:szCs w:val="24"/>
        </w:rPr>
        <w:t>(</w:t>
      </w:r>
      <w:r w:rsidRPr="00C214F1">
        <w:rPr>
          <w:rFonts w:ascii="Sylfaen" w:hAnsi="Sylfaen"/>
          <w:sz w:val="24"/>
          <w:szCs w:val="24"/>
          <w:lang w:val="ka-GE"/>
        </w:rPr>
        <w:t xml:space="preserve">ინდოეთი, 391775, გუჯარათი, მანჯუსარი, ტალ სავლი, Biotechpark, Plot </w:t>
      </w:r>
      <w:r w:rsidRPr="00C214F1">
        <w:rPr>
          <w:rFonts w:ascii="Sylfaen" w:hAnsi="Sylfaen"/>
          <w:sz w:val="24"/>
          <w:szCs w:val="24"/>
        </w:rPr>
        <w:t>No.</w:t>
      </w:r>
      <w:r w:rsidRPr="00C214F1">
        <w:rPr>
          <w:rFonts w:ascii="Sylfaen" w:hAnsi="Sylfaen"/>
          <w:sz w:val="24"/>
          <w:szCs w:val="24"/>
          <w:lang w:val="ka-GE"/>
        </w:rPr>
        <w:t xml:space="preserve"> P 2) </w:t>
      </w:r>
      <w:r w:rsidRPr="00C214F1">
        <w:rPr>
          <w:rFonts w:ascii="Sylfaen" w:hAnsi="Sylfaen" w:cs="Sylfaen"/>
          <w:b/>
          <w:sz w:val="24"/>
          <w:szCs w:val="24"/>
          <w:lang w:val="ka-GE"/>
        </w:rPr>
        <w:t>მიერ</w:t>
      </w:r>
    </w:p>
    <w:p w14:paraId="45E378CE" w14:textId="77777777" w:rsidR="0091595D" w:rsidRPr="00C214F1" w:rsidRDefault="0091595D" w:rsidP="0091595D">
      <w:pPr>
        <w:spacing w:after="0"/>
        <w:ind w:left="-990" w:right="-301"/>
        <w:jc w:val="both"/>
        <w:rPr>
          <w:rFonts w:ascii="Sylfaen" w:hAnsi="Sylfaen" w:cs="Sylfaen"/>
          <w:b/>
          <w:sz w:val="24"/>
          <w:szCs w:val="24"/>
          <w:lang w:val="ka-GE"/>
        </w:rPr>
      </w:pPr>
      <w:r w:rsidRPr="00C214F1">
        <w:rPr>
          <w:rFonts w:ascii="Sylfaen" w:hAnsi="Sylfaen" w:cs="Sylfaen"/>
          <w:b/>
          <w:sz w:val="24"/>
          <w:szCs w:val="24"/>
          <w:lang w:val="ka-GE"/>
        </w:rPr>
        <w:t xml:space="preserve">წარმოებულია Remus Pharmaceuticals Ltd.-სთვის </w:t>
      </w:r>
      <w:r w:rsidRPr="00C214F1">
        <w:rPr>
          <w:rFonts w:ascii="Sylfaen" w:hAnsi="Sylfaen" w:cs="Sylfaen"/>
          <w:sz w:val="24"/>
          <w:szCs w:val="24"/>
          <w:lang w:val="ka-GE"/>
        </w:rPr>
        <w:t>(1101-B, 1102, 1103, მე-11 სართული, South Tower, ONE42, ამბლი,  ბოპალის ქუჩა, ჯაინტილალის პარკი, ბოდაკდევი, აჰმედაბადი- 380054, გუჯარათი, ინდოეთი)</w:t>
      </w:r>
    </w:p>
    <w:p w14:paraId="65FE6E7C" w14:textId="0F8DEC7D" w:rsidR="006107FE" w:rsidRPr="00B16BB6" w:rsidRDefault="0074303F" w:rsidP="007050C7">
      <w:pPr>
        <w:spacing w:after="0" w:line="240" w:lineRule="auto"/>
        <w:ind w:left="-990" w:right="-301"/>
        <w:jc w:val="both"/>
        <w:rPr>
          <w:rFonts w:ascii="Sylfaen" w:hAnsi="Sylfaen"/>
          <w:i/>
          <w:iCs/>
          <w:sz w:val="24"/>
          <w:szCs w:val="24"/>
          <w:lang w:val="ka-GE"/>
        </w:rPr>
      </w:pPr>
      <w:r w:rsidRPr="00840CA5">
        <w:rPr>
          <w:rFonts w:ascii="Sylfaen" w:hAnsi="Sylfaen"/>
          <w:i/>
          <w:iCs/>
          <w:sz w:val="24"/>
          <w:szCs w:val="24"/>
          <w:lang w:val="ka-GE"/>
        </w:rPr>
        <w:t xml:space="preserve">ხელმოწერილია/ </w:t>
      </w:r>
      <w:r w:rsidR="006107FE" w:rsidRPr="00840CA5">
        <w:rPr>
          <w:rFonts w:ascii="Sylfaen" w:hAnsi="Sylfaen"/>
          <w:i/>
          <w:iCs/>
          <w:sz w:val="24"/>
          <w:szCs w:val="24"/>
          <w:lang w:val="ka-GE"/>
        </w:rPr>
        <w:t>ბეჭედდასმულია</w:t>
      </w:r>
    </w:p>
    <w:sectPr w:rsidR="006107FE" w:rsidRPr="00B16BB6" w:rsidSect="0049191E">
      <w:pgSz w:w="12240" w:h="15840"/>
      <w:pgMar w:top="540" w:right="850" w:bottom="72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B6607"/>
    <w:multiLevelType w:val="multilevel"/>
    <w:tmpl w:val="CF4C21CA"/>
    <w:lvl w:ilvl="0">
      <w:start w:val="1"/>
      <w:numFmt w:val="decimal"/>
      <w:lvlText w:val="%1."/>
      <w:lvlJc w:val="left"/>
      <w:pPr>
        <w:ind w:left="-207" w:hanging="360"/>
      </w:pPr>
      <w:rPr>
        <w:rFonts w:hint="default"/>
      </w:rPr>
    </w:lvl>
    <w:lvl w:ilvl="1">
      <w:start w:val="1"/>
      <w:numFmt w:val="decimal"/>
      <w:isLgl/>
      <w:lvlText w:val="%1.%2."/>
      <w:lvlJc w:val="left"/>
      <w:pPr>
        <w:ind w:left="-162" w:hanging="405"/>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153" w:hanging="72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 w15:restartNumberingAfterBreak="0">
    <w:nsid w:val="09C62B4A"/>
    <w:multiLevelType w:val="hybridMultilevel"/>
    <w:tmpl w:val="AE100D0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 w15:restartNumberingAfterBreak="0">
    <w:nsid w:val="09F52B22"/>
    <w:multiLevelType w:val="hybridMultilevel"/>
    <w:tmpl w:val="E08C0FC4"/>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3" w15:restartNumberingAfterBreak="0">
    <w:nsid w:val="0A3B3867"/>
    <w:multiLevelType w:val="hybridMultilevel"/>
    <w:tmpl w:val="360E11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D429A"/>
    <w:multiLevelType w:val="hybridMultilevel"/>
    <w:tmpl w:val="A56CCF6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5" w15:restartNumberingAfterBreak="0">
    <w:nsid w:val="11AB0D01"/>
    <w:multiLevelType w:val="hybridMultilevel"/>
    <w:tmpl w:val="462EE26E"/>
    <w:lvl w:ilvl="0" w:tplc="DBE0E198">
      <w:start w:val="24"/>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6" w15:restartNumberingAfterBreak="0">
    <w:nsid w:val="130A219C"/>
    <w:multiLevelType w:val="hybridMultilevel"/>
    <w:tmpl w:val="22C2C49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7" w15:restartNumberingAfterBreak="0">
    <w:nsid w:val="15CB4BA9"/>
    <w:multiLevelType w:val="hybridMultilevel"/>
    <w:tmpl w:val="ABDC9DD4"/>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8" w15:restartNumberingAfterBreak="0">
    <w:nsid w:val="1F6C283F"/>
    <w:multiLevelType w:val="hybridMultilevel"/>
    <w:tmpl w:val="818EBAEA"/>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9" w15:restartNumberingAfterBreak="0">
    <w:nsid w:val="258C35CD"/>
    <w:multiLevelType w:val="hybridMultilevel"/>
    <w:tmpl w:val="35C2B32C"/>
    <w:lvl w:ilvl="0" w:tplc="E1761684">
      <w:start w:val="1"/>
      <w:numFmt w:val="decimal"/>
      <w:lvlText w:val="%1."/>
      <w:lvlJc w:val="left"/>
      <w:pPr>
        <w:ind w:left="-540" w:hanging="360"/>
      </w:pPr>
      <w:rPr>
        <w:rFonts w:hint="default"/>
      </w:rPr>
    </w:lvl>
    <w:lvl w:ilvl="1" w:tplc="04090019" w:tentative="1">
      <w:start w:val="1"/>
      <w:numFmt w:val="lowerLetter"/>
      <w:lvlText w:val="%2."/>
      <w:lvlJc w:val="left"/>
      <w:pPr>
        <w:ind w:left="180" w:hanging="360"/>
      </w:pPr>
    </w:lvl>
    <w:lvl w:ilvl="2" w:tplc="0409001B" w:tentative="1">
      <w:start w:val="1"/>
      <w:numFmt w:val="lowerRoman"/>
      <w:lvlText w:val="%3."/>
      <w:lvlJc w:val="right"/>
      <w:pPr>
        <w:ind w:left="900" w:hanging="180"/>
      </w:pPr>
    </w:lvl>
    <w:lvl w:ilvl="3" w:tplc="0409000F" w:tentative="1">
      <w:start w:val="1"/>
      <w:numFmt w:val="decimal"/>
      <w:lvlText w:val="%4."/>
      <w:lvlJc w:val="left"/>
      <w:pPr>
        <w:ind w:left="1620" w:hanging="360"/>
      </w:pPr>
    </w:lvl>
    <w:lvl w:ilvl="4" w:tplc="04090019" w:tentative="1">
      <w:start w:val="1"/>
      <w:numFmt w:val="lowerLetter"/>
      <w:lvlText w:val="%5."/>
      <w:lvlJc w:val="left"/>
      <w:pPr>
        <w:ind w:left="2340" w:hanging="360"/>
      </w:pPr>
    </w:lvl>
    <w:lvl w:ilvl="5" w:tplc="0409001B" w:tentative="1">
      <w:start w:val="1"/>
      <w:numFmt w:val="lowerRoman"/>
      <w:lvlText w:val="%6."/>
      <w:lvlJc w:val="right"/>
      <w:pPr>
        <w:ind w:left="3060" w:hanging="180"/>
      </w:pPr>
    </w:lvl>
    <w:lvl w:ilvl="6" w:tplc="0409000F" w:tentative="1">
      <w:start w:val="1"/>
      <w:numFmt w:val="decimal"/>
      <w:lvlText w:val="%7."/>
      <w:lvlJc w:val="left"/>
      <w:pPr>
        <w:ind w:left="3780" w:hanging="360"/>
      </w:pPr>
    </w:lvl>
    <w:lvl w:ilvl="7" w:tplc="04090019" w:tentative="1">
      <w:start w:val="1"/>
      <w:numFmt w:val="lowerLetter"/>
      <w:lvlText w:val="%8."/>
      <w:lvlJc w:val="left"/>
      <w:pPr>
        <w:ind w:left="4500" w:hanging="360"/>
      </w:pPr>
    </w:lvl>
    <w:lvl w:ilvl="8" w:tplc="0409001B" w:tentative="1">
      <w:start w:val="1"/>
      <w:numFmt w:val="lowerRoman"/>
      <w:lvlText w:val="%9."/>
      <w:lvlJc w:val="right"/>
      <w:pPr>
        <w:ind w:left="5220" w:hanging="180"/>
      </w:pPr>
    </w:lvl>
  </w:abstractNum>
  <w:abstractNum w:abstractNumId="10" w15:restartNumberingAfterBreak="0">
    <w:nsid w:val="2ABB762B"/>
    <w:multiLevelType w:val="hybridMultilevel"/>
    <w:tmpl w:val="465CAF6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3271C16"/>
    <w:multiLevelType w:val="hybridMultilevel"/>
    <w:tmpl w:val="3F7ABEDA"/>
    <w:lvl w:ilvl="0" w:tplc="50F07620">
      <w:start w:val="10"/>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621ADD"/>
    <w:multiLevelType w:val="hybridMultilevel"/>
    <w:tmpl w:val="234450D0"/>
    <w:lvl w:ilvl="0" w:tplc="43EADC9E">
      <w:start w:val="1"/>
      <w:numFmt w:val="decimal"/>
      <w:lvlText w:val="%1."/>
      <w:lvlJc w:val="left"/>
      <w:pPr>
        <w:ind w:left="-66" w:hanging="360"/>
      </w:pPr>
      <w:rPr>
        <w:rFonts w:hint="default"/>
      </w:rPr>
    </w:lvl>
    <w:lvl w:ilvl="1" w:tplc="04090019" w:tentative="1">
      <w:start w:val="1"/>
      <w:numFmt w:val="lowerLetter"/>
      <w:lvlText w:val="%2."/>
      <w:lvlJc w:val="left"/>
      <w:pPr>
        <w:ind w:left="654" w:hanging="360"/>
      </w:pPr>
    </w:lvl>
    <w:lvl w:ilvl="2" w:tplc="0409001B" w:tentative="1">
      <w:start w:val="1"/>
      <w:numFmt w:val="lowerRoman"/>
      <w:lvlText w:val="%3."/>
      <w:lvlJc w:val="right"/>
      <w:pPr>
        <w:ind w:left="1374" w:hanging="180"/>
      </w:pPr>
    </w:lvl>
    <w:lvl w:ilvl="3" w:tplc="0409000F" w:tentative="1">
      <w:start w:val="1"/>
      <w:numFmt w:val="decimal"/>
      <w:lvlText w:val="%4."/>
      <w:lvlJc w:val="left"/>
      <w:pPr>
        <w:ind w:left="2094" w:hanging="360"/>
      </w:pPr>
    </w:lvl>
    <w:lvl w:ilvl="4" w:tplc="04090019" w:tentative="1">
      <w:start w:val="1"/>
      <w:numFmt w:val="lowerLetter"/>
      <w:lvlText w:val="%5."/>
      <w:lvlJc w:val="left"/>
      <w:pPr>
        <w:ind w:left="2814" w:hanging="360"/>
      </w:pPr>
    </w:lvl>
    <w:lvl w:ilvl="5" w:tplc="0409001B" w:tentative="1">
      <w:start w:val="1"/>
      <w:numFmt w:val="lowerRoman"/>
      <w:lvlText w:val="%6."/>
      <w:lvlJc w:val="right"/>
      <w:pPr>
        <w:ind w:left="3534" w:hanging="180"/>
      </w:pPr>
    </w:lvl>
    <w:lvl w:ilvl="6" w:tplc="0409000F" w:tentative="1">
      <w:start w:val="1"/>
      <w:numFmt w:val="decimal"/>
      <w:lvlText w:val="%7."/>
      <w:lvlJc w:val="left"/>
      <w:pPr>
        <w:ind w:left="4254" w:hanging="360"/>
      </w:pPr>
    </w:lvl>
    <w:lvl w:ilvl="7" w:tplc="04090019" w:tentative="1">
      <w:start w:val="1"/>
      <w:numFmt w:val="lowerLetter"/>
      <w:lvlText w:val="%8."/>
      <w:lvlJc w:val="left"/>
      <w:pPr>
        <w:ind w:left="4974" w:hanging="360"/>
      </w:pPr>
    </w:lvl>
    <w:lvl w:ilvl="8" w:tplc="0409001B" w:tentative="1">
      <w:start w:val="1"/>
      <w:numFmt w:val="lowerRoman"/>
      <w:lvlText w:val="%9."/>
      <w:lvlJc w:val="right"/>
      <w:pPr>
        <w:ind w:left="5694" w:hanging="180"/>
      </w:pPr>
    </w:lvl>
  </w:abstractNum>
  <w:abstractNum w:abstractNumId="13" w15:restartNumberingAfterBreak="0">
    <w:nsid w:val="3AC25688"/>
    <w:multiLevelType w:val="hybridMultilevel"/>
    <w:tmpl w:val="E12C01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4" w15:restartNumberingAfterBreak="0">
    <w:nsid w:val="3BD630DA"/>
    <w:multiLevelType w:val="hybridMultilevel"/>
    <w:tmpl w:val="A39E867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5" w15:restartNumberingAfterBreak="0">
    <w:nsid w:val="3EF042E1"/>
    <w:multiLevelType w:val="hybridMultilevel"/>
    <w:tmpl w:val="E132BE3A"/>
    <w:lvl w:ilvl="0" w:tplc="58089520">
      <w:start w:val="1"/>
      <w:numFmt w:val="decimal"/>
      <w:lvlText w:val="%1."/>
      <w:lvlJc w:val="left"/>
      <w:pPr>
        <w:ind w:left="654" w:hanging="360"/>
      </w:pPr>
      <w:rPr>
        <w:rFonts w:ascii="Sylfaen" w:eastAsiaTheme="minorEastAsia" w:hAnsi="Sylfaen" w:cstheme="minorBidi"/>
      </w:rPr>
    </w:lvl>
    <w:lvl w:ilvl="1" w:tplc="04090019" w:tentative="1">
      <w:start w:val="1"/>
      <w:numFmt w:val="lowerLetter"/>
      <w:lvlText w:val="%2."/>
      <w:lvlJc w:val="left"/>
      <w:pPr>
        <w:ind w:left="1374" w:hanging="360"/>
      </w:pPr>
    </w:lvl>
    <w:lvl w:ilvl="2" w:tplc="0409001B" w:tentative="1">
      <w:start w:val="1"/>
      <w:numFmt w:val="lowerRoman"/>
      <w:lvlText w:val="%3."/>
      <w:lvlJc w:val="right"/>
      <w:pPr>
        <w:ind w:left="2094" w:hanging="180"/>
      </w:pPr>
    </w:lvl>
    <w:lvl w:ilvl="3" w:tplc="0409000F" w:tentative="1">
      <w:start w:val="1"/>
      <w:numFmt w:val="decimal"/>
      <w:lvlText w:val="%4."/>
      <w:lvlJc w:val="left"/>
      <w:pPr>
        <w:ind w:left="2814" w:hanging="360"/>
      </w:pPr>
    </w:lvl>
    <w:lvl w:ilvl="4" w:tplc="04090019" w:tentative="1">
      <w:start w:val="1"/>
      <w:numFmt w:val="lowerLetter"/>
      <w:lvlText w:val="%5."/>
      <w:lvlJc w:val="left"/>
      <w:pPr>
        <w:ind w:left="3534" w:hanging="360"/>
      </w:pPr>
    </w:lvl>
    <w:lvl w:ilvl="5" w:tplc="0409001B" w:tentative="1">
      <w:start w:val="1"/>
      <w:numFmt w:val="lowerRoman"/>
      <w:lvlText w:val="%6."/>
      <w:lvlJc w:val="right"/>
      <w:pPr>
        <w:ind w:left="4254" w:hanging="180"/>
      </w:pPr>
    </w:lvl>
    <w:lvl w:ilvl="6" w:tplc="0409000F" w:tentative="1">
      <w:start w:val="1"/>
      <w:numFmt w:val="decimal"/>
      <w:lvlText w:val="%7."/>
      <w:lvlJc w:val="left"/>
      <w:pPr>
        <w:ind w:left="4974" w:hanging="360"/>
      </w:pPr>
    </w:lvl>
    <w:lvl w:ilvl="7" w:tplc="04090019" w:tentative="1">
      <w:start w:val="1"/>
      <w:numFmt w:val="lowerLetter"/>
      <w:lvlText w:val="%8."/>
      <w:lvlJc w:val="left"/>
      <w:pPr>
        <w:ind w:left="5694" w:hanging="360"/>
      </w:pPr>
    </w:lvl>
    <w:lvl w:ilvl="8" w:tplc="0409001B" w:tentative="1">
      <w:start w:val="1"/>
      <w:numFmt w:val="lowerRoman"/>
      <w:lvlText w:val="%9."/>
      <w:lvlJc w:val="right"/>
      <w:pPr>
        <w:ind w:left="6414" w:hanging="180"/>
      </w:pPr>
    </w:lvl>
  </w:abstractNum>
  <w:abstractNum w:abstractNumId="16" w15:restartNumberingAfterBreak="0">
    <w:nsid w:val="3F210A9B"/>
    <w:multiLevelType w:val="hybridMultilevel"/>
    <w:tmpl w:val="FF0272B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7" w15:restartNumberingAfterBreak="0">
    <w:nsid w:val="3F5D184A"/>
    <w:multiLevelType w:val="multilevel"/>
    <w:tmpl w:val="24B6B0FA"/>
    <w:lvl w:ilvl="0">
      <w:start w:val="5"/>
      <w:numFmt w:val="decimal"/>
      <w:lvlText w:val="%1."/>
      <w:lvlJc w:val="left"/>
      <w:pPr>
        <w:ind w:left="405" w:hanging="405"/>
      </w:pPr>
      <w:rPr>
        <w:rFonts w:hint="default"/>
        <w:b/>
      </w:rPr>
    </w:lvl>
    <w:lvl w:ilvl="1">
      <w:start w:val="2"/>
      <w:numFmt w:val="decimal"/>
      <w:lvlText w:val="%1.%2."/>
      <w:lvlJc w:val="left"/>
      <w:pPr>
        <w:ind w:left="0" w:hanging="405"/>
      </w:pPr>
      <w:rPr>
        <w:rFonts w:hint="default"/>
        <w:b/>
      </w:rPr>
    </w:lvl>
    <w:lvl w:ilvl="2">
      <w:start w:val="1"/>
      <w:numFmt w:val="decimal"/>
      <w:lvlText w:val="%1.%2.%3."/>
      <w:lvlJc w:val="left"/>
      <w:pPr>
        <w:ind w:left="-90" w:hanging="720"/>
      </w:pPr>
      <w:rPr>
        <w:rFonts w:hint="default"/>
        <w:b/>
      </w:rPr>
    </w:lvl>
    <w:lvl w:ilvl="3">
      <w:start w:val="1"/>
      <w:numFmt w:val="decimal"/>
      <w:lvlText w:val="%1.%2.%3.%4."/>
      <w:lvlJc w:val="left"/>
      <w:pPr>
        <w:ind w:left="-495" w:hanging="720"/>
      </w:pPr>
      <w:rPr>
        <w:rFonts w:hint="default"/>
        <w:b/>
      </w:rPr>
    </w:lvl>
    <w:lvl w:ilvl="4">
      <w:start w:val="1"/>
      <w:numFmt w:val="decimal"/>
      <w:lvlText w:val="%1.%2.%3.%4.%5."/>
      <w:lvlJc w:val="left"/>
      <w:pPr>
        <w:ind w:left="-540" w:hanging="1080"/>
      </w:pPr>
      <w:rPr>
        <w:rFonts w:hint="default"/>
        <w:b/>
      </w:rPr>
    </w:lvl>
    <w:lvl w:ilvl="5">
      <w:start w:val="1"/>
      <w:numFmt w:val="decimal"/>
      <w:lvlText w:val="%1.%2.%3.%4.%5.%6."/>
      <w:lvlJc w:val="left"/>
      <w:pPr>
        <w:ind w:left="-945" w:hanging="1080"/>
      </w:pPr>
      <w:rPr>
        <w:rFonts w:hint="default"/>
        <w:b/>
      </w:rPr>
    </w:lvl>
    <w:lvl w:ilvl="6">
      <w:start w:val="1"/>
      <w:numFmt w:val="decimal"/>
      <w:lvlText w:val="%1.%2.%3.%4.%5.%6.%7."/>
      <w:lvlJc w:val="left"/>
      <w:pPr>
        <w:ind w:left="-990" w:hanging="1440"/>
      </w:pPr>
      <w:rPr>
        <w:rFonts w:hint="default"/>
        <w:b/>
      </w:rPr>
    </w:lvl>
    <w:lvl w:ilvl="7">
      <w:start w:val="1"/>
      <w:numFmt w:val="decimal"/>
      <w:lvlText w:val="%1.%2.%3.%4.%5.%6.%7.%8."/>
      <w:lvlJc w:val="left"/>
      <w:pPr>
        <w:ind w:left="-1395" w:hanging="1440"/>
      </w:pPr>
      <w:rPr>
        <w:rFonts w:hint="default"/>
        <w:b/>
      </w:rPr>
    </w:lvl>
    <w:lvl w:ilvl="8">
      <w:start w:val="1"/>
      <w:numFmt w:val="decimal"/>
      <w:lvlText w:val="%1.%2.%3.%4.%5.%6.%7.%8.%9."/>
      <w:lvlJc w:val="left"/>
      <w:pPr>
        <w:ind w:left="-1440" w:hanging="1800"/>
      </w:pPr>
      <w:rPr>
        <w:rFonts w:hint="default"/>
        <w:b/>
      </w:rPr>
    </w:lvl>
  </w:abstractNum>
  <w:abstractNum w:abstractNumId="18" w15:restartNumberingAfterBreak="0">
    <w:nsid w:val="430F6B45"/>
    <w:multiLevelType w:val="hybridMultilevel"/>
    <w:tmpl w:val="1D3ABB10"/>
    <w:lvl w:ilvl="0" w:tplc="7112236C">
      <w:start w:val="1"/>
      <w:numFmt w:val="bullet"/>
      <w:lvlText w:val="-"/>
      <w:lvlJc w:val="left"/>
      <w:pPr>
        <w:ind w:left="-31" w:hanging="360"/>
      </w:pPr>
      <w:rPr>
        <w:rFonts w:ascii="Sylfaen" w:eastAsiaTheme="minorHAnsi" w:hAnsi="Sylfaen" w:cs="Sylfaen"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9" w15:restartNumberingAfterBreak="0">
    <w:nsid w:val="440B2139"/>
    <w:multiLevelType w:val="hybridMultilevel"/>
    <w:tmpl w:val="7422DE7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0" w15:restartNumberingAfterBreak="0">
    <w:nsid w:val="44676E56"/>
    <w:multiLevelType w:val="hybridMultilevel"/>
    <w:tmpl w:val="3AE8528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1" w15:restartNumberingAfterBreak="0">
    <w:nsid w:val="472527BE"/>
    <w:multiLevelType w:val="hybridMultilevel"/>
    <w:tmpl w:val="5FB283AE"/>
    <w:lvl w:ilvl="0" w:tplc="7112236C">
      <w:start w:val="1"/>
      <w:numFmt w:val="bullet"/>
      <w:lvlText w:val="-"/>
      <w:lvlJc w:val="left"/>
      <w:pPr>
        <w:ind w:left="820" w:hanging="360"/>
      </w:pPr>
      <w:rPr>
        <w:rFonts w:ascii="Sylfaen" w:eastAsiaTheme="minorHAnsi" w:hAnsi="Sylfaen" w:cs="Sylfae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2" w15:restartNumberingAfterBreak="0">
    <w:nsid w:val="47500419"/>
    <w:multiLevelType w:val="hybridMultilevel"/>
    <w:tmpl w:val="AA063008"/>
    <w:lvl w:ilvl="0" w:tplc="B0ECDE9C">
      <w:start w:val="3"/>
      <w:numFmt w:val="decimal"/>
      <w:lvlText w:val="%1"/>
      <w:lvlJc w:val="left"/>
      <w:pPr>
        <w:ind w:left="-207" w:hanging="360"/>
      </w:pPr>
      <w:rPr>
        <w:rFonts w:hint="default"/>
        <w:b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23" w15:restartNumberingAfterBreak="0">
    <w:nsid w:val="4F512DF9"/>
    <w:multiLevelType w:val="hybridMultilevel"/>
    <w:tmpl w:val="B1E2A544"/>
    <w:lvl w:ilvl="0" w:tplc="492ED22E">
      <w:start w:val="1"/>
      <w:numFmt w:val="lowerLetter"/>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24" w15:restartNumberingAfterBreak="0">
    <w:nsid w:val="4F6105B9"/>
    <w:multiLevelType w:val="hybridMultilevel"/>
    <w:tmpl w:val="6BD08F7A"/>
    <w:lvl w:ilvl="0" w:tplc="C0CCCDFA">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25" w15:restartNumberingAfterBreak="0">
    <w:nsid w:val="532741B9"/>
    <w:multiLevelType w:val="hybridMultilevel"/>
    <w:tmpl w:val="0FA80E4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6" w15:restartNumberingAfterBreak="0">
    <w:nsid w:val="58810A3D"/>
    <w:multiLevelType w:val="hybridMultilevel"/>
    <w:tmpl w:val="56C65910"/>
    <w:lvl w:ilvl="0" w:tplc="18C81950">
      <w:start w:val="1"/>
      <w:numFmt w:val="bullet"/>
      <w:lvlText w:val="-"/>
      <w:lvlJc w:val="left"/>
      <w:pPr>
        <w:ind w:left="-450" w:hanging="360"/>
      </w:pPr>
      <w:rPr>
        <w:rFonts w:ascii="Sylfaen" w:eastAsiaTheme="minorEastAsia" w:hAnsi="Sylfaen" w:cstheme="minorBidi"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7" w15:restartNumberingAfterBreak="0">
    <w:nsid w:val="62174A94"/>
    <w:multiLevelType w:val="hybridMultilevel"/>
    <w:tmpl w:val="B180F946"/>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8" w15:restartNumberingAfterBreak="0">
    <w:nsid w:val="6355069D"/>
    <w:multiLevelType w:val="hybridMultilevel"/>
    <w:tmpl w:val="8006C9E2"/>
    <w:lvl w:ilvl="0" w:tplc="3A705D7A">
      <w:numFmt w:val="bullet"/>
      <w:lvlText w:val="-"/>
      <w:lvlJc w:val="left"/>
      <w:pPr>
        <w:ind w:left="-630" w:hanging="360"/>
      </w:pPr>
      <w:rPr>
        <w:rFonts w:ascii="Sylfaen" w:eastAsiaTheme="minorEastAsia" w:hAnsi="Sylfaen" w:cstheme="minorBidi"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29" w15:restartNumberingAfterBreak="0">
    <w:nsid w:val="63A32CC1"/>
    <w:multiLevelType w:val="hybridMultilevel"/>
    <w:tmpl w:val="52E20ED4"/>
    <w:lvl w:ilvl="0" w:tplc="7C4A93D2">
      <w:start w:val="1"/>
      <w:numFmt w:val="decimal"/>
      <w:lvlText w:val="%1."/>
      <w:lvlJc w:val="left"/>
      <w:pPr>
        <w:ind w:left="-450" w:hanging="360"/>
      </w:pPr>
      <w:rPr>
        <w:rFonts w:hint="default"/>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30" w15:restartNumberingAfterBreak="0">
    <w:nsid w:val="67C548E0"/>
    <w:multiLevelType w:val="hybridMultilevel"/>
    <w:tmpl w:val="183AC502"/>
    <w:lvl w:ilvl="0" w:tplc="1D5EF43A">
      <w:start w:val="21"/>
      <w:numFmt w:val="bullet"/>
      <w:lvlText w:val=""/>
      <w:lvlJc w:val="left"/>
      <w:pPr>
        <w:ind w:left="-207" w:hanging="360"/>
      </w:pPr>
      <w:rPr>
        <w:rFonts w:ascii="Symbol" w:eastAsiaTheme="minorEastAsia" w:hAnsi="Symbol" w:cs="Sylfaen" w:hint="default"/>
        <w:b/>
        <w:sz w:val="20"/>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1" w15:restartNumberingAfterBreak="0">
    <w:nsid w:val="69B34E1E"/>
    <w:multiLevelType w:val="hybridMultilevel"/>
    <w:tmpl w:val="4A96CDA2"/>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2" w15:restartNumberingAfterBreak="0">
    <w:nsid w:val="6C012D27"/>
    <w:multiLevelType w:val="hybridMultilevel"/>
    <w:tmpl w:val="FA3A3550"/>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3" w15:restartNumberingAfterBreak="0">
    <w:nsid w:val="6F5F6DC3"/>
    <w:multiLevelType w:val="hybridMultilevel"/>
    <w:tmpl w:val="23AE326E"/>
    <w:lvl w:ilvl="0" w:tplc="04090011">
      <w:start w:val="1"/>
      <w:numFmt w:val="decimal"/>
      <w:lvlText w:val="%1)"/>
      <w:lvlJc w:val="left"/>
      <w:pPr>
        <w:ind w:left="294" w:hanging="360"/>
      </w:pPr>
    </w:lvl>
    <w:lvl w:ilvl="1" w:tplc="04090019" w:tentative="1">
      <w:start w:val="1"/>
      <w:numFmt w:val="lowerLetter"/>
      <w:lvlText w:val="%2."/>
      <w:lvlJc w:val="left"/>
      <w:pPr>
        <w:ind w:left="1014" w:hanging="360"/>
      </w:pPr>
    </w:lvl>
    <w:lvl w:ilvl="2" w:tplc="0409001B" w:tentative="1">
      <w:start w:val="1"/>
      <w:numFmt w:val="lowerRoman"/>
      <w:lvlText w:val="%3."/>
      <w:lvlJc w:val="right"/>
      <w:pPr>
        <w:ind w:left="1734" w:hanging="180"/>
      </w:pPr>
    </w:lvl>
    <w:lvl w:ilvl="3" w:tplc="0409000F" w:tentative="1">
      <w:start w:val="1"/>
      <w:numFmt w:val="decimal"/>
      <w:lvlText w:val="%4."/>
      <w:lvlJc w:val="left"/>
      <w:pPr>
        <w:ind w:left="2454" w:hanging="360"/>
      </w:pPr>
    </w:lvl>
    <w:lvl w:ilvl="4" w:tplc="04090019" w:tentative="1">
      <w:start w:val="1"/>
      <w:numFmt w:val="lowerLetter"/>
      <w:lvlText w:val="%5."/>
      <w:lvlJc w:val="left"/>
      <w:pPr>
        <w:ind w:left="3174" w:hanging="360"/>
      </w:pPr>
    </w:lvl>
    <w:lvl w:ilvl="5" w:tplc="0409001B" w:tentative="1">
      <w:start w:val="1"/>
      <w:numFmt w:val="lowerRoman"/>
      <w:lvlText w:val="%6."/>
      <w:lvlJc w:val="right"/>
      <w:pPr>
        <w:ind w:left="3894" w:hanging="180"/>
      </w:pPr>
    </w:lvl>
    <w:lvl w:ilvl="6" w:tplc="0409000F" w:tentative="1">
      <w:start w:val="1"/>
      <w:numFmt w:val="decimal"/>
      <w:lvlText w:val="%7."/>
      <w:lvlJc w:val="left"/>
      <w:pPr>
        <w:ind w:left="4614" w:hanging="360"/>
      </w:pPr>
    </w:lvl>
    <w:lvl w:ilvl="7" w:tplc="04090019" w:tentative="1">
      <w:start w:val="1"/>
      <w:numFmt w:val="lowerLetter"/>
      <w:lvlText w:val="%8."/>
      <w:lvlJc w:val="left"/>
      <w:pPr>
        <w:ind w:left="5334" w:hanging="360"/>
      </w:pPr>
    </w:lvl>
    <w:lvl w:ilvl="8" w:tplc="0409001B" w:tentative="1">
      <w:start w:val="1"/>
      <w:numFmt w:val="lowerRoman"/>
      <w:lvlText w:val="%9."/>
      <w:lvlJc w:val="right"/>
      <w:pPr>
        <w:ind w:left="6054" w:hanging="180"/>
      </w:pPr>
    </w:lvl>
  </w:abstractNum>
  <w:abstractNum w:abstractNumId="34"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35" w15:restartNumberingAfterBreak="0">
    <w:nsid w:val="75AF0DD8"/>
    <w:multiLevelType w:val="multilevel"/>
    <w:tmpl w:val="6ADA861E"/>
    <w:lvl w:ilvl="0">
      <w:start w:val="1"/>
      <w:numFmt w:val="decimal"/>
      <w:lvlText w:val="%1."/>
      <w:lvlJc w:val="left"/>
      <w:pPr>
        <w:ind w:left="720" w:hanging="360"/>
      </w:pPr>
      <w:rPr>
        <w:rFonts w:hint="default"/>
        <w:b/>
        <w:bCs w:val="0"/>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771E7AD0"/>
    <w:multiLevelType w:val="hybridMultilevel"/>
    <w:tmpl w:val="8E8AC158"/>
    <w:lvl w:ilvl="0" w:tplc="D696CF2E">
      <w:numFmt w:val="bullet"/>
      <w:lvlText w:val="-"/>
      <w:lvlJc w:val="left"/>
      <w:pPr>
        <w:ind w:left="-207" w:hanging="360"/>
      </w:pPr>
      <w:rPr>
        <w:rFonts w:ascii="Sylfaen" w:eastAsiaTheme="minorEastAsia" w:hAnsi="Sylfaen" w:cs="Sylfaen"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7" w15:restartNumberingAfterBreak="0">
    <w:nsid w:val="77C51F2E"/>
    <w:multiLevelType w:val="hybridMultilevel"/>
    <w:tmpl w:val="B8D43E0E"/>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38" w15:restartNumberingAfterBreak="0">
    <w:nsid w:val="7ED46A4D"/>
    <w:multiLevelType w:val="hybridMultilevel"/>
    <w:tmpl w:val="63D439FC"/>
    <w:lvl w:ilvl="0" w:tplc="928455BC">
      <w:start w:val="1"/>
      <w:numFmt w:val="decimal"/>
      <w:lvlText w:val="%1."/>
      <w:lvlJc w:val="left"/>
      <w:pPr>
        <w:ind w:left="-450" w:hanging="360"/>
      </w:pPr>
      <w:rPr>
        <w:rFonts w:hint="default"/>
        <w:i w:val="0"/>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num w:numId="1" w16cid:durableId="401876544">
    <w:abstractNumId w:val="31"/>
  </w:num>
  <w:num w:numId="2" w16cid:durableId="332034857">
    <w:abstractNumId w:val="37"/>
  </w:num>
  <w:num w:numId="3" w16cid:durableId="258101566">
    <w:abstractNumId w:val="6"/>
  </w:num>
  <w:num w:numId="4" w16cid:durableId="1435058710">
    <w:abstractNumId w:val="0"/>
  </w:num>
  <w:num w:numId="5" w16cid:durableId="983461744">
    <w:abstractNumId w:val="22"/>
  </w:num>
  <w:num w:numId="6" w16cid:durableId="1420523619">
    <w:abstractNumId w:val="36"/>
  </w:num>
  <w:num w:numId="7" w16cid:durableId="742023577">
    <w:abstractNumId w:val="30"/>
  </w:num>
  <w:num w:numId="8" w16cid:durableId="551815466">
    <w:abstractNumId w:val="8"/>
  </w:num>
  <w:num w:numId="9" w16cid:durableId="2071345070">
    <w:abstractNumId w:val="27"/>
  </w:num>
  <w:num w:numId="10" w16cid:durableId="1158350843">
    <w:abstractNumId w:val="3"/>
  </w:num>
  <w:num w:numId="11" w16cid:durableId="1929925366">
    <w:abstractNumId w:val="34"/>
  </w:num>
  <w:num w:numId="12" w16cid:durableId="1525443461">
    <w:abstractNumId w:val="10"/>
  </w:num>
  <w:num w:numId="13" w16cid:durableId="444345276">
    <w:abstractNumId w:val="19"/>
  </w:num>
  <w:num w:numId="14" w16cid:durableId="1273585142">
    <w:abstractNumId w:val="7"/>
  </w:num>
  <w:num w:numId="15" w16cid:durableId="513619177">
    <w:abstractNumId w:val="16"/>
  </w:num>
  <w:num w:numId="16" w16cid:durableId="1970285944">
    <w:abstractNumId w:val="2"/>
  </w:num>
  <w:num w:numId="17" w16cid:durableId="2083747869">
    <w:abstractNumId w:val="13"/>
  </w:num>
  <w:num w:numId="18" w16cid:durableId="1888294066">
    <w:abstractNumId w:val="20"/>
  </w:num>
  <w:num w:numId="19" w16cid:durableId="487987778">
    <w:abstractNumId w:val="4"/>
  </w:num>
  <w:num w:numId="20" w16cid:durableId="2004822097">
    <w:abstractNumId w:val="17"/>
  </w:num>
  <w:num w:numId="21" w16cid:durableId="1748654268">
    <w:abstractNumId w:val="12"/>
  </w:num>
  <w:num w:numId="22" w16cid:durableId="943805572">
    <w:abstractNumId w:val="15"/>
  </w:num>
  <w:num w:numId="23" w16cid:durableId="692192566">
    <w:abstractNumId w:val="33"/>
  </w:num>
  <w:num w:numId="24" w16cid:durableId="310595298">
    <w:abstractNumId w:val="38"/>
  </w:num>
  <w:num w:numId="25" w16cid:durableId="169953449">
    <w:abstractNumId w:val="26"/>
  </w:num>
  <w:num w:numId="26" w16cid:durableId="963803343">
    <w:abstractNumId w:val="23"/>
  </w:num>
  <w:num w:numId="27" w16cid:durableId="1517160040">
    <w:abstractNumId w:val="32"/>
  </w:num>
  <w:num w:numId="28" w16cid:durableId="140316483">
    <w:abstractNumId w:val="5"/>
  </w:num>
  <w:num w:numId="29" w16cid:durableId="567230461">
    <w:abstractNumId w:val="29"/>
  </w:num>
  <w:num w:numId="30" w16cid:durableId="415447251">
    <w:abstractNumId w:val="21"/>
  </w:num>
  <w:num w:numId="31" w16cid:durableId="1063605803">
    <w:abstractNumId w:val="25"/>
  </w:num>
  <w:num w:numId="32" w16cid:durableId="528184608">
    <w:abstractNumId w:val="18"/>
  </w:num>
  <w:num w:numId="33" w16cid:durableId="175772435">
    <w:abstractNumId w:val="1"/>
  </w:num>
  <w:num w:numId="34" w16cid:durableId="560362196">
    <w:abstractNumId w:val="11"/>
  </w:num>
  <w:num w:numId="35" w16cid:durableId="1684477349">
    <w:abstractNumId w:val="24"/>
  </w:num>
  <w:num w:numId="36" w16cid:durableId="302735685">
    <w:abstractNumId w:val="9"/>
  </w:num>
  <w:num w:numId="37" w16cid:durableId="243078174">
    <w:abstractNumId w:val="35"/>
  </w:num>
  <w:num w:numId="38" w16cid:durableId="1966962472">
    <w:abstractNumId w:val="14"/>
  </w:num>
  <w:num w:numId="39" w16cid:durableId="36445065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20"/>
  <w:hyphenationZone w:val="141"/>
  <w:characterSpacingControl w:val="doNotCompress"/>
  <w:compat>
    <w:useFELayout/>
    <w:compatSetting w:name="compatibilityMode" w:uri="http://schemas.microsoft.com/office/word" w:val="12"/>
    <w:compatSetting w:name="useWord2013TrackBottomHyphenation" w:uri="http://schemas.microsoft.com/office/word" w:val="1"/>
  </w:compat>
  <w:rsids>
    <w:rsidRoot w:val="006C0C8E"/>
    <w:rsid w:val="0000096E"/>
    <w:rsid w:val="00001637"/>
    <w:rsid w:val="00001D6C"/>
    <w:rsid w:val="00001FB7"/>
    <w:rsid w:val="00003EE4"/>
    <w:rsid w:val="0000460D"/>
    <w:rsid w:val="00004B78"/>
    <w:rsid w:val="0000500A"/>
    <w:rsid w:val="00011F99"/>
    <w:rsid w:val="00012F88"/>
    <w:rsid w:val="00013306"/>
    <w:rsid w:val="000133C0"/>
    <w:rsid w:val="00014D91"/>
    <w:rsid w:val="000168A2"/>
    <w:rsid w:val="00016FD6"/>
    <w:rsid w:val="00017997"/>
    <w:rsid w:val="0002042F"/>
    <w:rsid w:val="0002049E"/>
    <w:rsid w:val="000204D9"/>
    <w:rsid w:val="00022AAF"/>
    <w:rsid w:val="0002338C"/>
    <w:rsid w:val="00025908"/>
    <w:rsid w:val="00026EF4"/>
    <w:rsid w:val="000310D5"/>
    <w:rsid w:val="00032285"/>
    <w:rsid w:val="000329F2"/>
    <w:rsid w:val="000341C3"/>
    <w:rsid w:val="000352C9"/>
    <w:rsid w:val="00040B02"/>
    <w:rsid w:val="00041743"/>
    <w:rsid w:val="00046300"/>
    <w:rsid w:val="000467AB"/>
    <w:rsid w:val="00046945"/>
    <w:rsid w:val="00046C84"/>
    <w:rsid w:val="00047F7D"/>
    <w:rsid w:val="00050420"/>
    <w:rsid w:val="00051514"/>
    <w:rsid w:val="00053BCA"/>
    <w:rsid w:val="000541CE"/>
    <w:rsid w:val="00055F2E"/>
    <w:rsid w:val="00056CEA"/>
    <w:rsid w:val="00057043"/>
    <w:rsid w:val="00057CDB"/>
    <w:rsid w:val="00057DAA"/>
    <w:rsid w:val="00057E94"/>
    <w:rsid w:val="00057FBE"/>
    <w:rsid w:val="00060317"/>
    <w:rsid w:val="00060792"/>
    <w:rsid w:val="0006147E"/>
    <w:rsid w:val="00062C15"/>
    <w:rsid w:val="000639C4"/>
    <w:rsid w:val="00063AE8"/>
    <w:rsid w:val="0006409E"/>
    <w:rsid w:val="0006530F"/>
    <w:rsid w:val="0006709B"/>
    <w:rsid w:val="0007067A"/>
    <w:rsid w:val="00071FB8"/>
    <w:rsid w:val="00072315"/>
    <w:rsid w:val="00072F6F"/>
    <w:rsid w:val="000746C6"/>
    <w:rsid w:val="00074AED"/>
    <w:rsid w:val="0007677A"/>
    <w:rsid w:val="000779B1"/>
    <w:rsid w:val="0008305D"/>
    <w:rsid w:val="000831FF"/>
    <w:rsid w:val="00083723"/>
    <w:rsid w:val="000858C4"/>
    <w:rsid w:val="000908B4"/>
    <w:rsid w:val="000908EE"/>
    <w:rsid w:val="000914A6"/>
    <w:rsid w:val="00092A17"/>
    <w:rsid w:val="00092ECA"/>
    <w:rsid w:val="00094258"/>
    <w:rsid w:val="00094707"/>
    <w:rsid w:val="00094AA9"/>
    <w:rsid w:val="0009635E"/>
    <w:rsid w:val="000964F3"/>
    <w:rsid w:val="00096C86"/>
    <w:rsid w:val="00097565"/>
    <w:rsid w:val="00097E20"/>
    <w:rsid w:val="000A08DC"/>
    <w:rsid w:val="000A0D52"/>
    <w:rsid w:val="000A13A2"/>
    <w:rsid w:val="000A2AF6"/>
    <w:rsid w:val="000A337A"/>
    <w:rsid w:val="000A3B48"/>
    <w:rsid w:val="000A5039"/>
    <w:rsid w:val="000A55E2"/>
    <w:rsid w:val="000A590A"/>
    <w:rsid w:val="000B04FE"/>
    <w:rsid w:val="000B1ED2"/>
    <w:rsid w:val="000B3F16"/>
    <w:rsid w:val="000B4B66"/>
    <w:rsid w:val="000B50B1"/>
    <w:rsid w:val="000B7227"/>
    <w:rsid w:val="000B7723"/>
    <w:rsid w:val="000B7DD7"/>
    <w:rsid w:val="000C0727"/>
    <w:rsid w:val="000C2550"/>
    <w:rsid w:val="000C2651"/>
    <w:rsid w:val="000C393A"/>
    <w:rsid w:val="000C46C8"/>
    <w:rsid w:val="000C54B2"/>
    <w:rsid w:val="000C6BAA"/>
    <w:rsid w:val="000D0417"/>
    <w:rsid w:val="000D1763"/>
    <w:rsid w:val="000D3041"/>
    <w:rsid w:val="000D33AF"/>
    <w:rsid w:val="000D39BD"/>
    <w:rsid w:val="000D4731"/>
    <w:rsid w:val="000D4D70"/>
    <w:rsid w:val="000D5112"/>
    <w:rsid w:val="000D5952"/>
    <w:rsid w:val="000D5EA0"/>
    <w:rsid w:val="000D6BBE"/>
    <w:rsid w:val="000D7588"/>
    <w:rsid w:val="000D7808"/>
    <w:rsid w:val="000E0423"/>
    <w:rsid w:val="000E1158"/>
    <w:rsid w:val="000E2907"/>
    <w:rsid w:val="000E4BC3"/>
    <w:rsid w:val="000E62C7"/>
    <w:rsid w:val="000E64E1"/>
    <w:rsid w:val="000E6610"/>
    <w:rsid w:val="000E6698"/>
    <w:rsid w:val="000E66B1"/>
    <w:rsid w:val="000E6CAA"/>
    <w:rsid w:val="000E6D01"/>
    <w:rsid w:val="000F031A"/>
    <w:rsid w:val="000F0A24"/>
    <w:rsid w:val="000F0E24"/>
    <w:rsid w:val="000F1409"/>
    <w:rsid w:val="000F19E0"/>
    <w:rsid w:val="000F23B8"/>
    <w:rsid w:val="000F31AA"/>
    <w:rsid w:val="000F6E3B"/>
    <w:rsid w:val="000F6E6E"/>
    <w:rsid w:val="000F726E"/>
    <w:rsid w:val="000F7AA9"/>
    <w:rsid w:val="00101879"/>
    <w:rsid w:val="00102BE1"/>
    <w:rsid w:val="0010314F"/>
    <w:rsid w:val="00103759"/>
    <w:rsid w:val="00103E33"/>
    <w:rsid w:val="001058D9"/>
    <w:rsid w:val="00105AE3"/>
    <w:rsid w:val="00105B8C"/>
    <w:rsid w:val="00105DFF"/>
    <w:rsid w:val="0011047D"/>
    <w:rsid w:val="00111EC1"/>
    <w:rsid w:val="0011303E"/>
    <w:rsid w:val="00113B14"/>
    <w:rsid w:val="00113B84"/>
    <w:rsid w:val="00114048"/>
    <w:rsid w:val="00114C15"/>
    <w:rsid w:val="00115247"/>
    <w:rsid w:val="00116D09"/>
    <w:rsid w:val="00120EBF"/>
    <w:rsid w:val="00125952"/>
    <w:rsid w:val="00126A50"/>
    <w:rsid w:val="001270DC"/>
    <w:rsid w:val="0012715E"/>
    <w:rsid w:val="00130233"/>
    <w:rsid w:val="00130F94"/>
    <w:rsid w:val="00131444"/>
    <w:rsid w:val="00132427"/>
    <w:rsid w:val="00132CAC"/>
    <w:rsid w:val="001349EB"/>
    <w:rsid w:val="0013789C"/>
    <w:rsid w:val="00137EEC"/>
    <w:rsid w:val="0014278A"/>
    <w:rsid w:val="001450DB"/>
    <w:rsid w:val="00145214"/>
    <w:rsid w:val="0014635E"/>
    <w:rsid w:val="001476AB"/>
    <w:rsid w:val="001504F2"/>
    <w:rsid w:val="00151309"/>
    <w:rsid w:val="00152D28"/>
    <w:rsid w:val="001542C0"/>
    <w:rsid w:val="00154383"/>
    <w:rsid w:val="00154C89"/>
    <w:rsid w:val="00155168"/>
    <w:rsid w:val="00156BCA"/>
    <w:rsid w:val="00157B99"/>
    <w:rsid w:val="00160040"/>
    <w:rsid w:val="00160445"/>
    <w:rsid w:val="0016089C"/>
    <w:rsid w:val="00160CCA"/>
    <w:rsid w:val="00161A5A"/>
    <w:rsid w:val="00161D9F"/>
    <w:rsid w:val="00163586"/>
    <w:rsid w:val="00163CD6"/>
    <w:rsid w:val="00163F46"/>
    <w:rsid w:val="00166261"/>
    <w:rsid w:val="0016652D"/>
    <w:rsid w:val="00166BDF"/>
    <w:rsid w:val="00167D59"/>
    <w:rsid w:val="00172571"/>
    <w:rsid w:val="001726C9"/>
    <w:rsid w:val="00175240"/>
    <w:rsid w:val="00177F35"/>
    <w:rsid w:val="001801E9"/>
    <w:rsid w:val="00181A76"/>
    <w:rsid w:val="0018271D"/>
    <w:rsid w:val="001848AB"/>
    <w:rsid w:val="00186E33"/>
    <w:rsid w:val="00191331"/>
    <w:rsid w:val="001919C5"/>
    <w:rsid w:val="001920B8"/>
    <w:rsid w:val="00192271"/>
    <w:rsid w:val="0019317F"/>
    <w:rsid w:val="001949CF"/>
    <w:rsid w:val="00194D0B"/>
    <w:rsid w:val="0019573E"/>
    <w:rsid w:val="00196583"/>
    <w:rsid w:val="0019708B"/>
    <w:rsid w:val="001979DB"/>
    <w:rsid w:val="00197A4F"/>
    <w:rsid w:val="001A220F"/>
    <w:rsid w:val="001A3270"/>
    <w:rsid w:val="001A3FB8"/>
    <w:rsid w:val="001A4664"/>
    <w:rsid w:val="001A4722"/>
    <w:rsid w:val="001A495F"/>
    <w:rsid w:val="001A5AC1"/>
    <w:rsid w:val="001A6108"/>
    <w:rsid w:val="001A65DF"/>
    <w:rsid w:val="001A7A3B"/>
    <w:rsid w:val="001A7C0B"/>
    <w:rsid w:val="001B146D"/>
    <w:rsid w:val="001B16ED"/>
    <w:rsid w:val="001B23D3"/>
    <w:rsid w:val="001B2F68"/>
    <w:rsid w:val="001B3AB2"/>
    <w:rsid w:val="001B471A"/>
    <w:rsid w:val="001B5CB1"/>
    <w:rsid w:val="001B64EB"/>
    <w:rsid w:val="001B6EAB"/>
    <w:rsid w:val="001B721D"/>
    <w:rsid w:val="001B7A04"/>
    <w:rsid w:val="001C0432"/>
    <w:rsid w:val="001C0476"/>
    <w:rsid w:val="001C062B"/>
    <w:rsid w:val="001C08F1"/>
    <w:rsid w:val="001C0FF0"/>
    <w:rsid w:val="001C2A2D"/>
    <w:rsid w:val="001C2B79"/>
    <w:rsid w:val="001C34CC"/>
    <w:rsid w:val="001C4B16"/>
    <w:rsid w:val="001C5986"/>
    <w:rsid w:val="001C5BE4"/>
    <w:rsid w:val="001C6950"/>
    <w:rsid w:val="001C6AFF"/>
    <w:rsid w:val="001C7A3F"/>
    <w:rsid w:val="001D0063"/>
    <w:rsid w:val="001D0BF4"/>
    <w:rsid w:val="001D1ADF"/>
    <w:rsid w:val="001D1EB2"/>
    <w:rsid w:val="001D54F7"/>
    <w:rsid w:val="001D5663"/>
    <w:rsid w:val="001D5C06"/>
    <w:rsid w:val="001D63D4"/>
    <w:rsid w:val="001D63E3"/>
    <w:rsid w:val="001D66D7"/>
    <w:rsid w:val="001D7157"/>
    <w:rsid w:val="001D7420"/>
    <w:rsid w:val="001E587C"/>
    <w:rsid w:val="001E7D44"/>
    <w:rsid w:val="001F317D"/>
    <w:rsid w:val="001F34C1"/>
    <w:rsid w:val="001F3CCE"/>
    <w:rsid w:val="001F3E57"/>
    <w:rsid w:val="001F605E"/>
    <w:rsid w:val="001F61CE"/>
    <w:rsid w:val="001F7F35"/>
    <w:rsid w:val="00200018"/>
    <w:rsid w:val="002001F7"/>
    <w:rsid w:val="002041A7"/>
    <w:rsid w:val="00204256"/>
    <w:rsid w:val="00204710"/>
    <w:rsid w:val="002058DE"/>
    <w:rsid w:val="00206961"/>
    <w:rsid w:val="0020746C"/>
    <w:rsid w:val="00207552"/>
    <w:rsid w:val="002108A3"/>
    <w:rsid w:val="00210AF6"/>
    <w:rsid w:val="00210EF5"/>
    <w:rsid w:val="0021238D"/>
    <w:rsid w:val="002126E9"/>
    <w:rsid w:val="00212705"/>
    <w:rsid w:val="00214D62"/>
    <w:rsid w:val="00215C58"/>
    <w:rsid w:val="002200B9"/>
    <w:rsid w:val="002206B0"/>
    <w:rsid w:val="00220D08"/>
    <w:rsid w:val="00222018"/>
    <w:rsid w:val="002220BC"/>
    <w:rsid w:val="00223347"/>
    <w:rsid w:val="0022381F"/>
    <w:rsid w:val="00223A22"/>
    <w:rsid w:val="00224275"/>
    <w:rsid w:val="002243C9"/>
    <w:rsid w:val="00224B02"/>
    <w:rsid w:val="002269F6"/>
    <w:rsid w:val="00226EE1"/>
    <w:rsid w:val="00226F4D"/>
    <w:rsid w:val="00227586"/>
    <w:rsid w:val="00227B07"/>
    <w:rsid w:val="00227DC8"/>
    <w:rsid w:val="00227F5D"/>
    <w:rsid w:val="00232C4C"/>
    <w:rsid w:val="00233957"/>
    <w:rsid w:val="0023417F"/>
    <w:rsid w:val="002358CE"/>
    <w:rsid w:val="00235BE6"/>
    <w:rsid w:val="00236201"/>
    <w:rsid w:val="002414AF"/>
    <w:rsid w:val="002414CA"/>
    <w:rsid w:val="00243172"/>
    <w:rsid w:val="002435E3"/>
    <w:rsid w:val="00244859"/>
    <w:rsid w:val="00244ADD"/>
    <w:rsid w:val="0024543E"/>
    <w:rsid w:val="00245B54"/>
    <w:rsid w:val="00247DA2"/>
    <w:rsid w:val="00254000"/>
    <w:rsid w:val="00256215"/>
    <w:rsid w:val="002578D1"/>
    <w:rsid w:val="00257A07"/>
    <w:rsid w:val="00260025"/>
    <w:rsid w:val="00262385"/>
    <w:rsid w:val="0026332C"/>
    <w:rsid w:val="002659EE"/>
    <w:rsid w:val="00266541"/>
    <w:rsid w:val="00266D13"/>
    <w:rsid w:val="00272C35"/>
    <w:rsid w:val="00273120"/>
    <w:rsid w:val="002736FA"/>
    <w:rsid w:val="00275279"/>
    <w:rsid w:val="002756D8"/>
    <w:rsid w:val="00276498"/>
    <w:rsid w:val="00280756"/>
    <w:rsid w:val="00280FFC"/>
    <w:rsid w:val="00283D45"/>
    <w:rsid w:val="0028488C"/>
    <w:rsid w:val="00286C6C"/>
    <w:rsid w:val="00287304"/>
    <w:rsid w:val="0028777B"/>
    <w:rsid w:val="00290466"/>
    <w:rsid w:val="002923AB"/>
    <w:rsid w:val="00292B9A"/>
    <w:rsid w:val="00294BAE"/>
    <w:rsid w:val="002961C8"/>
    <w:rsid w:val="002967A3"/>
    <w:rsid w:val="00296AA2"/>
    <w:rsid w:val="00296FD8"/>
    <w:rsid w:val="002A1B53"/>
    <w:rsid w:val="002A3753"/>
    <w:rsid w:val="002A3981"/>
    <w:rsid w:val="002A3EF5"/>
    <w:rsid w:val="002A463A"/>
    <w:rsid w:val="002A53C0"/>
    <w:rsid w:val="002A5744"/>
    <w:rsid w:val="002A58C3"/>
    <w:rsid w:val="002A5E10"/>
    <w:rsid w:val="002A71ED"/>
    <w:rsid w:val="002B09DB"/>
    <w:rsid w:val="002B0EF0"/>
    <w:rsid w:val="002B0F6A"/>
    <w:rsid w:val="002B135A"/>
    <w:rsid w:val="002B145F"/>
    <w:rsid w:val="002B24F9"/>
    <w:rsid w:val="002B3C94"/>
    <w:rsid w:val="002B458B"/>
    <w:rsid w:val="002B4B96"/>
    <w:rsid w:val="002B4DFB"/>
    <w:rsid w:val="002B649D"/>
    <w:rsid w:val="002B6704"/>
    <w:rsid w:val="002B6EF5"/>
    <w:rsid w:val="002B6FD6"/>
    <w:rsid w:val="002B7DB7"/>
    <w:rsid w:val="002C030E"/>
    <w:rsid w:val="002C131C"/>
    <w:rsid w:val="002C2168"/>
    <w:rsid w:val="002C278D"/>
    <w:rsid w:val="002C5001"/>
    <w:rsid w:val="002C58C9"/>
    <w:rsid w:val="002C5BFA"/>
    <w:rsid w:val="002C5CA6"/>
    <w:rsid w:val="002C61A5"/>
    <w:rsid w:val="002C7995"/>
    <w:rsid w:val="002C7E0D"/>
    <w:rsid w:val="002D03B3"/>
    <w:rsid w:val="002D23A1"/>
    <w:rsid w:val="002D4141"/>
    <w:rsid w:val="002D55B8"/>
    <w:rsid w:val="002D671C"/>
    <w:rsid w:val="002D6AAE"/>
    <w:rsid w:val="002D7F13"/>
    <w:rsid w:val="002E14BA"/>
    <w:rsid w:val="002E1A17"/>
    <w:rsid w:val="002E21E2"/>
    <w:rsid w:val="002E35A0"/>
    <w:rsid w:val="002E4080"/>
    <w:rsid w:val="002E4705"/>
    <w:rsid w:val="002E4D9E"/>
    <w:rsid w:val="002E51DD"/>
    <w:rsid w:val="002F063D"/>
    <w:rsid w:val="002F0C23"/>
    <w:rsid w:val="002F20AD"/>
    <w:rsid w:val="002F503F"/>
    <w:rsid w:val="002F595A"/>
    <w:rsid w:val="002F64BA"/>
    <w:rsid w:val="002F77D3"/>
    <w:rsid w:val="002F78BB"/>
    <w:rsid w:val="002F7ADA"/>
    <w:rsid w:val="003000A1"/>
    <w:rsid w:val="00300B04"/>
    <w:rsid w:val="00300CB4"/>
    <w:rsid w:val="00301D84"/>
    <w:rsid w:val="00302D29"/>
    <w:rsid w:val="00304076"/>
    <w:rsid w:val="003044B2"/>
    <w:rsid w:val="00304826"/>
    <w:rsid w:val="00305CD4"/>
    <w:rsid w:val="003061B9"/>
    <w:rsid w:val="00307207"/>
    <w:rsid w:val="0031046B"/>
    <w:rsid w:val="003110D4"/>
    <w:rsid w:val="00312B46"/>
    <w:rsid w:val="00312DEE"/>
    <w:rsid w:val="0031588B"/>
    <w:rsid w:val="00315FDF"/>
    <w:rsid w:val="00316DFD"/>
    <w:rsid w:val="003171E4"/>
    <w:rsid w:val="00322057"/>
    <w:rsid w:val="00322440"/>
    <w:rsid w:val="00322D83"/>
    <w:rsid w:val="00323413"/>
    <w:rsid w:val="00323921"/>
    <w:rsid w:val="00324712"/>
    <w:rsid w:val="00324995"/>
    <w:rsid w:val="0032609C"/>
    <w:rsid w:val="003266BD"/>
    <w:rsid w:val="003269B9"/>
    <w:rsid w:val="00326E2B"/>
    <w:rsid w:val="00327760"/>
    <w:rsid w:val="00327C7A"/>
    <w:rsid w:val="0033068D"/>
    <w:rsid w:val="00330BEC"/>
    <w:rsid w:val="0033253A"/>
    <w:rsid w:val="00332AA8"/>
    <w:rsid w:val="003356CC"/>
    <w:rsid w:val="003369BF"/>
    <w:rsid w:val="00336F3A"/>
    <w:rsid w:val="0034121F"/>
    <w:rsid w:val="0034138D"/>
    <w:rsid w:val="0034172C"/>
    <w:rsid w:val="00342999"/>
    <w:rsid w:val="00342F26"/>
    <w:rsid w:val="003439CA"/>
    <w:rsid w:val="00343BCC"/>
    <w:rsid w:val="003451A5"/>
    <w:rsid w:val="003451EA"/>
    <w:rsid w:val="00347885"/>
    <w:rsid w:val="00350DBF"/>
    <w:rsid w:val="003523C2"/>
    <w:rsid w:val="00352F7A"/>
    <w:rsid w:val="0035390A"/>
    <w:rsid w:val="00354906"/>
    <w:rsid w:val="00354D92"/>
    <w:rsid w:val="00354EDD"/>
    <w:rsid w:val="00356380"/>
    <w:rsid w:val="00362214"/>
    <w:rsid w:val="003630BA"/>
    <w:rsid w:val="00363537"/>
    <w:rsid w:val="003636C8"/>
    <w:rsid w:val="00366954"/>
    <w:rsid w:val="00366CD6"/>
    <w:rsid w:val="00366FB0"/>
    <w:rsid w:val="0037085C"/>
    <w:rsid w:val="0037090F"/>
    <w:rsid w:val="003723E0"/>
    <w:rsid w:val="00372E0D"/>
    <w:rsid w:val="00374E6C"/>
    <w:rsid w:val="0037592D"/>
    <w:rsid w:val="00375EA7"/>
    <w:rsid w:val="0037666C"/>
    <w:rsid w:val="00376F81"/>
    <w:rsid w:val="00380178"/>
    <w:rsid w:val="00380F4C"/>
    <w:rsid w:val="00381F5C"/>
    <w:rsid w:val="003822C5"/>
    <w:rsid w:val="00382AEF"/>
    <w:rsid w:val="0038417B"/>
    <w:rsid w:val="00384328"/>
    <w:rsid w:val="00384CD2"/>
    <w:rsid w:val="00384E09"/>
    <w:rsid w:val="00384E26"/>
    <w:rsid w:val="003865E3"/>
    <w:rsid w:val="00387388"/>
    <w:rsid w:val="00390DB4"/>
    <w:rsid w:val="00391D1E"/>
    <w:rsid w:val="00391FEE"/>
    <w:rsid w:val="00392C2A"/>
    <w:rsid w:val="003940F1"/>
    <w:rsid w:val="0039482E"/>
    <w:rsid w:val="00395478"/>
    <w:rsid w:val="00395B5E"/>
    <w:rsid w:val="003961D1"/>
    <w:rsid w:val="003969D2"/>
    <w:rsid w:val="003A0709"/>
    <w:rsid w:val="003A0E72"/>
    <w:rsid w:val="003A0EC5"/>
    <w:rsid w:val="003A2670"/>
    <w:rsid w:val="003A2686"/>
    <w:rsid w:val="003A2AB0"/>
    <w:rsid w:val="003A2EDE"/>
    <w:rsid w:val="003A35A8"/>
    <w:rsid w:val="003A4CFC"/>
    <w:rsid w:val="003A4E98"/>
    <w:rsid w:val="003A5495"/>
    <w:rsid w:val="003A6269"/>
    <w:rsid w:val="003A65F9"/>
    <w:rsid w:val="003B072F"/>
    <w:rsid w:val="003B1DCB"/>
    <w:rsid w:val="003B3129"/>
    <w:rsid w:val="003B3CC1"/>
    <w:rsid w:val="003B631C"/>
    <w:rsid w:val="003B74F0"/>
    <w:rsid w:val="003B7BAA"/>
    <w:rsid w:val="003C04EC"/>
    <w:rsid w:val="003C0639"/>
    <w:rsid w:val="003C2EB0"/>
    <w:rsid w:val="003C2F11"/>
    <w:rsid w:val="003C34C6"/>
    <w:rsid w:val="003C4107"/>
    <w:rsid w:val="003C5524"/>
    <w:rsid w:val="003C6EED"/>
    <w:rsid w:val="003C7B82"/>
    <w:rsid w:val="003D0C82"/>
    <w:rsid w:val="003D10D2"/>
    <w:rsid w:val="003D144B"/>
    <w:rsid w:val="003D14ED"/>
    <w:rsid w:val="003D1ADF"/>
    <w:rsid w:val="003D27FA"/>
    <w:rsid w:val="003D3B45"/>
    <w:rsid w:val="003D414B"/>
    <w:rsid w:val="003D46CE"/>
    <w:rsid w:val="003D5CA4"/>
    <w:rsid w:val="003D632F"/>
    <w:rsid w:val="003D7A7A"/>
    <w:rsid w:val="003E0F86"/>
    <w:rsid w:val="003E2010"/>
    <w:rsid w:val="003E2E90"/>
    <w:rsid w:val="003E5127"/>
    <w:rsid w:val="003E5B1E"/>
    <w:rsid w:val="003F02AC"/>
    <w:rsid w:val="003F0E52"/>
    <w:rsid w:val="003F2553"/>
    <w:rsid w:val="003F2B4F"/>
    <w:rsid w:val="003F4440"/>
    <w:rsid w:val="003F60B7"/>
    <w:rsid w:val="00400FA6"/>
    <w:rsid w:val="0040275D"/>
    <w:rsid w:val="00403B9B"/>
    <w:rsid w:val="00404CBD"/>
    <w:rsid w:val="00407017"/>
    <w:rsid w:val="00407322"/>
    <w:rsid w:val="004112F7"/>
    <w:rsid w:val="0041466D"/>
    <w:rsid w:val="00414E98"/>
    <w:rsid w:val="00415D7E"/>
    <w:rsid w:val="004165CA"/>
    <w:rsid w:val="00417C83"/>
    <w:rsid w:val="0042002E"/>
    <w:rsid w:val="004200BC"/>
    <w:rsid w:val="004211FF"/>
    <w:rsid w:val="00422A3F"/>
    <w:rsid w:val="004261AC"/>
    <w:rsid w:val="00430BF9"/>
    <w:rsid w:val="00434584"/>
    <w:rsid w:val="00434B01"/>
    <w:rsid w:val="00434D00"/>
    <w:rsid w:val="004367F1"/>
    <w:rsid w:val="00440029"/>
    <w:rsid w:val="004418C8"/>
    <w:rsid w:val="00441C7C"/>
    <w:rsid w:val="00441E91"/>
    <w:rsid w:val="00442661"/>
    <w:rsid w:val="00442C77"/>
    <w:rsid w:val="0044369F"/>
    <w:rsid w:val="0044472B"/>
    <w:rsid w:val="00445EFB"/>
    <w:rsid w:val="004508CD"/>
    <w:rsid w:val="00450F0E"/>
    <w:rsid w:val="00450FFE"/>
    <w:rsid w:val="0045264F"/>
    <w:rsid w:val="00452890"/>
    <w:rsid w:val="004536B9"/>
    <w:rsid w:val="00453955"/>
    <w:rsid w:val="00453BB5"/>
    <w:rsid w:val="00453D5C"/>
    <w:rsid w:val="00454E1D"/>
    <w:rsid w:val="00454ED9"/>
    <w:rsid w:val="0045657F"/>
    <w:rsid w:val="004572E7"/>
    <w:rsid w:val="004602A6"/>
    <w:rsid w:val="004606D0"/>
    <w:rsid w:val="00462EC0"/>
    <w:rsid w:val="00463582"/>
    <w:rsid w:val="0046374E"/>
    <w:rsid w:val="00464C97"/>
    <w:rsid w:val="00464E32"/>
    <w:rsid w:val="004657C5"/>
    <w:rsid w:val="004660D4"/>
    <w:rsid w:val="00466279"/>
    <w:rsid w:val="004739B2"/>
    <w:rsid w:val="00475814"/>
    <w:rsid w:val="00476467"/>
    <w:rsid w:val="004765EA"/>
    <w:rsid w:val="00477F96"/>
    <w:rsid w:val="00480357"/>
    <w:rsid w:val="004805F3"/>
    <w:rsid w:val="00480F2D"/>
    <w:rsid w:val="00482729"/>
    <w:rsid w:val="00484448"/>
    <w:rsid w:val="004849DC"/>
    <w:rsid w:val="00484AA4"/>
    <w:rsid w:val="00484B25"/>
    <w:rsid w:val="00487B64"/>
    <w:rsid w:val="00490A5B"/>
    <w:rsid w:val="00490A72"/>
    <w:rsid w:val="004918A5"/>
    <w:rsid w:val="0049191E"/>
    <w:rsid w:val="00493471"/>
    <w:rsid w:val="00493A46"/>
    <w:rsid w:val="00493DAC"/>
    <w:rsid w:val="00493DBF"/>
    <w:rsid w:val="00494AEF"/>
    <w:rsid w:val="00494EAB"/>
    <w:rsid w:val="004964DA"/>
    <w:rsid w:val="00496AAC"/>
    <w:rsid w:val="00496E40"/>
    <w:rsid w:val="0049798E"/>
    <w:rsid w:val="00497ACF"/>
    <w:rsid w:val="004A1368"/>
    <w:rsid w:val="004A1723"/>
    <w:rsid w:val="004A1DEB"/>
    <w:rsid w:val="004A5048"/>
    <w:rsid w:val="004A5214"/>
    <w:rsid w:val="004A545A"/>
    <w:rsid w:val="004B3303"/>
    <w:rsid w:val="004B3977"/>
    <w:rsid w:val="004B4F92"/>
    <w:rsid w:val="004B508F"/>
    <w:rsid w:val="004B5538"/>
    <w:rsid w:val="004B578B"/>
    <w:rsid w:val="004B75AB"/>
    <w:rsid w:val="004B7FF9"/>
    <w:rsid w:val="004C1C11"/>
    <w:rsid w:val="004C35CC"/>
    <w:rsid w:val="004C53D6"/>
    <w:rsid w:val="004C6B29"/>
    <w:rsid w:val="004C7265"/>
    <w:rsid w:val="004D026F"/>
    <w:rsid w:val="004D2BF9"/>
    <w:rsid w:val="004D3C24"/>
    <w:rsid w:val="004E013F"/>
    <w:rsid w:val="004E0C2F"/>
    <w:rsid w:val="004E0DE9"/>
    <w:rsid w:val="004E11FC"/>
    <w:rsid w:val="004E4646"/>
    <w:rsid w:val="004F2857"/>
    <w:rsid w:val="004F2E7E"/>
    <w:rsid w:val="004F31AD"/>
    <w:rsid w:val="004F61F6"/>
    <w:rsid w:val="004F7896"/>
    <w:rsid w:val="0050065B"/>
    <w:rsid w:val="00500FE8"/>
    <w:rsid w:val="005014E7"/>
    <w:rsid w:val="005040AA"/>
    <w:rsid w:val="0050526B"/>
    <w:rsid w:val="00505347"/>
    <w:rsid w:val="0050731F"/>
    <w:rsid w:val="005073DA"/>
    <w:rsid w:val="005151E0"/>
    <w:rsid w:val="005152AD"/>
    <w:rsid w:val="005154EA"/>
    <w:rsid w:val="00520679"/>
    <w:rsid w:val="00520A7E"/>
    <w:rsid w:val="00521FEE"/>
    <w:rsid w:val="005221C4"/>
    <w:rsid w:val="0052232C"/>
    <w:rsid w:val="00522428"/>
    <w:rsid w:val="005248B4"/>
    <w:rsid w:val="00524F40"/>
    <w:rsid w:val="00525829"/>
    <w:rsid w:val="0052626C"/>
    <w:rsid w:val="00527AEA"/>
    <w:rsid w:val="00527E5F"/>
    <w:rsid w:val="005301EF"/>
    <w:rsid w:val="00531ADE"/>
    <w:rsid w:val="005328A9"/>
    <w:rsid w:val="00533535"/>
    <w:rsid w:val="00534441"/>
    <w:rsid w:val="0053448E"/>
    <w:rsid w:val="00536C1D"/>
    <w:rsid w:val="0053739B"/>
    <w:rsid w:val="00537661"/>
    <w:rsid w:val="00540388"/>
    <w:rsid w:val="00540CF0"/>
    <w:rsid w:val="00540DB3"/>
    <w:rsid w:val="00540E4A"/>
    <w:rsid w:val="00541C1A"/>
    <w:rsid w:val="00543A3C"/>
    <w:rsid w:val="005442D4"/>
    <w:rsid w:val="00545445"/>
    <w:rsid w:val="00545D82"/>
    <w:rsid w:val="00546FFE"/>
    <w:rsid w:val="00547B5D"/>
    <w:rsid w:val="00550333"/>
    <w:rsid w:val="00551FAC"/>
    <w:rsid w:val="005530E7"/>
    <w:rsid w:val="00553210"/>
    <w:rsid w:val="005542E7"/>
    <w:rsid w:val="00556620"/>
    <w:rsid w:val="00556B33"/>
    <w:rsid w:val="00557051"/>
    <w:rsid w:val="005634F5"/>
    <w:rsid w:val="00563666"/>
    <w:rsid w:val="00564FDE"/>
    <w:rsid w:val="005651B4"/>
    <w:rsid w:val="0056660A"/>
    <w:rsid w:val="00570A0F"/>
    <w:rsid w:val="00571A14"/>
    <w:rsid w:val="00572A4A"/>
    <w:rsid w:val="00574758"/>
    <w:rsid w:val="00574BBA"/>
    <w:rsid w:val="00574C9F"/>
    <w:rsid w:val="00574F0F"/>
    <w:rsid w:val="005754D0"/>
    <w:rsid w:val="00575EA5"/>
    <w:rsid w:val="005769D0"/>
    <w:rsid w:val="00577A32"/>
    <w:rsid w:val="00577E47"/>
    <w:rsid w:val="00577E6A"/>
    <w:rsid w:val="00580498"/>
    <w:rsid w:val="00581CEC"/>
    <w:rsid w:val="00581F1A"/>
    <w:rsid w:val="005823EE"/>
    <w:rsid w:val="00583CC8"/>
    <w:rsid w:val="00583D5B"/>
    <w:rsid w:val="00584583"/>
    <w:rsid w:val="00584C6F"/>
    <w:rsid w:val="00585955"/>
    <w:rsid w:val="005866CB"/>
    <w:rsid w:val="005915DB"/>
    <w:rsid w:val="00591FF5"/>
    <w:rsid w:val="0059241D"/>
    <w:rsid w:val="0059281A"/>
    <w:rsid w:val="00592DFA"/>
    <w:rsid w:val="00593E31"/>
    <w:rsid w:val="00594E30"/>
    <w:rsid w:val="0059508E"/>
    <w:rsid w:val="005956EB"/>
    <w:rsid w:val="00596097"/>
    <w:rsid w:val="0059657A"/>
    <w:rsid w:val="00597904"/>
    <w:rsid w:val="00597C94"/>
    <w:rsid w:val="005A08CD"/>
    <w:rsid w:val="005A0D41"/>
    <w:rsid w:val="005A16E5"/>
    <w:rsid w:val="005A1B4F"/>
    <w:rsid w:val="005A3207"/>
    <w:rsid w:val="005A5A72"/>
    <w:rsid w:val="005A7A47"/>
    <w:rsid w:val="005B0FA5"/>
    <w:rsid w:val="005B136E"/>
    <w:rsid w:val="005B17C0"/>
    <w:rsid w:val="005B1978"/>
    <w:rsid w:val="005B382D"/>
    <w:rsid w:val="005B3C8B"/>
    <w:rsid w:val="005B5A45"/>
    <w:rsid w:val="005B60A1"/>
    <w:rsid w:val="005B6DE8"/>
    <w:rsid w:val="005B7B38"/>
    <w:rsid w:val="005C0018"/>
    <w:rsid w:val="005C143B"/>
    <w:rsid w:val="005C230D"/>
    <w:rsid w:val="005C2BE8"/>
    <w:rsid w:val="005C2ECA"/>
    <w:rsid w:val="005C3483"/>
    <w:rsid w:val="005C3C4A"/>
    <w:rsid w:val="005C46C7"/>
    <w:rsid w:val="005D070A"/>
    <w:rsid w:val="005D0856"/>
    <w:rsid w:val="005D0B30"/>
    <w:rsid w:val="005D1C1B"/>
    <w:rsid w:val="005D1D55"/>
    <w:rsid w:val="005D22FF"/>
    <w:rsid w:val="005D2C66"/>
    <w:rsid w:val="005D33D7"/>
    <w:rsid w:val="005D474B"/>
    <w:rsid w:val="005D4CCD"/>
    <w:rsid w:val="005D5240"/>
    <w:rsid w:val="005D7988"/>
    <w:rsid w:val="005D7DBD"/>
    <w:rsid w:val="005E0FCC"/>
    <w:rsid w:val="005E1058"/>
    <w:rsid w:val="005E34A0"/>
    <w:rsid w:val="005E37F0"/>
    <w:rsid w:val="005E5DE9"/>
    <w:rsid w:val="005E66C6"/>
    <w:rsid w:val="005F006F"/>
    <w:rsid w:val="005F07FB"/>
    <w:rsid w:val="005F2184"/>
    <w:rsid w:val="005F2676"/>
    <w:rsid w:val="005F26EE"/>
    <w:rsid w:val="005F344B"/>
    <w:rsid w:val="005F373E"/>
    <w:rsid w:val="005F3F08"/>
    <w:rsid w:val="005F4078"/>
    <w:rsid w:val="005F5769"/>
    <w:rsid w:val="005F6498"/>
    <w:rsid w:val="005F6747"/>
    <w:rsid w:val="005F6BF6"/>
    <w:rsid w:val="006002D1"/>
    <w:rsid w:val="00601300"/>
    <w:rsid w:val="00601919"/>
    <w:rsid w:val="00602B86"/>
    <w:rsid w:val="00603217"/>
    <w:rsid w:val="0060328E"/>
    <w:rsid w:val="006037C4"/>
    <w:rsid w:val="00604378"/>
    <w:rsid w:val="0060482C"/>
    <w:rsid w:val="0060561A"/>
    <w:rsid w:val="00605964"/>
    <w:rsid w:val="00607909"/>
    <w:rsid w:val="00607C64"/>
    <w:rsid w:val="006107FE"/>
    <w:rsid w:val="00610E92"/>
    <w:rsid w:val="00611BBD"/>
    <w:rsid w:val="0061365B"/>
    <w:rsid w:val="00613664"/>
    <w:rsid w:val="00613C0E"/>
    <w:rsid w:val="006147D7"/>
    <w:rsid w:val="00614A96"/>
    <w:rsid w:val="0061540C"/>
    <w:rsid w:val="00621F3A"/>
    <w:rsid w:val="0062297B"/>
    <w:rsid w:val="006234D2"/>
    <w:rsid w:val="00624049"/>
    <w:rsid w:val="00624358"/>
    <w:rsid w:val="0062469F"/>
    <w:rsid w:val="00625277"/>
    <w:rsid w:val="006254F0"/>
    <w:rsid w:val="00626AB8"/>
    <w:rsid w:val="00626CA6"/>
    <w:rsid w:val="00631471"/>
    <w:rsid w:val="00631B9C"/>
    <w:rsid w:val="00632467"/>
    <w:rsid w:val="006338F4"/>
    <w:rsid w:val="00634DEB"/>
    <w:rsid w:val="00634F39"/>
    <w:rsid w:val="006402E8"/>
    <w:rsid w:val="00640BC2"/>
    <w:rsid w:val="006412D3"/>
    <w:rsid w:val="00642586"/>
    <w:rsid w:val="0064333D"/>
    <w:rsid w:val="00643F26"/>
    <w:rsid w:val="0064409E"/>
    <w:rsid w:val="00644D2F"/>
    <w:rsid w:val="00644F12"/>
    <w:rsid w:val="0064620A"/>
    <w:rsid w:val="0064724E"/>
    <w:rsid w:val="0064761F"/>
    <w:rsid w:val="0065119C"/>
    <w:rsid w:val="006524B0"/>
    <w:rsid w:val="0065544D"/>
    <w:rsid w:val="006557F8"/>
    <w:rsid w:val="0065650E"/>
    <w:rsid w:val="00656D04"/>
    <w:rsid w:val="00656D98"/>
    <w:rsid w:val="00657863"/>
    <w:rsid w:val="00657CBB"/>
    <w:rsid w:val="00660680"/>
    <w:rsid w:val="00660FBF"/>
    <w:rsid w:val="00661BE5"/>
    <w:rsid w:val="00663B6F"/>
    <w:rsid w:val="00664056"/>
    <w:rsid w:val="00667E6D"/>
    <w:rsid w:val="00670825"/>
    <w:rsid w:val="00670C3C"/>
    <w:rsid w:val="00672205"/>
    <w:rsid w:val="0067288A"/>
    <w:rsid w:val="00674D3A"/>
    <w:rsid w:val="006754E2"/>
    <w:rsid w:val="00676F70"/>
    <w:rsid w:val="00677EF3"/>
    <w:rsid w:val="006813E6"/>
    <w:rsid w:val="00682F03"/>
    <w:rsid w:val="006838C5"/>
    <w:rsid w:val="00683989"/>
    <w:rsid w:val="006839A8"/>
    <w:rsid w:val="00683C92"/>
    <w:rsid w:val="00683D38"/>
    <w:rsid w:val="00684C9E"/>
    <w:rsid w:val="0068576C"/>
    <w:rsid w:val="00690167"/>
    <w:rsid w:val="006929B7"/>
    <w:rsid w:val="006944B6"/>
    <w:rsid w:val="00695855"/>
    <w:rsid w:val="00695CAC"/>
    <w:rsid w:val="00697505"/>
    <w:rsid w:val="00697C93"/>
    <w:rsid w:val="006A042E"/>
    <w:rsid w:val="006A089D"/>
    <w:rsid w:val="006A0B17"/>
    <w:rsid w:val="006A187D"/>
    <w:rsid w:val="006A1D1E"/>
    <w:rsid w:val="006A37CE"/>
    <w:rsid w:val="006A55D1"/>
    <w:rsid w:val="006A65A8"/>
    <w:rsid w:val="006A6ABF"/>
    <w:rsid w:val="006A7388"/>
    <w:rsid w:val="006B07B6"/>
    <w:rsid w:val="006B170A"/>
    <w:rsid w:val="006B1ED1"/>
    <w:rsid w:val="006B2269"/>
    <w:rsid w:val="006B2CEA"/>
    <w:rsid w:val="006B4AD1"/>
    <w:rsid w:val="006B5D11"/>
    <w:rsid w:val="006B6C1B"/>
    <w:rsid w:val="006B6C33"/>
    <w:rsid w:val="006B6F2C"/>
    <w:rsid w:val="006C0C8E"/>
    <w:rsid w:val="006C2D88"/>
    <w:rsid w:val="006C3C0D"/>
    <w:rsid w:val="006C41F7"/>
    <w:rsid w:val="006C425E"/>
    <w:rsid w:val="006C68F2"/>
    <w:rsid w:val="006D1877"/>
    <w:rsid w:val="006D1EB4"/>
    <w:rsid w:val="006D2615"/>
    <w:rsid w:val="006D4C91"/>
    <w:rsid w:val="006D6665"/>
    <w:rsid w:val="006D6B8A"/>
    <w:rsid w:val="006D7839"/>
    <w:rsid w:val="006E093E"/>
    <w:rsid w:val="006E0B69"/>
    <w:rsid w:val="006E34C7"/>
    <w:rsid w:val="006E3544"/>
    <w:rsid w:val="006E3B15"/>
    <w:rsid w:val="006E3F83"/>
    <w:rsid w:val="006E4052"/>
    <w:rsid w:val="006E474C"/>
    <w:rsid w:val="006E4F10"/>
    <w:rsid w:val="006E533D"/>
    <w:rsid w:val="006E61C2"/>
    <w:rsid w:val="006E6A65"/>
    <w:rsid w:val="006E7060"/>
    <w:rsid w:val="006E7551"/>
    <w:rsid w:val="006E7954"/>
    <w:rsid w:val="006F0A28"/>
    <w:rsid w:val="006F1BA8"/>
    <w:rsid w:val="006F1EDA"/>
    <w:rsid w:val="006F263D"/>
    <w:rsid w:val="006F3D34"/>
    <w:rsid w:val="006F4F99"/>
    <w:rsid w:val="006F5092"/>
    <w:rsid w:val="006F5566"/>
    <w:rsid w:val="006F6AC8"/>
    <w:rsid w:val="007005C4"/>
    <w:rsid w:val="00700E21"/>
    <w:rsid w:val="00701AD4"/>
    <w:rsid w:val="00702DC1"/>
    <w:rsid w:val="00704955"/>
    <w:rsid w:val="007050C7"/>
    <w:rsid w:val="007068BE"/>
    <w:rsid w:val="00710BF5"/>
    <w:rsid w:val="00712E1F"/>
    <w:rsid w:val="0071309F"/>
    <w:rsid w:val="00713D4D"/>
    <w:rsid w:val="0071768A"/>
    <w:rsid w:val="0071782E"/>
    <w:rsid w:val="0072256F"/>
    <w:rsid w:val="007235FD"/>
    <w:rsid w:val="00723E1A"/>
    <w:rsid w:val="007246E1"/>
    <w:rsid w:val="007249A7"/>
    <w:rsid w:val="007256AF"/>
    <w:rsid w:val="00725B85"/>
    <w:rsid w:val="00725EFB"/>
    <w:rsid w:val="00726260"/>
    <w:rsid w:val="00726C9E"/>
    <w:rsid w:val="00726D19"/>
    <w:rsid w:val="0072721C"/>
    <w:rsid w:val="00730306"/>
    <w:rsid w:val="00731F26"/>
    <w:rsid w:val="00734419"/>
    <w:rsid w:val="0073664B"/>
    <w:rsid w:val="00736E6A"/>
    <w:rsid w:val="00736F72"/>
    <w:rsid w:val="00741F4D"/>
    <w:rsid w:val="0074252C"/>
    <w:rsid w:val="00742EEA"/>
    <w:rsid w:val="00742F0A"/>
    <w:rsid w:val="0074303F"/>
    <w:rsid w:val="0074630B"/>
    <w:rsid w:val="0074702B"/>
    <w:rsid w:val="0075010E"/>
    <w:rsid w:val="007504BF"/>
    <w:rsid w:val="0075272D"/>
    <w:rsid w:val="00752743"/>
    <w:rsid w:val="00754206"/>
    <w:rsid w:val="007546EB"/>
    <w:rsid w:val="00754D33"/>
    <w:rsid w:val="00755BE2"/>
    <w:rsid w:val="007569AE"/>
    <w:rsid w:val="007578A6"/>
    <w:rsid w:val="007578F9"/>
    <w:rsid w:val="00760F33"/>
    <w:rsid w:val="0076223D"/>
    <w:rsid w:val="00763B76"/>
    <w:rsid w:val="0076544A"/>
    <w:rsid w:val="00767650"/>
    <w:rsid w:val="00767FED"/>
    <w:rsid w:val="0077025D"/>
    <w:rsid w:val="00771300"/>
    <w:rsid w:val="007806A8"/>
    <w:rsid w:val="00780EEC"/>
    <w:rsid w:val="007811BC"/>
    <w:rsid w:val="00781989"/>
    <w:rsid w:val="007837CD"/>
    <w:rsid w:val="00784FE3"/>
    <w:rsid w:val="007852DD"/>
    <w:rsid w:val="00790429"/>
    <w:rsid w:val="00791D1C"/>
    <w:rsid w:val="00792743"/>
    <w:rsid w:val="00792767"/>
    <w:rsid w:val="007928D7"/>
    <w:rsid w:val="00794E2C"/>
    <w:rsid w:val="00795039"/>
    <w:rsid w:val="00795681"/>
    <w:rsid w:val="00796902"/>
    <w:rsid w:val="007979D5"/>
    <w:rsid w:val="007A2F41"/>
    <w:rsid w:val="007A3031"/>
    <w:rsid w:val="007A409F"/>
    <w:rsid w:val="007A7768"/>
    <w:rsid w:val="007B0568"/>
    <w:rsid w:val="007B0BC8"/>
    <w:rsid w:val="007B0CC4"/>
    <w:rsid w:val="007B3BF1"/>
    <w:rsid w:val="007B3E6D"/>
    <w:rsid w:val="007B4C48"/>
    <w:rsid w:val="007B5967"/>
    <w:rsid w:val="007B765B"/>
    <w:rsid w:val="007C11B3"/>
    <w:rsid w:val="007C26E3"/>
    <w:rsid w:val="007C2F6B"/>
    <w:rsid w:val="007C4A0E"/>
    <w:rsid w:val="007C5A3A"/>
    <w:rsid w:val="007C6056"/>
    <w:rsid w:val="007C64A6"/>
    <w:rsid w:val="007C6936"/>
    <w:rsid w:val="007C7219"/>
    <w:rsid w:val="007C7271"/>
    <w:rsid w:val="007C7DE1"/>
    <w:rsid w:val="007D21EF"/>
    <w:rsid w:val="007D2E46"/>
    <w:rsid w:val="007D3709"/>
    <w:rsid w:val="007D3A01"/>
    <w:rsid w:val="007D3AE5"/>
    <w:rsid w:val="007D3FA9"/>
    <w:rsid w:val="007D4115"/>
    <w:rsid w:val="007D4363"/>
    <w:rsid w:val="007D579B"/>
    <w:rsid w:val="007D5A7D"/>
    <w:rsid w:val="007D6B06"/>
    <w:rsid w:val="007D6C36"/>
    <w:rsid w:val="007E07E0"/>
    <w:rsid w:val="007E096C"/>
    <w:rsid w:val="007E1B01"/>
    <w:rsid w:val="007E2F76"/>
    <w:rsid w:val="007E3274"/>
    <w:rsid w:val="007E38CF"/>
    <w:rsid w:val="007E53F4"/>
    <w:rsid w:val="007E56B2"/>
    <w:rsid w:val="007E56CA"/>
    <w:rsid w:val="007E5767"/>
    <w:rsid w:val="007E7007"/>
    <w:rsid w:val="007E721C"/>
    <w:rsid w:val="007F09AB"/>
    <w:rsid w:val="007F264D"/>
    <w:rsid w:val="007F2EB9"/>
    <w:rsid w:val="007F2FA3"/>
    <w:rsid w:val="007F534B"/>
    <w:rsid w:val="007F53BD"/>
    <w:rsid w:val="007F5562"/>
    <w:rsid w:val="007F5D72"/>
    <w:rsid w:val="007F5E3A"/>
    <w:rsid w:val="007F6395"/>
    <w:rsid w:val="007F7C0D"/>
    <w:rsid w:val="00800403"/>
    <w:rsid w:val="0080111A"/>
    <w:rsid w:val="00801C7C"/>
    <w:rsid w:val="008029D0"/>
    <w:rsid w:val="008045CE"/>
    <w:rsid w:val="00804B33"/>
    <w:rsid w:val="00804F19"/>
    <w:rsid w:val="00805E0B"/>
    <w:rsid w:val="008067B4"/>
    <w:rsid w:val="00812F49"/>
    <w:rsid w:val="0081357D"/>
    <w:rsid w:val="008136A2"/>
    <w:rsid w:val="008136FF"/>
    <w:rsid w:val="00813A33"/>
    <w:rsid w:val="00813FCC"/>
    <w:rsid w:val="0081410B"/>
    <w:rsid w:val="00814426"/>
    <w:rsid w:val="00814CAA"/>
    <w:rsid w:val="0081518D"/>
    <w:rsid w:val="008155FC"/>
    <w:rsid w:val="00815B73"/>
    <w:rsid w:val="0082039F"/>
    <w:rsid w:val="00820C10"/>
    <w:rsid w:val="00821830"/>
    <w:rsid w:val="0082225A"/>
    <w:rsid w:val="008240B0"/>
    <w:rsid w:val="00824815"/>
    <w:rsid w:val="00824C0E"/>
    <w:rsid w:val="008251B5"/>
    <w:rsid w:val="00825F48"/>
    <w:rsid w:val="008268BC"/>
    <w:rsid w:val="0083017E"/>
    <w:rsid w:val="00830241"/>
    <w:rsid w:val="008307B8"/>
    <w:rsid w:val="008329CE"/>
    <w:rsid w:val="00834333"/>
    <w:rsid w:val="00835188"/>
    <w:rsid w:val="008351F9"/>
    <w:rsid w:val="0083596D"/>
    <w:rsid w:val="00837117"/>
    <w:rsid w:val="00837487"/>
    <w:rsid w:val="0083781D"/>
    <w:rsid w:val="00840312"/>
    <w:rsid w:val="00840CA5"/>
    <w:rsid w:val="00840E50"/>
    <w:rsid w:val="008416A3"/>
    <w:rsid w:val="00841F03"/>
    <w:rsid w:val="00842E34"/>
    <w:rsid w:val="00843468"/>
    <w:rsid w:val="00844033"/>
    <w:rsid w:val="008442D9"/>
    <w:rsid w:val="00845B66"/>
    <w:rsid w:val="00846A7C"/>
    <w:rsid w:val="00847C56"/>
    <w:rsid w:val="00852C29"/>
    <w:rsid w:val="008539FF"/>
    <w:rsid w:val="00854358"/>
    <w:rsid w:val="00861B02"/>
    <w:rsid w:val="00861D95"/>
    <w:rsid w:val="00861E9C"/>
    <w:rsid w:val="008629B7"/>
    <w:rsid w:val="00863A69"/>
    <w:rsid w:val="00864750"/>
    <w:rsid w:val="0086523A"/>
    <w:rsid w:val="008656BE"/>
    <w:rsid w:val="00865AF4"/>
    <w:rsid w:val="0086618E"/>
    <w:rsid w:val="00867BA0"/>
    <w:rsid w:val="00867E69"/>
    <w:rsid w:val="008705D2"/>
    <w:rsid w:val="00870864"/>
    <w:rsid w:val="00871134"/>
    <w:rsid w:val="0087130A"/>
    <w:rsid w:val="00873149"/>
    <w:rsid w:val="00873F70"/>
    <w:rsid w:val="00873F7B"/>
    <w:rsid w:val="0087532A"/>
    <w:rsid w:val="008755DB"/>
    <w:rsid w:val="008756E5"/>
    <w:rsid w:val="00876C59"/>
    <w:rsid w:val="00881930"/>
    <w:rsid w:val="00882195"/>
    <w:rsid w:val="00884943"/>
    <w:rsid w:val="00884A93"/>
    <w:rsid w:val="00885483"/>
    <w:rsid w:val="008864F5"/>
    <w:rsid w:val="0088701A"/>
    <w:rsid w:val="008900F0"/>
    <w:rsid w:val="00890363"/>
    <w:rsid w:val="0089043A"/>
    <w:rsid w:val="00890B52"/>
    <w:rsid w:val="00892534"/>
    <w:rsid w:val="00892F65"/>
    <w:rsid w:val="0089313C"/>
    <w:rsid w:val="008949B2"/>
    <w:rsid w:val="00894CB9"/>
    <w:rsid w:val="00894D26"/>
    <w:rsid w:val="00896A09"/>
    <w:rsid w:val="00897806"/>
    <w:rsid w:val="008A029E"/>
    <w:rsid w:val="008A0B6C"/>
    <w:rsid w:val="008A0D75"/>
    <w:rsid w:val="008A20BC"/>
    <w:rsid w:val="008A4B85"/>
    <w:rsid w:val="008A658E"/>
    <w:rsid w:val="008A7ADF"/>
    <w:rsid w:val="008A7E9A"/>
    <w:rsid w:val="008B012F"/>
    <w:rsid w:val="008B1685"/>
    <w:rsid w:val="008B266C"/>
    <w:rsid w:val="008B325E"/>
    <w:rsid w:val="008B4E96"/>
    <w:rsid w:val="008B5993"/>
    <w:rsid w:val="008B5BD0"/>
    <w:rsid w:val="008B7ECF"/>
    <w:rsid w:val="008C066D"/>
    <w:rsid w:val="008C15C3"/>
    <w:rsid w:val="008C1D80"/>
    <w:rsid w:val="008C2906"/>
    <w:rsid w:val="008C2C01"/>
    <w:rsid w:val="008C49E3"/>
    <w:rsid w:val="008C4B2E"/>
    <w:rsid w:val="008C55BA"/>
    <w:rsid w:val="008C70C6"/>
    <w:rsid w:val="008D0492"/>
    <w:rsid w:val="008D1635"/>
    <w:rsid w:val="008D16E8"/>
    <w:rsid w:val="008D199A"/>
    <w:rsid w:val="008D2689"/>
    <w:rsid w:val="008D35F7"/>
    <w:rsid w:val="008D37EE"/>
    <w:rsid w:val="008D435C"/>
    <w:rsid w:val="008D725D"/>
    <w:rsid w:val="008D78B6"/>
    <w:rsid w:val="008E03F7"/>
    <w:rsid w:val="008E0909"/>
    <w:rsid w:val="008E11F7"/>
    <w:rsid w:val="008E14F7"/>
    <w:rsid w:val="008E2769"/>
    <w:rsid w:val="008E2AA9"/>
    <w:rsid w:val="008E35DD"/>
    <w:rsid w:val="008E3813"/>
    <w:rsid w:val="008E3996"/>
    <w:rsid w:val="008E46CC"/>
    <w:rsid w:val="008E4758"/>
    <w:rsid w:val="008E4F77"/>
    <w:rsid w:val="008E5A64"/>
    <w:rsid w:val="008F120A"/>
    <w:rsid w:val="008F15B3"/>
    <w:rsid w:val="008F239D"/>
    <w:rsid w:val="008F35DB"/>
    <w:rsid w:val="008F3602"/>
    <w:rsid w:val="008F37AE"/>
    <w:rsid w:val="008F3971"/>
    <w:rsid w:val="008F3AC3"/>
    <w:rsid w:val="008F3D8C"/>
    <w:rsid w:val="008F49D6"/>
    <w:rsid w:val="008F53CA"/>
    <w:rsid w:val="008F5639"/>
    <w:rsid w:val="008F67CD"/>
    <w:rsid w:val="008F69D3"/>
    <w:rsid w:val="008F7E1D"/>
    <w:rsid w:val="00900EBB"/>
    <w:rsid w:val="00902632"/>
    <w:rsid w:val="00905495"/>
    <w:rsid w:val="009054DD"/>
    <w:rsid w:val="00905CF0"/>
    <w:rsid w:val="00905DDC"/>
    <w:rsid w:val="00906CC9"/>
    <w:rsid w:val="00906E21"/>
    <w:rsid w:val="00910DB7"/>
    <w:rsid w:val="0091127E"/>
    <w:rsid w:val="00911750"/>
    <w:rsid w:val="00912FAD"/>
    <w:rsid w:val="0091334A"/>
    <w:rsid w:val="0091595D"/>
    <w:rsid w:val="00917541"/>
    <w:rsid w:val="00927656"/>
    <w:rsid w:val="00927882"/>
    <w:rsid w:val="009279A6"/>
    <w:rsid w:val="0093080E"/>
    <w:rsid w:val="00930C95"/>
    <w:rsid w:val="00930FC6"/>
    <w:rsid w:val="009313F6"/>
    <w:rsid w:val="00931EFC"/>
    <w:rsid w:val="00933DC7"/>
    <w:rsid w:val="0093471E"/>
    <w:rsid w:val="00935DB3"/>
    <w:rsid w:val="00936D8F"/>
    <w:rsid w:val="00936FCE"/>
    <w:rsid w:val="0093716B"/>
    <w:rsid w:val="00941321"/>
    <w:rsid w:val="00944130"/>
    <w:rsid w:val="00944CDC"/>
    <w:rsid w:val="00947C9E"/>
    <w:rsid w:val="00952362"/>
    <w:rsid w:val="00952DDB"/>
    <w:rsid w:val="0095358A"/>
    <w:rsid w:val="009537CD"/>
    <w:rsid w:val="009541B8"/>
    <w:rsid w:val="00956F33"/>
    <w:rsid w:val="00960DB6"/>
    <w:rsid w:val="00961CC7"/>
    <w:rsid w:val="00961F6D"/>
    <w:rsid w:val="00962B7E"/>
    <w:rsid w:val="00965E2E"/>
    <w:rsid w:val="009702EB"/>
    <w:rsid w:val="009719AB"/>
    <w:rsid w:val="0097230C"/>
    <w:rsid w:val="0097236D"/>
    <w:rsid w:val="00972BE7"/>
    <w:rsid w:val="0097395E"/>
    <w:rsid w:val="009739F1"/>
    <w:rsid w:val="00974234"/>
    <w:rsid w:val="009752DA"/>
    <w:rsid w:val="00976082"/>
    <w:rsid w:val="009764B9"/>
    <w:rsid w:val="00977E28"/>
    <w:rsid w:val="009823E5"/>
    <w:rsid w:val="00983A3D"/>
    <w:rsid w:val="00984B68"/>
    <w:rsid w:val="00985429"/>
    <w:rsid w:val="009876CB"/>
    <w:rsid w:val="00990730"/>
    <w:rsid w:val="00990E3E"/>
    <w:rsid w:val="00991275"/>
    <w:rsid w:val="00992A45"/>
    <w:rsid w:val="0099300A"/>
    <w:rsid w:val="00993FF9"/>
    <w:rsid w:val="00995447"/>
    <w:rsid w:val="00995C91"/>
    <w:rsid w:val="00996722"/>
    <w:rsid w:val="009A0A9A"/>
    <w:rsid w:val="009A10EA"/>
    <w:rsid w:val="009A1FCE"/>
    <w:rsid w:val="009A27B3"/>
    <w:rsid w:val="009A56EF"/>
    <w:rsid w:val="009A575E"/>
    <w:rsid w:val="009A6E8F"/>
    <w:rsid w:val="009A770F"/>
    <w:rsid w:val="009B1560"/>
    <w:rsid w:val="009B1EEB"/>
    <w:rsid w:val="009B2E0A"/>
    <w:rsid w:val="009B4090"/>
    <w:rsid w:val="009B56AF"/>
    <w:rsid w:val="009B7C86"/>
    <w:rsid w:val="009C03B3"/>
    <w:rsid w:val="009C09C8"/>
    <w:rsid w:val="009C10D2"/>
    <w:rsid w:val="009C1698"/>
    <w:rsid w:val="009C1BC8"/>
    <w:rsid w:val="009C2616"/>
    <w:rsid w:val="009C2B33"/>
    <w:rsid w:val="009C3A80"/>
    <w:rsid w:val="009C3BCD"/>
    <w:rsid w:val="009C45B1"/>
    <w:rsid w:val="009C7E2E"/>
    <w:rsid w:val="009D1063"/>
    <w:rsid w:val="009D214C"/>
    <w:rsid w:val="009D26DC"/>
    <w:rsid w:val="009D352C"/>
    <w:rsid w:val="009D35C3"/>
    <w:rsid w:val="009D374E"/>
    <w:rsid w:val="009D64F5"/>
    <w:rsid w:val="009D6833"/>
    <w:rsid w:val="009E1E08"/>
    <w:rsid w:val="009E2276"/>
    <w:rsid w:val="009E286C"/>
    <w:rsid w:val="009E295F"/>
    <w:rsid w:val="009E3292"/>
    <w:rsid w:val="009E3A86"/>
    <w:rsid w:val="009E3E7C"/>
    <w:rsid w:val="009E4CA3"/>
    <w:rsid w:val="009E5E44"/>
    <w:rsid w:val="009E6F91"/>
    <w:rsid w:val="009E764D"/>
    <w:rsid w:val="009F0B02"/>
    <w:rsid w:val="009F1588"/>
    <w:rsid w:val="009F18AE"/>
    <w:rsid w:val="009F2F26"/>
    <w:rsid w:val="009F406B"/>
    <w:rsid w:val="009F4606"/>
    <w:rsid w:val="009F6182"/>
    <w:rsid w:val="009F629E"/>
    <w:rsid w:val="009F6443"/>
    <w:rsid w:val="00A00C67"/>
    <w:rsid w:val="00A01E16"/>
    <w:rsid w:val="00A01F96"/>
    <w:rsid w:val="00A0261D"/>
    <w:rsid w:val="00A03C5F"/>
    <w:rsid w:val="00A03D13"/>
    <w:rsid w:val="00A048E9"/>
    <w:rsid w:val="00A049B5"/>
    <w:rsid w:val="00A04BD4"/>
    <w:rsid w:val="00A05BBB"/>
    <w:rsid w:val="00A06EC3"/>
    <w:rsid w:val="00A071AE"/>
    <w:rsid w:val="00A10B5B"/>
    <w:rsid w:val="00A11C23"/>
    <w:rsid w:val="00A121AA"/>
    <w:rsid w:val="00A12DF2"/>
    <w:rsid w:val="00A12F03"/>
    <w:rsid w:val="00A134C1"/>
    <w:rsid w:val="00A13BAC"/>
    <w:rsid w:val="00A15388"/>
    <w:rsid w:val="00A15871"/>
    <w:rsid w:val="00A1624B"/>
    <w:rsid w:val="00A20138"/>
    <w:rsid w:val="00A22091"/>
    <w:rsid w:val="00A26413"/>
    <w:rsid w:val="00A2747E"/>
    <w:rsid w:val="00A27502"/>
    <w:rsid w:val="00A27536"/>
    <w:rsid w:val="00A277EC"/>
    <w:rsid w:val="00A27D3D"/>
    <w:rsid w:val="00A27FD6"/>
    <w:rsid w:val="00A30E5C"/>
    <w:rsid w:val="00A339BE"/>
    <w:rsid w:val="00A35240"/>
    <w:rsid w:val="00A35920"/>
    <w:rsid w:val="00A36E49"/>
    <w:rsid w:val="00A37B26"/>
    <w:rsid w:val="00A40B10"/>
    <w:rsid w:val="00A41584"/>
    <w:rsid w:val="00A418AF"/>
    <w:rsid w:val="00A4226B"/>
    <w:rsid w:val="00A43132"/>
    <w:rsid w:val="00A43369"/>
    <w:rsid w:val="00A43799"/>
    <w:rsid w:val="00A440AE"/>
    <w:rsid w:val="00A47F94"/>
    <w:rsid w:val="00A50E85"/>
    <w:rsid w:val="00A5247E"/>
    <w:rsid w:val="00A532CA"/>
    <w:rsid w:val="00A53604"/>
    <w:rsid w:val="00A54051"/>
    <w:rsid w:val="00A54121"/>
    <w:rsid w:val="00A54E6D"/>
    <w:rsid w:val="00A6674A"/>
    <w:rsid w:val="00A6686A"/>
    <w:rsid w:val="00A668F9"/>
    <w:rsid w:val="00A66AD7"/>
    <w:rsid w:val="00A66B30"/>
    <w:rsid w:val="00A66ECA"/>
    <w:rsid w:val="00A6721A"/>
    <w:rsid w:val="00A7097C"/>
    <w:rsid w:val="00A70C15"/>
    <w:rsid w:val="00A744E8"/>
    <w:rsid w:val="00A75003"/>
    <w:rsid w:val="00A7522F"/>
    <w:rsid w:val="00A76A03"/>
    <w:rsid w:val="00A7796F"/>
    <w:rsid w:val="00A83035"/>
    <w:rsid w:val="00A843AF"/>
    <w:rsid w:val="00A853C3"/>
    <w:rsid w:val="00A87705"/>
    <w:rsid w:val="00A90F5B"/>
    <w:rsid w:val="00A929C6"/>
    <w:rsid w:val="00A943E8"/>
    <w:rsid w:val="00A94AE4"/>
    <w:rsid w:val="00A94D7A"/>
    <w:rsid w:val="00A9733F"/>
    <w:rsid w:val="00AA1635"/>
    <w:rsid w:val="00AA1BBA"/>
    <w:rsid w:val="00AA1C4C"/>
    <w:rsid w:val="00AA20D2"/>
    <w:rsid w:val="00AA264C"/>
    <w:rsid w:val="00AA3396"/>
    <w:rsid w:val="00AA3BEC"/>
    <w:rsid w:val="00AA3DE7"/>
    <w:rsid w:val="00AA6DC4"/>
    <w:rsid w:val="00AA7BD7"/>
    <w:rsid w:val="00AA7EC4"/>
    <w:rsid w:val="00AB1E3A"/>
    <w:rsid w:val="00AB2AFC"/>
    <w:rsid w:val="00AB3917"/>
    <w:rsid w:val="00AB3F60"/>
    <w:rsid w:val="00AB5351"/>
    <w:rsid w:val="00AC06C7"/>
    <w:rsid w:val="00AC109D"/>
    <w:rsid w:val="00AC1BA6"/>
    <w:rsid w:val="00AC6838"/>
    <w:rsid w:val="00AC6F38"/>
    <w:rsid w:val="00AC781A"/>
    <w:rsid w:val="00AD0D07"/>
    <w:rsid w:val="00AD2EE6"/>
    <w:rsid w:val="00AD31B2"/>
    <w:rsid w:val="00AD39A7"/>
    <w:rsid w:val="00AD3F5F"/>
    <w:rsid w:val="00AE03E3"/>
    <w:rsid w:val="00AE1833"/>
    <w:rsid w:val="00AE19B8"/>
    <w:rsid w:val="00AE1E94"/>
    <w:rsid w:val="00AE2E83"/>
    <w:rsid w:val="00AE3BC1"/>
    <w:rsid w:val="00AE3BD2"/>
    <w:rsid w:val="00AE60D4"/>
    <w:rsid w:val="00AE6769"/>
    <w:rsid w:val="00AE74EB"/>
    <w:rsid w:val="00AE7899"/>
    <w:rsid w:val="00AF13D7"/>
    <w:rsid w:val="00AF1EAC"/>
    <w:rsid w:val="00AF4275"/>
    <w:rsid w:val="00AF4946"/>
    <w:rsid w:val="00AF50F1"/>
    <w:rsid w:val="00AF628C"/>
    <w:rsid w:val="00AF66C0"/>
    <w:rsid w:val="00AF68C3"/>
    <w:rsid w:val="00B015BF"/>
    <w:rsid w:val="00B03B55"/>
    <w:rsid w:val="00B0421D"/>
    <w:rsid w:val="00B04C2B"/>
    <w:rsid w:val="00B06CB6"/>
    <w:rsid w:val="00B06D3F"/>
    <w:rsid w:val="00B07654"/>
    <w:rsid w:val="00B07786"/>
    <w:rsid w:val="00B07A62"/>
    <w:rsid w:val="00B118AE"/>
    <w:rsid w:val="00B118F8"/>
    <w:rsid w:val="00B13A88"/>
    <w:rsid w:val="00B13B8C"/>
    <w:rsid w:val="00B1501A"/>
    <w:rsid w:val="00B15F38"/>
    <w:rsid w:val="00B1667B"/>
    <w:rsid w:val="00B16BB6"/>
    <w:rsid w:val="00B16DF3"/>
    <w:rsid w:val="00B201B6"/>
    <w:rsid w:val="00B20A9A"/>
    <w:rsid w:val="00B2342A"/>
    <w:rsid w:val="00B23FA4"/>
    <w:rsid w:val="00B2516D"/>
    <w:rsid w:val="00B25F48"/>
    <w:rsid w:val="00B26691"/>
    <w:rsid w:val="00B26A42"/>
    <w:rsid w:val="00B26B10"/>
    <w:rsid w:val="00B26B7C"/>
    <w:rsid w:val="00B27037"/>
    <w:rsid w:val="00B27E61"/>
    <w:rsid w:val="00B3039E"/>
    <w:rsid w:val="00B306A3"/>
    <w:rsid w:val="00B31AE5"/>
    <w:rsid w:val="00B31B72"/>
    <w:rsid w:val="00B31B7A"/>
    <w:rsid w:val="00B32090"/>
    <w:rsid w:val="00B33312"/>
    <w:rsid w:val="00B33689"/>
    <w:rsid w:val="00B3397B"/>
    <w:rsid w:val="00B33C38"/>
    <w:rsid w:val="00B33CFC"/>
    <w:rsid w:val="00B33E02"/>
    <w:rsid w:val="00B342BA"/>
    <w:rsid w:val="00B34525"/>
    <w:rsid w:val="00B3493E"/>
    <w:rsid w:val="00B3743A"/>
    <w:rsid w:val="00B41CF7"/>
    <w:rsid w:val="00B42FAD"/>
    <w:rsid w:val="00B445AE"/>
    <w:rsid w:val="00B47014"/>
    <w:rsid w:val="00B53084"/>
    <w:rsid w:val="00B54262"/>
    <w:rsid w:val="00B54636"/>
    <w:rsid w:val="00B5464B"/>
    <w:rsid w:val="00B549E7"/>
    <w:rsid w:val="00B54A76"/>
    <w:rsid w:val="00B54D2C"/>
    <w:rsid w:val="00B55B26"/>
    <w:rsid w:val="00B56AC6"/>
    <w:rsid w:val="00B62E99"/>
    <w:rsid w:val="00B62FB4"/>
    <w:rsid w:val="00B63DD3"/>
    <w:rsid w:val="00B64B8A"/>
    <w:rsid w:val="00B6612F"/>
    <w:rsid w:val="00B6735F"/>
    <w:rsid w:val="00B6755F"/>
    <w:rsid w:val="00B67DA5"/>
    <w:rsid w:val="00B74131"/>
    <w:rsid w:val="00B742CC"/>
    <w:rsid w:val="00B742F3"/>
    <w:rsid w:val="00B74C17"/>
    <w:rsid w:val="00B75700"/>
    <w:rsid w:val="00B80527"/>
    <w:rsid w:val="00B81198"/>
    <w:rsid w:val="00B8604C"/>
    <w:rsid w:val="00B868BE"/>
    <w:rsid w:val="00B868C0"/>
    <w:rsid w:val="00B86D61"/>
    <w:rsid w:val="00B87701"/>
    <w:rsid w:val="00B90BC7"/>
    <w:rsid w:val="00B9161B"/>
    <w:rsid w:val="00B919E1"/>
    <w:rsid w:val="00B91AD3"/>
    <w:rsid w:val="00B91DB1"/>
    <w:rsid w:val="00B921CD"/>
    <w:rsid w:val="00B958B1"/>
    <w:rsid w:val="00B9765F"/>
    <w:rsid w:val="00BA11D6"/>
    <w:rsid w:val="00BA27F9"/>
    <w:rsid w:val="00BA4056"/>
    <w:rsid w:val="00BA4B2A"/>
    <w:rsid w:val="00BA6833"/>
    <w:rsid w:val="00BA6FA0"/>
    <w:rsid w:val="00BA76EB"/>
    <w:rsid w:val="00BA782B"/>
    <w:rsid w:val="00BA7852"/>
    <w:rsid w:val="00BA7DBD"/>
    <w:rsid w:val="00BB21A8"/>
    <w:rsid w:val="00BB47B3"/>
    <w:rsid w:val="00BB4CAF"/>
    <w:rsid w:val="00BB4CB6"/>
    <w:rsid w:val="00BB55CE"/>
    <w:rsid w:val="00BB571E"/>
    <w:rsid w:val="00BB78F6"/>
    <w:rsid w:val="00BB7C5B"/>
    <w:rsid w:val="00BC0AFE"/>
    <w:rsid w:val="00BC16C4"/>
    <w:rsid w:val="00BC383C"/>
    <w:rsid w:val="00BC3B0A"/>
    <w:rsid w:val="00BC3E33"/>
    <w:rsid w:val="00BC4DFF"/>
    <w:rsid w:val="00BC6281"/>
    <w:rsid w:val="00BD0AA7"/>
    <w:rsid w:val="00BD168A"/>
    <w:rsid w:val="00BD17DB"/>
    <w:rsid w:val="00BD2A29"/>
    <w:rsid w:val="00BD2CC0"/>
    <w:rsid w:val="00BD413A"/>
    <w:rsid w:val="00BD672D"/>
    <w:rsid w:val="00BD70AF"/>
    <w:rsid w:val="00BD7E08"/>
    <w:rsid w:val="00BE0F3C"/>
    <w:rsid w:val="00BE252F"/>
    <w:rsid w:val="00BE256A"/>
    <w:rsid w:val="00BE3129"/>
    <w:rsid w:val="00BE35E6"/>
    <w:rsid w:val="00BE58B4"/>
    <w:rsid w:val="00BE6BD4"/>
    <w:rsid w:val="00BE7681"/>
    <w:rsid w:val="00BF08A4"/>
    <w:rsid w:val="00BF0A68"/>
    <w:rsid w:val="00BF2177"/>
    <w:rsid w:val="00BF26DB"/>
    <w:rsid w:val="00BF40B5"/>
    <w:rsid w:val="00BF4CBE"/>
    <w:rsid w:val="00BF53AC"/>
    <w:rsid w:val="00BF55A7"/>
    <w:rsid w:val="00BF5FC1"/>
    <w:rsid w:val="00C00397"/>
    <w:rsid w:val="00C010A6"/>
    <w:rsid w:val="00C02320"/>
    <w:rsid w:val="00C02624"/>
    <w:rsid w:val="00C03D34"/>
    <w:rsid w:val="00C04226"/>
    <w:rsid w:val="00C1288C"/>
    <w:rsid w:val="00C12A05"/>
    <w:rsid w:val="00C1396B"/>
    <w:rsid w:val="00C13CB7"/>
    <w:rsid w:val="00C13E19"/>
    <w:rsid w:val="00C214F1"/>
    <w:rsid w:val="00C21E6B"/>
    <w:rsid w:val="00C22296"/>
    <w:rsid w:val="00C223CF"/>
    <w:rsid w:val="00C2278F"/>
    <w:rsid w:val="00C241B1"/>
    <w:rsid w:val="00C308BA"/>
    <w:rsid w:val="00C31A42"/>
    <w:rsid w:val="00C34053"/>
    <w:rsid w:val="00C34BA3"/>
    <w:rsid w:val="00C35BD8"/>
    <w:rsid w:val="00C35E58"/>
    <w:rsid w:val="00C36230"/>
    <w:rsid w:val="00C37464"/>
    <w:rsid w:val="00C377C0"/>
    <w:rsid w:val="00C4296F"/>
    <w:rsid w:val="00C42A6E"/>
    <w:rsid w:val="00C44BDD"/>
    <w:rsid w:val="00C44F55"/>
    <w:rsid w:val="00C455C8"/>
    <w:rsid w:val="00C45B87"/>
    <w:rsid w:val="00C5026D"/>
    <w:rsid w:val="00C51214"/>
    <w:rsid w:val="00C51A43"/>
    <w:rsid w:val="00C52908"/>
    <w:rsid w:val="00C54D5E"/>
    <w:rsid w:val="00C55089"/>
    <w:rsid w:val="00C5520F"/>
    <w:rsid w:val="00C564B5"/>
    <w:rsid w:val="00C56848"/>
    <w:rsid w:val="00C64283"/>
    <w:rsid w:val="00C653C9"/>
    <w:rsid w:val="00C65968"/>
    <w:rsid w:val="00C65A4C"/>
    <w:rsid w:val="00C674D0"/>
    <w:rsid w:val="00C67BC0"/>
    <w:rsid w:val="00C70DDF"/>
    <w:rsid w:val="00C729CD"/>
    <w:rsid w:val="00C738D7"/>
    <w:rsid w:val="00C7418D"/>
    <w:rsid w:val="00C743FD"/>
    <w:rsid w:val="00C74855"/>
    <w:rsid w:val="00C758A9"/>
    <w:rsid w:val="00C80037"/>
    <w:rsid w:val="00C83512"/>
    <w:rsid w:val="00C84F8A"/>
    <w:rsid w:val="00C85008"/>
    <w:rsid w:val="00C85CA1"/>
    <w:rsid w:val="00C8673E"/>
    <w:rsid w:val="00C87AA9"/>
    <w:rsid w:val="00C914A1"/>
    <w:rsid w:val="00C925DB"/>
    <w:rsid w:val="00C92FB1"/>
    <w:rsid w:val="00C935E9"/>
    <w:rsid w:val="00C9432E"/>
    <w:rsid w:val="00C94EB9"/>
    <w:rsid w:val="00C96692"/>
    <w:rsid w:val="00C96EDD"/>
    <w:rsid w:val="00C97D28"/>
    <w:rsid w:val="00C97E7A"/>
    <w:rsid w:val="00C97FB9"/>
    <w:rsid w:val="00CA0196"/>
    <w:rsid w:val="00CA068C"/>
    <w:rsid w:val="00CA06F1"/>
    <w:rsid w:val="00CA0F74"/>
    <w:rsid w:val="00CA3A20"/>
    <w:rsid w:val="00CA45B0"/>
    <w:rsid w:val="00CA56AE"/>
    <w:rsid w:val="00CA5C7C"/>
    <w:rsid w:val="00CA6486"/>
    <w:rsid w:val="00CA71D3"/>
    <w:rsid w:val="00CB0D83"/>
    <w:rsid w:val="00CB2CCB"/>
    <w:rsid w:val="00CB2F43"/>
    <w:rsid w:val="00CB31B7"/>
    <w:rsid w:val="00CB37AF"/>
    <w:rsid w:val="00CB3DCB"/>
    <w:rsid w:val="00CB4816"/>
    <w:rsid w:val="00CB5469"/>
    <w:rsid w:val="00CB5A5D"/>
    <w:rsid w:val="00CB722C"/>
    <w:rsid w:val="00CB7333"/>
    <w:rsid w:val="00CB7875"/>
    <w:rsid w:val="00CB7B6E"/>
    <w:rsid w:val="00CC11AA"/>
    <w:rsid w:val="00CC25E5"/>
    <w:rsid w:val="00CC5986"/>
    <w:rsid w:val="00CC5FA5"/>
    <w:rsid w:val="00CC63F4"/>
    <w:rsid w:val="00CC7638"/>
    <w:rsid w:val="00CD09E8"/>
    <w:rsid w:val="00CD0A47"/>
    <w:rsid w:val="00CD3824"/>
    <w:rsid w:val="00CD446D"/>
    <w:rsid w:val="00CD4495"/>
    <w:rsid w:val="00CD5FCF"/>
    <w:rsid w:val="00CD64FB"/>
    <w:rsid w:val="00CD739D"/>
    <w:rsid w:val="00CD7EBA"/>
    <w:rsid w:val="00CE0853"/>
    <w:rsid w:val="00CE0B4E"/>
    <w:rsid w:val="00CE0DED"/>
    <w:rsid w:val="00CE132B"/>
    <w:rsid w:val="00CE25AF"/>
    <w:rsid w:val="00CE2DA5"/>
    <w:rsid w:val="00CE4AB6"/>
    <w:rsid w:val="00CE6791"/>
    <w:rsid w:val="00CE7176"/>
    <w:rsid w:val="00CF00F4"/>
    <w:rsid w:val="00CF0347"/>
    <w:rsid w:val="00CF29C6"/>
    <w:rsid w:val="00CF2B62"/>
    <w:rsid w:val="00CF43AF"/>
    <w:rsid w:val="00CF5BC1"/>
    <w:rsid w:val="00CF5E7F"/>
    <w:rsid w:val="00CF6372"/>
    <w:rsid w:val="00CF79AA"/>
    <w:rsid w:val="00D03A9E"/>
    <w:rsid w:val="00D04B95"/>
    <w:rsid w:val="00D06B31"/>
    <w:rsid w:val="00D06B65"/>
    <w:rsid w:val="00D07178"/>
    <w:rsid w:val="00D10E6C"/>
    <w:rsid w:val="00D14B3A"/>
    <w:rsid w:val="00D15F8C"/>
    <w:rsid w:val="00D16D85"/>
    <w:rsid w:val="00D17317"/>
    <w:rsid w:val="00D1780E"/>
    <w:rsid w:val="00D179C8"/>
    <w:rsid w:val="00D220DF"/>
    <w:rsid w:val="00D22FF1"/>
    <w:rsid w:val="00D23392"/>
    <w:rsid w:val="00D24188"/>
    <w:rsid w:val="00D24913"/>
    <w:rsid w:val="00D26664"/>
    <w:rsid w:val="00D27605"/>
    <w:rsid w:val="00D308D6"/>
    <w:rsid w:val="00D310D1"/>
    <w:rsid w:val="00D314E5"/>
    <w:rsid w:val="00D31E79"/>
    <w:rsid w:val="00D33293"/>
    <w:rsid w:val="00D33878"/>
    <w:rsid w:val="00D360A4"/>
    <w:rsid w:val="00D36DC1"/>
    <w:rsid w:val="00D41A5A"/>
    <w:rsid w:val="00D43258"/>
    <w:rsid w:val="00D4453C"/>
    <w:rsid w:val="00D453D5"/>
    <w:rsid w:val="00D45EED"/>
    <w:rsid w:val="00D4622C"/>
    <w:rsid w:val="00D500ED"/>
    <w:rsid w:val="00D50DBB"/>
    <w:rsid w:val="00D50DD9"/>
    <w:rsid w:val="00D51341"/>
    <w:rsid w:val="00D5173B"/>
    <w:rsid w:val="00D51D4E"/>
    <w:rsid w:val="00D52F59"/>
    <w:rsid w:val="00D532DE"/>
    <w:rsid w:val="00D533F8"/>
    <w:rsid w:val="00D54FAB"/>
    <w:rsid w:val="00D6008D"/>
    <w:rsid w:val="00D60368"/>
    <w:rsid w:val="00D61464"/>
    <w:rsid w:val="00D62962"/>
    <w:rsid w:val="00D63969"/>
    <w:rsid w:val="00D63A16"/>
    <w:rsid w:val="00D64575"/>
    <w:rsid w:val="00D64C93"/>
    <w:rsid w:val="00D64FF4"/>
    <w:rsid w:val="00D66FCA"/>
    <w:rsid w:val="00D67969"/>
    <w:rsid w:val="00D71DAC"/>
    <w:rsid w:val="00D72357"/>
    <w:rsid w:val="00D7276B"/>
    <w:rsid w:val="00D732EA"/>
    <w:rsid w:val="00D739D6"/>
    <w:rsid w:val="00D73D4C"/>
    <w:rsid w:val="00D77C37"/>
    <w:rsid w:val="00D77D4B"/>
    <w:rsid w:val="00D80A74"/>
    <w:rsid w:val="00D8187D"/>
    <w:rsid w:val="00D820F8"/>
    <w:rsid w:val="00D82460"/>
    <w:rsid w:val="00D8286C"/>
    <w:rsid w:val="00D82A33"/>
    <w:rsid w:val="00D84485"/>
    <w:rsid w:val="00D84569"/>
    <w:rsid w:val="00D84DE2"/>
    <w:rsid w:val="00D902D2"/>
    <w:rsid w:val="00D903FE"/>
    <w:rsid w:val="00D91316"/>
    <w:rsid w:val="00D932D2"/>
    <w:rsid w:val="00D93C14"/>
    <w:rsid w:val="00D93C7B"/>
    <w:rsid w:val="00D94B68"/>
    <w:rsid w:val="00D95163"/>
    <w:rsid w:val="00D95551"/>
    <w:rsid w:val="00D96772"/>
    <w:rsid w:val="00D96903"/>
    <w:rsid w:val="00D97185"/>
    <w:rsid w:val="00D978D5"/>
    <w:rsid w:val="00DA0775"/>
    <w:rsid w:val="00DA0CD6"/>
    <w:rsid w:val="00DA0E53"/>
    <w:rsid w:val="00DA132B"/>
    <w:rsid w:val="00DA56D0"/>
    <w:rsid w:val="00DB0265"/>
    <w:rsid w:val="00DB334B"/>
    <w:rsid w:val="00DB4FE4"/>
    <w:rsid w:val="00DB5FA3"/>
    <w:rsid w:val="00DC0D72"/>
    <w:rsid w:val="00DC1812"/>
    <w:rsid w:val="00DC22A6"/>
    <w:rsid w:val="00DC2991"/>
    <w:rsid w:val="00DC634B"/>
    <w:rsid w:val="00DD1E0F"/>
    <w:rsid w:val="00DD1EF6"/>
    <w:rsid w:val="00DD2BE6"/>
    <w:rsid w:val="00DD315F"/>
    <w:rsid w:val="00DD3245"/>
    <w:rsid w:val="00DD3DCD"/>
    <w:rsid w:val="00DD4C14"/>
    <w:rsid w:val="00DD64BC"/>
    <w:rsid w:val="00DD721B"/>
    <w:rsid w:val="00DD7BE2"/>
    <w:rsid w:val="00DE0786"/>
    <w:rsid w:val="00DE1E54"/>
    <w:rsid w:val="00DE1F75"/>
    <w:rsid w:val="00DE2CC8"/>
    <w:rsid w:val="00DE321A"/>
    <w:rsid w:val="00DE4B98"/>
    <w:rsid w:val="00DE5DA4"/>
    <w:rsid w:val="00DE5F8C"/>
    <w:rsid w:val="00DE640E"/>
    <w:rsid w:val="00DF1D0F"/>
    <w:rsid w:val="00DF29C1"/>
    <w:rsid w:val="00DF2BAD"/>
    <w:rsid w:val="00DF2FF2"/>
    <w:rsid w:val="00DF5186"/>
    <w:rsid w:val="00DF5260"/>
    <w:rsid w:val="00DF56E0"/>
    <w:rsid w:val="00DF5853"/>
    <w:rsid w:val="00DF5FCB"/>
    <w:rsid w:val="00DF6FC8"/>
    <w:rsid w:val="00DF7440"/>
    <w:rsid w:val="00E01236"/>
    <w:rsid w:val="00E013D2"/>
    <w:rsid w:val="00E01B55"/>
    <w:rsid w:val="00E02860"/>
    <w:rsid w:val="00E03C78"/>
    <w:rsid w:val="00E04BBF"/>
    <w:rsid w:val="00E04C2C"/>
    <w:rsid w:val="00E05DB9"/>
    <w:rsid w:val="00E07306"/>
    <w:rsid w:val="00E075C5"/>
    <w:rsid w:val="00E134AF"/>
    <w:rsid w:val="00E1562C"/>
    <w:rsid w:val="00E15989"/>
    <w:rsid w:val="00E15B6B"/>
    <w:rsid w:val="00E20771"/>
    <w:rsid w:val="00E20AA2"/>
    <w:rsid w:val="00E20BFF"/>
    <w:rsid w:val="00E21EF8"/>
    <w:rsid w:val="00E223A5"/>
    <w:rsid w:val="00E242DC"/>
    <w:rsid w:val="00E24CB6"/>
    <w:rsid w:val="00E2638E"/>
    <w:rsid w:val="00E27D94"/>
    <w:rsid w:val="00E30690"/>
    <w:rsid w:val="00E30D64"/>
    <w:rsid w:val="00E318BC"/>
    <w:rsid w:val="00E35141"/>
    <w:rsid w:val="00E403DB"/>
    <w:rsid w:val="00E41E4E"/>
    <w:rsid w:val="00E426BB"/>
    <w:rsid w:val="00E43CFB"/>
    <w:rsid w:val="00E43D70"/>
    <w:rsid w:val="00E44082"/>
    <w:rsid w:val="00E44205"/>
    <w:rsid w:val="00E453E2"/>
    <w:rsid w:val="00E45820"/>
    <w:rsid w:val="00E47713"/>
    <w:rsid w:val="00E5023B"/>
    <w:rsid w:val="00E50C5E"/>
    <w:rsid w:val="00E51F05"/>
    <w:rsid w:val="00E5280B"/>
    <w:rsid w:val="00E52B3C"/>
    <w:rsid w:val="00E55216"/>
    <w:rsid w:val="00E555F4"/>
    <w:rsid w:val="00E55A81"/>
    <w:rsid w:val="00E56129"/>
    <w:rsid w:val="00E564B1"/>
    <w:rsid w:val="00E56C96"/>
    <w:rsid w:val="00E61701"/>
    <w:rsid w:val="00E625CB"/>
    <w:rsid w:val="00E628A0"/>
    <w:rsid w:val="00E63384"/>
    <w:rsid w:val="00E636FE"/>
    <w:rsid w:val="00E637F8"/>
    <w:rsid w:val="00E645FE"/>
    <w:rsid w:val="00E65D49"/>
    <w:rsid w:val="00E674CC"/>
    <w:rsid w:val="00E70759"/>
    <w:rsid w:val="00E7135F"/>
    <w:rsid w:val="00E71BE1"/>
    <w:rsid w:val="00E74954"/>
    <w:rsid w:val="00E75D25"/>
    <w:rsid w:val="00E76A3C"/>
    <w:rsid w:val="00E7734B"/>
    <w:rsid w:val="00E77CEF"/>
    <w:rsid w:val="00E814E1"/>
    <w:rsid w:val="00E83A6E"/>
    <w:rsid w:val="00E84BE2"/>
    <w:rsid w:val="00E86277"/>
    <w:rsid w:val="00E86479"/>
    <w:rsid w:val="00E92E9D"/>
    <w:rsid w:val="00E93D77"/>
    <w:rsid w:val="00E93F3D"/>
    <w:rsid w:val="00E95127"/>
    <w:rsid w:val="00E95B44"/>
    <w:rsid w:val="00E96FF7"/>
    <w:rsid w:val="00EA0306"/>
    <w:rsid w:val="00EA23F4"/>
    <w:rsid w:val="00EA441A"/>
    <w:rsid w:val="00EA485B"/>
    <w:rsid w:val="00EA4D02"/>
    <w:rsid w:val="00EA5CD0"/>
    <w:rsid w:val="00EA611C"/>
    <w:rsid w:val="00EA67CC"/>
    <w:rsid w:val="00EB102F"/>
    <w:rsid w:val="00EB3C21"/>
    <w:rsid w:val="00EB4F86"/>
    <w:rsid w:val="00EB51AE"/>
    <w:rsid w:val="00EB6C00"/>
    <w:rsid w:val="00EB7A78"/>
    <w:rsid w:val="00EC092F"/>
    <w:rsid w:val="00EC2862"/>
    <w:rsid w:val="00EC3024"/>
    <w:rsid w:val="00EC5584"/>
    <w:rsid w:val="00EC6221"/>
    <w:rsid w:val="00EC6D42"/>
    <w:rsid w:val="00EC75E3"/>
    <w:rsid w:val="00EC7C50"/>
    <w:rsid w:val="00ED1157"/>
    <w:rsid w:val="00ED30EF"/>
    <w:rsid w:val="00ED3460"/>
    <w:rsid w:val="00ED52DF"/>
    <w:rsid w:val="00ED5906"/>
    <w:rsid w:val="00ED6FCE"/>
    <w:rsid w:val="00ED70BF"/>
    <w:rsid w:val="00ED7409"/>
    <w:rsid w:val="00ED7F1D"/>
    <w:rsid w:val="00EE0018"/>
    <w:rsid w:val="00EE11EF"/>
    <w:rsid w:val="00EE182F"/>
    <w:rsid w:val="00EE22E6"/>
    <w:rsid w:val="00EE2CD3"/>
    <w:rsid w:val="00EE2CF1"/>
    <w:rsid w:val="00EE2D2A"/>
    <w:rsid w:val="00EE331C"/>
    <w:rsid w:val="00EE4750"/>
    <w:rsid w:val="00EE4962"/>
    <w:rsid w:val="00EE4DEF"/>
    <w:rsid w:val="00EE7D81"/>
    <w:rsid w:val="00EF1DBF"/>
    <w:rsid w:val="00EF2F89"/>
    <w:rsid w:val="00EF55C5"/>
    <w:rsid w:val="00EF6E3E"/>
    <w:rsid w:val="00EF7F21"/>
    <w:rsid w:val="00F00185"/>
    <w:rsid w:val="00F01C9F"/>
    <w:rsid w:val="00F046A0"/>
    <w:rsid w:val="00F04AFA"/>
    <w:rsid w:val="00F04C89"/>
    <w:rsid w:val="00F05638"/>
    <w:rsid w:val="00F068C9"/>
    <w:rsid w:val="00F07033"/>
    <w:rsid w:val="00F10738"/>
    <w:rsid w:val="00F10902"/>
    <w:rsid w:val="00F11B40"/>
    <w:rsid w:val="00F11F60"/>
    <w:rsid w:val="00F12798"/>
    <w:rsid w:val="00F132D8"/>
    <w:rsid w:val="00F14F1C"/>
    <w:rsid w:val="00F16792"/>
    <w:rsid w:val="00F16A09"/>
    <w:rsid w:val="00F16AC1"/>
    <w:rsid w:val="00F16C01"/>
    <w:rsid w:val="00F16ED1"/>
    <w:rsid w:val="00F177D9"/>
    <w:rsid w:val="00F20707"/>
    <w:rsid w:val="00F20B69"/>
    <w:rsid w:val="00F20CBE"/>
    <w:rsid w:val="00F222E2"/>
    <w:rsid w:val="00F22C06"/>
    <w:rsid w:val="00F23438"/>
    <w:rsid w:val="00F23726"/>
    <w:rsid w:val="00F23F84"/>
    <w:rsid w:val="00F246D6"/>
    <w:rsid w:val="00F24FB0"/>
    <w:rsid w:val="00F26B4E"/>
    <w:rsid w:val="00F32B3D"/>
    <w:rsid w:val="00F33DF1"/>
    <w:rsid w:val="00F368CC"/>
    <w:rsid w:val="00F4180C"/>
    <w:rsid w:val="00F438BB"/>
    <w:rsid w:val="00F43A3D"/>
    <w:rsid w:val="00F45083"/>
    <w:rsid w:val="00F46D10"/>
    <w:rsid w:val="00F51981"/>
    <w:rsid w:val="00F51FDF"/>
    <w:rsid w:val="00F53D5A"/>
    <w:rsid w:val="00F54C7E"/>
    <w:rsid w:val="00F55590"/>
    <w:rsid w:val="00F555C9"/>
    <w:rsid w:val="00F558D5"/>
    <w:rsid w:val="00F6085A"/>
    <w:rsid w:val="00F60920"/>
    <w:rsid w:val="00F60AF9"/>
    <w:rsid w:val="00F61B0C"/>
    <w:rsid w:val="00F636D5"/>
    <w:rsid w:val="00F6548F"/>
    <w:rsid w:val="00F66483"/>
    <w:rsid w:val="00F673F9"/>
    <w:rsid w:val="00F70247"/>
    <w:rsid w:val="00F71580"/>
    <w:rsid w:val="00F71EC7"/>
    <w:rsid w:val="00F720A4"/>
    <w:rsid w:val="00F74F0A"/>
    <w:rsid w:val="00F775B1"/>
    <w:rsid w:val="00F778A3"/>
    <w:rsid w:val="00F77DFD"/>
    <w:rsid w:val="00F824F1"/>
    <w:rsid w:val="00F86D42"/>
    <w:rsid w:val="00F8775D"/>
    <w:rsid w:val="00F878C8"/>
    <w:rsid w:val="00F90555"/>
    <w:rsid w:val="00F910E1"/>
    <w:rsid w:val="00F911CD"/>
    <w:rsid w:val="00F91FD8"/>
    <w:rsid w:val="00F925CC"/>
    <w:rsid w:val="00F937FE"/>
    <w:rsid w:val="00F93976"/>
    <w:rsid w:val="00F93E72"/>
    <w:rsid w:val="00F94B3A"/>
    <w:rsid w:val="00F94B46"/>
    <w:rsid w:val="00F95864"/>
    <w:rsid w:val="00F95946"/>
    <w:rsid w:val="00F95D43"/>
    <w:rsid w:val="00F97290"/>
    <w:rsid w:val="00F9736B"/>
    <w:rsid w:val="00F97DBF"/>
    <w:rsid w:val="00FA006C"/>
    <w:rsid w:val="00FA013D"/>
    <w:rsid w:val="00FA018B"/>
    <w:rsid w:val="00FA05E1"/>
    <w:rsid w:val="00FA0CF1"/>
    <w:rsid w:val="00FA38AC"/>
    <w:rsid w:val="00FA414A"/>
    <w:rsid w:val="00FA7BE6"/>
    <w:rsid w:val="00FB0A38"/>
    <w:rsid w:val="00FB12E1"/>
    <w:rsid w:val="00FB273B"/>
    <w:rsid w:val="00FB2F70"/>
    <w:rsid w:val="00FB74B9"/>
    <w:rsid w:val="00FB7B4D"/>
    <w:rsid w:val="00FC0A79"/>
    <w:rsid w:val="00FC0F1A"/>
    <w:rsid w:val="00FC1A5B"/>
    <w:rsid w:val="00FC38C8"/>
    <w:rsid w:val="00FC3F91"/>
    <w:rsid w:val="00FC4036"/>
    <w:rsid w:val="00FC40B0"/>
    <w:rsid w:val="00FC4468"/>
    <w:rsid w:val="00FC4AA0"/>
    <w:rsid w:val="00FC5929"/>
    <w:rsid w:val="00FC7ED7"/>
    <w:rsid w:val="00FD03A1"/>
    <w:rsid w:val="00FD1FAA"/>
    <w:rsid w:val="00FD2ECC"/>
    <w:rsid w:val="00FD3583"/>
    <w:rsid w:val="00FD7B56"/>
    <w:rsid w:val="00FE003D"/>
    <w:rsid w:val="00FE09AB"/>
    <w:rsid w:val="00FE1A17"/>
    <w:rsid w:val="00FE3949"/>
    <w:rsid w:val="00FE3C61"/>
    <w:rsid w:val="00FE442D"/>
    <w:rsid w:val="00FE4FB1"/>
    <w:rsid w:val="00FE54C2"/>
    <w:rsid w:val="00FF036F"/>
    <w:rsid w:val="00FF0A9C"/>
    <w:rsid w:val="00FF1085"/>
    <w:rsid w:val="00FF117D"/>
    <w:rsid w:val="00FF2337"/>
    <w:rsid w:val="00FF2397"/>
    <w:rsid w:val="00FF3363"/>
    <w:rsid w:val="00FF356C"/>
    <w:rsid w:val="00FF3C85"/>
    <w:rsid w:val="00FF4795"/>
    <w:rsid w:val="00FF6DEF"/>
    <w:rsid w:val="00FF7870"/>
    <w:rsid w:val="00FF7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568B"/>
  <w15:docId w15:val="{FD147EA3-E173-4793-B36F-FDC66CBAA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2A"/>
  </w:style>
  <w:style w:type="paragraph" w:styleId="Heading4">
    <w:name w:val="heading 4"/>
    <w:basedOn w:val="Normal"/>
    <w:link w:val="Heading4Char"/>
    <w:uiPriority w:val="9"/>
    <w:qFormat/>
    <w:rsid w:val="0006031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C8E"/>
    <w:rPr>
      <w:b/>
      <w:bCs/>
    </w:rPr>
  </w:style>
  <w:style w:type="character" w:styleId="Emphasis">
    <w:name w:val="Emphasis"/>
    <w:basedOn w:val="DefaultParagraphFont"/>
    <w:uiPriority w:val="20"/>
    <w:qFormat/>
    <w:rsid w:val="006C0C8E"/>
    <w:rPr>
      <w:i/>
      <w:iCs/>
    </w:rPr>
  </w:style>
  <w:style w:type="character" w:customStyle="1" w:styleId="apple-converted-space">
    <w:name w:val="apple-converted-space"/>
    <w:basedOn w:val="DefaultParagraphFont"/>
    <w:rsid w:val="006C0C8E"/>
  </w:style>
  <w:style w:type="paragraph" w:styleId="ListParagraph">
    <w:name w:val="List Paragraph"/>
    <w:basedOn w:val="Normal"/>
    <w:link w:val="ListParagraphChar"/>
    <w:uiPriority w:val="34"/>
    <w:qFormat/>
    <w:rsid w:val="00480F2D"/>
    <w:pPr>
      <w:ind w:left="720"/>
      <w:contextualSpacing/>
    </w:pPr>
  </w:style>
  <w:style w:type="paragraph" w:styleId="NormalWeb">
    <w:name w:val="Normal (Web)"/>
    <w:basedOn w:val="Normal"/>
    <w:uiPriority w:val="99"/>
    <w:semiHidden/>
    <w:unhideWhenUsed/>
    <w:rsid w:val="00BE312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A1C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ranslation">
    <w:name w:val="translation"/>
    <w:basedOn w:val="DefaultParagraphFont"/>
    <w:rsid w:val="00F20707"/>
  </w:style>
  <w:style w:type="character" w:customStyle="1" w:styleId="Heading4Char">
    <w:name w:val="Heading 4 Char"/>
    <w:basedOn w:val="DefaultParagraphFont"/>
    <w:link w:val="Heading4"/>
    <w:uiPriority w:val="9"/>
    <w:rsid w:val="00060317"/>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D80A74"/>
    <w:rPr>
      <w:color w:val="0000FF" w:themeColor="hyperlink"/>
      <w:u w:val="single"/>
    </w:rPr>
  </w:style>
  <w:style w:type="character" w:customStyle="1" w:styleId="ListParagraphChar">
    <w:name w:val="List Paragraph Char"/>
    <w:basedOn w:val="DefaultParagraphFont"/>
    <w:link w:val="ListParagraph"/>
    <w:uiPriority w:val="34"/>
    <w:locked/>
    <w:rsid w:val="00B90BC7"/>
  </w:style>
  <w:style w:type="character" w:customStyle="1" w:styleId="UnresolvedMention1">
    <w:name w:val="Unresolved Mention1"/>
    <w:basedOn w:val="DefaultParagraphFont"/>
    <w:uiPriority w:val="99"/>
    <w:semiHidden/>
    <w:unhideWhenUsed/>
    <w:rsid w:val="00EB3C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13942">
      <w:bodyDiv w:val="1"/>
      <w:marLeft w:val="0"/>
      <w:marRight w:val="0"/>
      <w:marTop w:val="0"/>
      <w:marBottom w:val="0"/>
      <w:divBdr>
        <w:top w:val="none" w:sz="0" w:space="0" w:color="auto"/>
        <w:left w:val="none" w:sz="0" w:space="0" w:color="auto"/>
        <w:bottom w:val="none" w:sz="0" w:space="0" w:color="auto"/>
        <w:right w:val="none" w:sz="0" w:space="0" w:color="auto"/>
      </w:divBdr>
    </w:div>
    <w:div w:id="70011806">
      <w:bodyDiv w:val="1"/>
      <w:marLeft w:val="0"/>
      <w:marRight w:val="0"/>
      <w:marTop w:val="0"/>
      <w:marBottom w:val="0"/>
      <w:divBdr>
        <w:top w:val="none" w:sz="0" w:space="0" w:color="auto"/>
        <w:left w:val="none" w:sz="0" w:space="0" w:color="auto"/>
        <w:bottom w:val="none" w:sz="0" w:space="0" w:color="auto"/>
        <w:right w:val="none" w:sz="0" w:space="0" w:color="auto"/>
      </w:divBdr>
    </w:div>
    <w:div w:id="75252803">
      <w:bodyDiv w:val="1"/>
      <w:marLeft w:val="0"/>
      <w:marRight w:val="0"/>
      <w:marTop w:val="0"/>
      <w:marBottom w:val="0"/>
      <w:divBdr>
        <w:top w:val="none" w:sz="0" w:space="0" w:color="auto"/>
        <w:left w:val="none" w:sz="0" w:space="0" w:color="auto"/>
        <w:bottom w:val="none" w:sz="0" w:space="0" w:color="auto"/>
        <w:right w:val="none" w:sz="0" w:space="0" w:color="auto"/>
      </w:divBdr>
    </w:div>
    <w:div w:id="143013121">
      <w:bodyDiv w:val="1"/>
      <w:marLeft w:val="0"/>
      <w:marRight w:val="0"/>
      <w:marTop w:val="0"/>
      <w:marBottom w:val="0"/>
      <w:divBdr>
        <w:top w:val="none" w:sz="0" w:space="0" w:color="auto"/>
        <w:left w:val="none" w:sz="0" w:space="0" w:color="auto"/>
        <w:bottom w:val="none" w:sz="0" w:space="0" w:color="auto"/>
        <w:right w:val="none" w:sz="0" w:space="0" w:color="auto"/>
      </w:divBdr>
    </w:div>
    <w:div w:id="176696561">
      <w:bodyDiv w:val="1"/>
      <w:marLeft w:val="0"/>
      <w:marRight w:val="0"/>
      <w:marTop w:val="0"/>
      <w:marBottom w:val="0"/>
      <w:divBdr>
        <w:top w:val="none" w:sz="0" w:space="0" w:color="auto"/>
        <w:left w:val="none" w:sz="0" w:space="0" w:color="auto"/>
        <w:bottom w:val="none" w:sz="0" w:space="0" w:color="auto"/>
        <w:right w:val="none" w:sz="0" w:space="0" w:color="auto"/>
      </w:divBdr>
    </w:div>
    <w:div w:id="193080965">
      <w:bodyDiv w:val="1"/>
      <w:marLeft w:val="0"/>
      <w:marRight w:val="0"/>
      <w:marTop w:val="0"/>
      <w:marBottom w:val="0"/>
      <w:divBdr>
        <w:top w:val="none" w:sz="0" w:space="0" w:color="auto"/>
        <w:left w:val="none" w:sz="0" w:space="0" w:color="auto"/>
        <w:bottom w:val="none" w:sz="0" w:space="0" w:color="auto"/>
        <w:right w:val="none" w:sz="0" w:space="0" w:color="auto"/>
      </w:divBdr>
    </w:div>
    <w:div w:id="274295746">
      <w:bodyDiv w:val="1"/>
      <w:marLeft w:val="0"/>
      <w:marRight w:val="0"/>
      <w:marTop w:val="0"/>
      <w:marBottom w:val="0"/>
      <w:divBdr>
        <w:top w:val="none" w:sz="0" w:space="0" w:color="auto"/>
        <w:left w:val="none" w:sz="0" w:space="0" w:color="auto"/>
        <w:bottom w:val="none" w:sz="0" w:space="0" w:color="auto"/>
        <w:right w:val="none" w:sz="0" w:space="0" w:color="auto"/>
      </w:divBdr>
    </w:div>
    <w:div w:id="306130301">
      <w:bodyDiv w:val="1"/>
      <w:marLeft w:val="0"/>
      <w:marRight w:val="0"/>
      <w:marTop w:val="0"/>
      <w:marBottom w:val="0"/>
      <w:divBdr>
        <w:top w:val="none" w:sz="0" w:space="0" w:color="auto"/>
        <w:left w:val="none" w:sz="0" w:space="0" w:color="auto"/>
        <w:bottom w:val="none" w:sz="0" w:space="0" w:color="auto"/>
        <w:right w:val="none" w:sz="0" w:space="0" w:color="auto"/>
      </w:divBdr>
    </w:div>
    <w:div w:id="328556436">
      <w:bodyDiv w:val="1"/>
      <w:marLeft w:val="0"/>
      <w:marRight w:val="0"/>
      <w:marTop w:val="0"/>
      <w:marBottom w:val="0"/>
      <w:divBdr>
        <w:top w:val="none" w:sz="0" w:space="0" w:color="auto"/>
        <w:left w:val="none" w:sz="0" w:space="0" w:color="auto"/>
        <w:bottom w:val="none" w:sz="0" w:space="0" w:color="auto"/>
        <w:right w:val="none" w:sz="0" w:space="0" w:color="auto"/>
      </w:divBdr>
    </w:div>
    <w:div w:id="408162153">
      <w:bodyDiv w:val="1"/>
      <w:marLeft w:val="0"/>
      <w:marRight w:val="0"/>
      <w:marTop w:val="0"/>
      <w:marBottom w:val="0"/>
      <w:divBdr>
        <w:top w:val="none" w:sz="0" w:space="0" w:color="auto"/>
        <w:left w:val="none" w:sz="0" w:space="0" w:color="auto"/>
        <w:bottom w:val="none" w:sz="0" w:space="0" w:color="auto"/>
        <w:right w:val="none" w:sz="0" w:space="0" w:color="auto"/>
      </w:divBdr>
    </w:div>
    <w:div w:id="411894084">
      <w:bodyDiv w:val="1"/>
      <w:marLeft w:val="0"/>
      <w:marRight w:val="0"/>
      <w:marTop w:val="0"/>
      <w:marBottom w:val="0"/>
      <w:divBdr>
        <w:top w:val="none" w:sz="0" w:space="0" w:color="auto"/>
        <w:left w:val="none" w:sz="0" w:space="0" w:color="auto"/>
        <w:bottom w:val="none" w:sz="0" w:space="0" w:color="auto"/>
        <w:right w:val="none" w:sz="0" w:space="0" w:color="auto"/>
      </w:divBdr>
    </w:div>
    <w:div w:id="502210264">
      <w:bodyDiv w:val="1"/>
      <w:marLeft w:val="0"/>
      <w:marRight w:val="0"/>
      <w:marTop w:val="0"/>
      <w:marBottom w:val="0"/>
      <w:divBdr>
        <w:top w:val="none" w:sz="0" w:space="0" w:color="auto"/>
        <w:left w:val="none" w:sz="0" w:space="0" w:color="auto"/>
        <w:bottom w:val="none" w:sz="0" w:space="0" w:color="auto"/>
        <w:right w:val="none" w:sz="0" w:space="0" w:color="auto"/>
      </w:divBdr>
    </w:div>
    <w:div w:id="537593506">
      <w:bodyDiv w:val="1"/>
      <w:marLeft w:val="0"/>
      <w:marRight w:val="0"/>
      <w:marTop w:val="0"/>
      <w:marBottom w:val="0"/>
      <w:divBdr>
        <w:top w:val="none" w:sz="0" w:space="0" w:color="auto"/>
        <w:left w:val="none" w:sz="0" w:space="0" w:color="auto"/>
        <w:bottom w:val="none" w:sz="0" w:space="0" w:color="auto"/>
        <w:right w:val="none" w:sz="0" w:space="0" w:color="auto"/>
      </w:divBdr>
    </w:div>
    <w:div w:id="551967348">
      <w:bodyDiv w:val="1"/>
      <w:marLeft w:val="0"/>
      <w:marRight w:val="0"/>
      <w:marTop w:val="0"/>
      <w:marBottom w:val="0"/>
      <w:divBdr>
        <w:top w:val="none" w:sz="0" w:space="0" w:color="auto"/>
        <w:left w:val="none" w:sz="0" w:space="0" w:color="auto"/>
        <w:bottom w:val="none" w:sz="0" w:space="0" w:color="auto"/>
        <w:right w:val="none" w:sz="0" w:space="0" w:color="auto"/>
      </w:divBdr>
    </w:div>
    <w:div w:id="559175712">
      <w:bodyDiv w:val="1"/>
      <w:marLeft w:val="0"/>
      <w:marRight w:val="0"/>
      <w:marTop w:val="0"/>
      <w:marBottom w:val="0"/>
      <w:divBdr>
        <w:top w:val="none" w:sz="0" w:space="0" w:color="auto"/>
        <w:left w:val="none" w:sz="0" w:space="0" w:color="auto"/>
        <w:bottom w:val="none" w:sz="0" w:space="0" w:color="auto"/>
        <w:right w:val="none" w:sz="0" w:space="0" w:color="auto"/>
      </w:divBdr>
    </w:div>
    <w:div w:id="824203884">
      <w:bodyDiv w:val="1"/>
      <w:marLeft w:val="0"/>
      <w:marRight w:val="0"/>
      <w:marTop w:val="0"/>
      <w:marBottom w:val="0"/>
      <w:divBdr>
        <w:top w:val="none" w:sz="0" w:space="0" w:color="auto"/>
        <w:left w:val="none" w:sz="0" w:space="0" w:color="auto"/>
        <w:bottom w:val="none" w:sz="0" w:space="0" w:color="auto"/>
        <w:right w:val="none" w:sz="0" w:space="0" w:color="auto"/>
      </w:divBdr>
    </w:div>
    <w:div w:id="825171908">
      <w:bodyDiv w:val="1"/>
      <w:marLeft w:val="0"/>
      <w:marRight w:val="0"/>
      <w:marTop w:val="0"/>
      <w:marBottom w:val="0"/>
      <w:divBdr>
        <w:top w:val="none" w:sz="0" w:space="0" w:color="auto"/>
        <w:left w:val="none" w:sz="0" w:space="0" w:color="auto"/>
        <w:bottom w:val="none" w:sz="0" w:space="0" w:color="auto"/>
        <w:right w:val="none" w:sz="0" w:space="0" w:color="auto"/>
      </w:divBdr>
    </w:div>
    <w:div w:id="1002393529">
      <w:bodyDiv w:val="1"/>
      <w:marLeft w:val="0"/>
      <w:marRight w:val="0"/>
      <w:marTop w:val="0"/>
      <w:marBottom w:val="0"/>
      <w:divBdr>
        <w:top w:val="none" w:sz="0" w:space="0" w:color="auto"/>
        <w:left w:val="none" w:sz="0" w:space="0" w:color="auto"/>
        <w:bottom w:val="none" w:sz="0" w:space="0" w:color="auto"/>
        <w:right w:val="none" w:sz="0" w:space="0" w:color="auto"/>
      </w:divBdr>
    </w:div>
    <w:div w:id="1126850677">
      <w:bodyDiv w:val="1"/>
      <w:marLeft w:val="0"/>
      <w:marRight w:val="0"/>
      <w:marTop w:val="0"/>
      <w:marBottom w:val="0"/>
      <w:divBdr>
        <w:top w:val="none" w:sz="0" w:space="0" w:color="auto"/>
        <w:left w:val="none" w:sz="0" w:space="0" w:color="auto"/>
        <w:bottom w:val="none" w:sz="0" w:space="0" w:color="auto"/>
        <w:right w:val="none" w:sz="0" w:space="0" w:color="auto"/>
      </w:divBdr>
    </w:div>
    <w:div w:id="1165390962">
      <w:bodyDiv w:val="1"/>
      <w:marLeft w:val="0"/>
      <w:marRight w:val="0"/>
      <w:marTop w:val="0"/>
      <w:marBottom w:val="0"/>
      <w:divBdr>
        <w:top w:val="none" w:sz="0" w:space="0" w:color="auto"/>
        <w:left w:val="none" w:sz="0" w:space="0" w:color="auto"/>
        <w:bottom w:val="none" w:sz="0" w:space="0" w:color="auto"/>
        <w:right w:val="none" w:sz="0" w:space="0" w:color="auto"/>
      </w:divBdr>
    </w:div>
    <w:div w:id="1218321864">
      <w:bodyDiv w:val="1"/>
      <w:marLeft w:val="0"/>
      <w:marRight w:val="0"/>
      <w:marTop w:val="0"/>
      <w:marBottom w:val="0"/>
      <w:divBdr>
        <w:top w:val="none" w:sz="0" w:space="0" w:color="auto"/>
        <w:left w:val="none" w:sz="0" w:space="0" w:color="auto"/>
        <w:bottom w:val="none" w:sz="0" w:space="0" w:color="auto"/>
        <w:right w:val="none" w:sz="0" w:space="0" w:color="auto"/>
      </w:divBdr>
    </w:div>
    <w:div w:id="1223255305">
      <w:bodyDiv w:val="1"/>
      <w:marLeft w:val="0"/>
      <w:marRight w:val="0"/>
      <w:marTop w:val="0"/>
      <w:marBottom w:val="0"/>
      <w:divBdr>
        <w:top w:val="none" w:sz="0" w:space="0" w:color="auto"/>
        <w:left w:val="none" w:sz="0" w:space="0" w:color="auto"/>
        <w:bottom w:val="none" w:sz="0" w:space="0" w:color="auto"/>
        <w:right w:val="none" w:sz="0" w:space="0" w:color="auto"/>
      </w:divBdr>
    </w:div>
    <w:div w:id="1268349929">
      <w:bodyDiv w:val="1"/>
      <w:marLeft w:val="0"/>
      <w:marRight w:val="0"/>
      <w:marTop w:val="0"/>
      <w:marBottom w:val="0"/>
      <w:divBdr>
        <w:top w:val="none" w:sz="0" w:space="0" w:color="auto"/>
        <w:left w:val="none" w:sz="0" w:space="0" w:color="auto"/>
        <w:bottom w:val="none" w:sz="0" w:space="0" w:color="auto"/>
        <w:right w:val="none" w:sz="0" w:space="0" w:color="auto"/>
      </w:divBdr>
    </w:div>
    <w:div w:id="1318877502">
      <w:bodyDiv w:val="1"/>
      <w:marLeft w:val="0"/>
      <w:marRight w:val="0"/>
      <w:marTop w:val="0"/>
      <w:marBottom w:val="0"/>
      <w:divBdr>
        <w:top w:val="none" w:sz="0" w:space="0" w:color="auto"/>
        <w:left w:val="none" w:sz="0" w:space="0" w:color="auto"/>
        <w:bottom w:val="none" w:sz="0" w:space="0" w:color="auto"/>
        <w:right w:val="none" w:sz="0" w:space="0" w:color="auto"/>
      </w:divBdr>
    </w:div>
    <w:div w:id="1365212759">
      <w:bodyDiv w:val="1"/>
      <w:marLeft w:val="0"/>
      <w:marRight w:val="0"/>
      <w:marTop w:val="0"/>
      <w:marBottom w:val="0"/>
      <w:divBdr>
        <w:top w:val="none" w:sz="0" w:space="0" w:color="auto"/>
        <w:left w:val="none" w:sz="0" w:space="0" w:color="auto"/>
        <w:bottom w:val="none" w:sz="0" w:space="0" w:color="auto"/>
        <w:right w:val="none" w:sz="0" w:space="0" w:color="auto"/>
      </w:divBdr>
    </w:div>
    <w:div w:id="1380662607">
      <w:bodyDiv w:val="1"/>
      <w:marLeft w:val="0"/>
      <w:marRight w:val="0"/>
      <w:marTop w:val="0"/>
      <w:marBottom w:val="0"/>
      <w:divBdr>
        <w:top w:val="none" w:sz="0" w:space="0" w:color="auto"/>
        <w:left w:val="none" w:sz="0" w:space="0" w:color="auto"/>
        <w:bottom w:val="none" w:sz="0" w:space="0" w:color="auto"/>
        <w:right w:val="none" w:sz="0" w:space="0" w:color="auto"/>
      </w:divBdr>
    </w:div>
    <w:div w:id="1522818062">
      <w:bodyDiv w:val="1"/>
      <w:marLeft w:val="0"/>
      <w:marRight w:val="0"/>
      <w:marTop w:val="0"/>
      <w:marBottom w:val="0"/>
      <w:divBdr>
        <w:top w:val="none" w:sz="0" w:space="0" w:color="auto"/>
        <w:left w:val="none" w:sz="0" w:space="0" w:color="auto"/>
        <w:bottom w:val="none" w:sz="0" w:space="0" w:color="auto"/>
        <w:right w:val="none" w:sz="0" w:space="0" w:color="auto"/>
      </w:divBdr>
    </w:div>
    <w:div w:id="1531986982">
      <w:bodyDiv w:val="1"/>
      <w:marLeft w:val="0"/>
      <w:marRight w:val="0"/>
      <w:marTop w:val="0"/>
      <w:marBottom w:val="0"/>
      <w:divBdr>
        <w:top w:val="none" w:sz="0" w:space="0" w:color="auto"/>
        <w:left w:val="none" w:sz="0" w:space="0" w:color="auto"/>
        <w:bottom w:val="none" w:sz="0" w:space="0" w:color="auto"/>
        <w:right w:val="none" w:sz="0" w:space="0" w:color="auto"/>
      </w:divBdr>
    </w:div>
    <w:div w:id="1560745861">
      <w:bodyDiv w:val="1"/>
      <w:marLeft w:val="0"/>
      <w:marRight w:val="0"/>
      <w:marTop w:val="0"/>
      <w:marBottom w:val="0"/>
      <w:divBdr>
        <w:top w:val="none" w:sz="0" w:space="0" w:color="auto"/>
        <w:left w:val="none" w:sz="0" w:space="0" w:color="auto"/>
        <w:bottom w:val="none" w:sz="0" w:space="0" w:color="auto"/>
        <w:right w:val="none" w:sz="0" w:space="0" w:color="auto"/>
      </w:divBdr>
    </w:div>
    <w:div w:id="1592154135">
      <w:bodyDiv w:val="1"/>
      <w:marLeft w:val="0"/>
      <w:marRight w:val="0"/>
      <w:marTop w:val="0"/>
      <w:marBottom w:val="0"/>
      <w:divBdr>
        <w:top w:val="none" w:sz="0" w:space="0" w:color="auto"/>
        <w:left w:val="none" w:sz="0" w:space="0" w:color="auto"/>
        <w:bottom w:val="none" w:sz="0" w:space="0" w:color="auto"/>
        <w:right w:val="none" w:sz="0" w:space="0" w:color="auto"/>
      </w:divBdr>
    </w:div>
    <w:div w:id="1611930019">
      <w:bodyDiv w:val="1"/>
      <w:marLeft w:val="0"/>
      <w:marRight w:val="0"/>
      <w:marTop w:val="0"/>
      <w:marBottom w:val="0"/>
      <w:divBdr>
        <w:top w:val="none" w:sz="0" w:space="0" w:color="auto"/>
        <w:left w:val="none" w:sz="0" w:space="0" w:color="auto"/>
        <w:bottom w:val="none" w:sz="0" w:space="0" w:color="auto"/>
        <w:right w:val="none" w:sz="0" w:space="0" w:color="auto"/>
      </w:divBdr>
    </w:div>
    <w:div w:id="1636985431">
      <w:bodyDiv w:val="1"/>
      <w:marLeft w:val="0"/>
      <w:marRight w:val="0"/>
      <w:marTop w:val="0"/>
      <w:marBottom w:val="0"/>
      <w:divBdr>
        <w:top w:val="none" w:sz="0" w:space="0" w:color="auto"/>
        <w:left w:val="none" w:sz="0" w:space="0" w:color="auto"/>
        <w:bottom w:val="none" w:sz="0" w:space="0" w:color="auto"/>
        <w:right w:val="none" w:sz="0" w:space="0" w:color="auto"/>
      </w:divBdr>
    </w:div>
    <w:div w:id="1702974483">
      <w:bodyDiv w:val="1"/>
      <w:marLeft w:val="0"/>
      <w:marRight w:val="0"/>
      <w:marTop w:val="0"/>
      <w:marBottom w:val="0"/>
      <w:divBdr>
        <w:top w:val="none" w:sz="0" w:space="0" w:color="auto"/>
        <w:left w:val="none" w:sz="0" w:space="0" w:color="auto"/>
        <w:bottom w:val="none" w:sz="0" w:space="0" w:color="auto"/>
        <w:right w:val="none" w:sz="0" w:space="0" w:color="auto"/>
      </w:divBdr>
    </w:div>
    <w:div w:id="1859346133">
      <w:bodyDiv w:val="1"/>
      <w:marLeft w:val="0"/>
      <w:marRight w:val="0"/>
      <w:marTop w:val="0"/>
      <w:marBottom w:val="0"/>
      <w:divBdr>
        <w:top w:val="none" w:sz="0" w:space="0" w:color="auto"/>
        <w:left w:val="none" w:sz="0" w:space="0" w:color="auto"/>
        <w:bottom w:val="none" w:sz="0" w:space="0" w:color="auto"/>
        <w:right w:val="none" w:sz="0" w:space="0" w:color="auto"/>
      </w:divBdr>
    </w:div>
    <w:div w:id="1860195278">
      <w:bodyDiv w:val="1"/>
      <w:marLeft w:val="0"/>
      <w:marRight w:val="0"/>
      <w:marTop w:val="0"/>
      <w:marBottom w:val="0"/>
      <w:divBdr>
        <w:top w:val="none" w:sz="0" w:space="0" w:color="auto"/>
        <w:left w:val="none" w:sz="0" w:space="0" w:color="auto"/>
        <w:bottom w:val="none" w:sz="0" w:space="0" w:color="auto"/>
        <w:right w:val="none" w:sz="0" w:space="0" w:color="auto"/>
      </w:divBdr>
    </w:div>
    <w:div w:id="1878546908">
      <w:bodyDiv w:val="1"/>
      <w:marLeft w:val="0"/>
      <w:marRight w:val="0"/>
      <w:marTop w:val="0"/>
      <w:marBottom w:val="0"/>
      <w:divBdr>
        <w:top w:val="none" w:sz="0" w:space="0" w:color="auto"/>
        <w:left w:val="none" w:sz="0" w:space="0" w:color="auto"/>
        <w:bottom w:val="none" w:sz="0" w:space="0" w:color="auto"/>
        <w:right w:val="none" w:sz="0" w:space="0" w:color="auto"/>
      </w:divBdr>
    </w:div>
    <w:div w:id="1894929650">
      <w:bodyDiv w:val="1"/>
      <w:marLeft w:val="0"/>
      <w:marRight w:val="0"/>
      <w:marTop w:val="0"/>
      <w:marBottom w:val="0"/>
      <w:divBdr>
        <w:top w:val="none" w:sz="0" w:space="0" w:color="auto"/>
        <w:left w:val="none" w:sz="0" w:space="0" w:color="auto"/>
        <w:bottom w:val="none" w:sz="0" w:space="0" w:color="auto"/>
        <w:right w:val="none" w:sz="0" w:space="0" w:color="auto"/>
      </w:divBdr>
    </w:div>
    <w:div w:id="1915696165">
      <w:bodyDiv w:val="1"/>
      <w:marLeft w:val="0"/>
      <w:marRight w:val="0"/>
      <w:marTop w:val="0"/>
      <w:marBottom w:val="0"/>
      <w:divBdr>
        <w:top w:val="none" w:sz="0" w:space="0" w:color="auto"/>
        <w:left w:val="none" w:sz="0" w:space="0" w:color="auto"/>
        <w:bottom w:val="none" w:sz="0" w:space="0" w:color="auto"/>
        <w:right w:val="none" w:sz="0" w:space="0" w:color="auto"/>
      </w:divBdr>
    </w:div>
    <w:div w:id="2086217459">
      <w:bodyDiv w:val="1"/>
      <w:marLeft w:val="0"/>
      <w:marRight w:val="0"/>
      <w:marTop w:val="0"/>
      <w:marBottom w:val="0"/>
      <w:divBdr>
        <w:top w:val="none" w:sz="0" w:space="0" w:color="auto"/>
        <w:left w:val="none" w:sz="0" w:space="0" w:color="auto"/>
        <w:bottom w:val="none" w:sz="0" w:space="0" w:color="auto"/>
        <w:right w:val="none" w:sz="0" w:space="0" w:color="auto"/>
      </w:divBdr>
    </w:div>
    <w:div w:id="2116165696">
      <w:bodyDiv w:val="1"/>
      <w:marLeft w:val="0"/>
      <w:marRight w:val="0"/>
      <w:marTop w:val="0"/>
      <w:marBottom w:val="0"/>
      <w:divBdr>
        <w:top w:val="none" w:sz="0" w:space="0" w:color="auto"/>
        <w:left w:val="none" w:sz="0" w:space="0" w:color="auto"/>
        <w:bottom w:val="none" w:sz="0" w:space="0" w:color="auto"/>
        <w:right w:val="none" w:sz="0" w:space="0" w:color="auto"/>
      </w:divBdr>
    </w:div>
    <w:div w:id="212503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781B39-E27E-4B34-AC6F-68EBD4CE6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10716</TotalTime>
  <Pages>1</Pages>
  <Words>8162</Words>
  <Characters>46530</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Tea Phirashvili</cp:lastModifiedBy>
  <cp:revision>1328</cp:revision>
  <dcterms:created xsi:type="dcterms:W3CDTF">2018-04-14T10:25:00Z</dcterms:created>
  <dcterms:modified xsi:type="dcterms:W3CDTF">2026-09-29T10:58:00Z</dcterms:modified>
</cp:coreProperties>
</file>