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9FB69" w14:textId="206718FB" w:rsidR="00451755" w:rsidRPr="00547996" w:rsidRDefault="00451755" w:rsidP="00401989">
      <w:pPr>
        <w:spacing w:line="276" w:lineRule="auto"/>
        <w:jc w:val="center"/>
        <w:rPr>
          <w:lang w:val="en-US"/>
        </w:rPr>
      </w:pPr>
    </w:p>
    <w:p w14:paraId="2AAED65E" w14:textId="77777777" w:rsidR="00451755" w:rsidRPr="00DB3470" w:rsidRDefault="00451755" w:rsidP="00401989">
      <w:pPr>
        <w:spacing w:line="276" w:lineRule="auto"/>
        <w:jc w:val="center"/>
        <w:rPr>
          <w:b/>
          <w:bCs/>
        </w:rPr>
      </w:pPr>
      <w:r w:rsidRPr="00DB3470">
        <w:rPr>
          <w:b/>
          <w:bCs/>
        </w:rPr>
        <w:t>პროდუქტის მახასიათებლების შეჯამება</w:t>
      </w:r>
    </w:p>
    <w:p w14:paraId="344F395E" w14:textId="7A233464" w:rsidR="00451755" w:rsidRPr="00802C20" w:rsidRDefault="00451755" w:rsidP="00401989">
      <w:pPr>
        <w:spacing w:after="0" w:line="276" w:lineRule="auto"/>
        <w:jc w:val="both"/>
        <w:rPr>
          <w:b/>
          <w:bCs/>
        </w:rPr>
      </w:pPr>
      <w:r w:rsidRPr="00802C20">
        <w:rPr>
          <w:b/>
          <w:bCs/>
        </w:rPr>
        <w:t>1.სამკურნალო პროდუქტის დასახელება</w:t>
      </w:r>
    </w:p>
    <w:p w14:paraId="5E58A390" w14:textId="58DCD9B6" w:rsidR="00451755" w:rsidRDefault="00B008E9" w:rsidP="00401989">
      <w:pPr>
        <w:spacing w:after="0" w:line="276" w:lineRule="auto"/>
        <w:jc w:val="both"/>
      </w:pPr>
      <w:r>
        <w:rPr>
          <w:rFonts w:ascii="Sylfaen" w:hAnsi="Sylfaen" w:cs="Sylfaen"/>
        </w:rPr>
        <w:t>ცენტეპროლი</w:t>
      </w:r>
      <w:r w:rsidR="00451755">
        <w:t xml:space="preserve"> 40 მგ ლიოფილიზირებული ფხვნილი ინტრავენური ინფუზიის/ინექციის ხსნარისთვის</w:t>
      </w:r>
    </w:p>
    <w:p w14:paraId="5CF3970E" w14:textId="77777777" w:rsidR="00B008E9" w:rsidRPr="00802C20" w:rsidRDefault="00451755" w:rsidP="00401989">
      <w:pPr>
        <w:spacing w:after="0" w:line="276" w:lineRule="auto"/>
        <w:jc w:val="both"/>
        <w:rPr>
          <w:b/>
          <w:bCs/>
        </w:rPr>
      </w:pPr>
      <w:r w:rsidRPr="00802C20">
        <w:rPr>
          <w:b/>
          <w:bCs/>
        </w:rPr>
        <w:t xml:space="preserve">2. თვისებრივი და რაოდენობრივი შემადგენლობა </w:t>
      </w:r>
    </w:p>
    <w:p w14:paraId="0987B20B" w14:textId="41CC7D66" w:rsidR="00451755" w:rsidRPr="00802C20" w:rsidRDefault="00451755" w:rsidP="00401989">
      <w:pPr>
        <w:spacing w:after="0" w:line="276" w:lineRule="auto"/>
        <w:jc w:val="both"/>
        <w:rPr>
          <w:b/>
          <w:bCs/>
        </w:rPr>
      </w:pPr>
      <w:r w:rsidRPr="00802C20">
        <w:rPr>
          <w:b/>
          <w:bCs/>
        </w:rPr>
        <w:t>აქტიური ნივთიერება:</w:t>
      </w:r>
    </w:p>
    <w:p w14:paraId="35C60499" w14:textId="77777777" w:rsidR="00451755" w:rsidRDefault="00451755" w:rsidP="00401989">
      <w:pPr>
        <w:spacing w:after="0" w:line="276" w:lineRule="auto"/>
        <w:jc w:val="both"/>
      </w:pPr>
      <w:r>
        <w:t>თითოეული ფლაკონი შეიცავს 42.5 მგ ეზომეპრაზოლ ნატრიუმს, რაც 40 მგ ეზომეპრაზოლის ექვივალენტურია.</w:t>
      </w:r>
    </w:p>
    <w:p w14:paraId="08AB28B1" w14:textId="77777777" w:rsidR="00451755" w:rsidRPr="00802C20" w:rsidRDefault="00451755" w:rsidP="00401989">
      <w:pPr>
        <w:spacing w:after="0" w:line="276" w:lineRule="auto"/>
        <w:jc w:val="both"/>
        <w:rPr>
          <w:b/>
          <w:bCs/>
        </w:rPr>
      </w:pPr>
      <w:r w:rsidRPr="00802C20">
        <w:rPr>
          <w:b/>
          <w:bCs/>
        </w:rPr>
        <w:t>დამხმარე ნივთიერებები:</w:t>
      </w:r>
    </w:p>
    <w:p w14:paraId="2944D03D" w14:textId="77777777" w:rsidR="00451755" w:rsidRDefault="00451755" w:rsidP="00401989">
      <w:pPr>
        <w:spacing w:after="0" w:line="276" w:lineRule="auto"/>
        <w:jc w:val="both"/>
      </w:pPr>
      <w:r>
        <w:t>დინატრიუმის EDTA 1.5 მგ ნატრიუმის ჰიდროქსიდი qs .</w:t>
      </w:r>
    </w:p>
    <w:p w14:paraId="4FF58801" w14:textId="77777777" w:rsidR="00451755" w:rsidRDefault="00451755" w:rsidP="00401989">
      <w:pPr>
        <w:spacing w:after="0" w:line="276" w:lineRule="auto"/>
        <w:jc w:val="both"/>
      </w:pPr>
      <w:r>
        <w:t>დამხმარე ნივთიერებების სრული სიისთვის იხილეთ 6.1 პუნქტი.</w:t>
      </w:r>
    </w:p>
    <w:p w14:paraId="59D248A7" w14:textId="19085F7D" w:rsidR="00802C20" w:rsidRDefault="00451755" w:rsidP="00401989">
      <w:pPr>
        <w:spacing w:after="0" w:line="276" w:lineRule="auto"/>
        <w:jc w:val="both"/>
      </w:pPr>
      <w:r w:rsidRPr="00802C20">
        <w:rPr>
          <w:b/>
          <w:bCs/>
        </w:rPr>
        <w:t>3.</w:t>
      </w:r>
      <w:r w:rsidR="00DB3470" w:rsidRPr="00802C20">
        <w:rPr>
          <w:b/>
          <w:bCs/>
        </w:rPr>
        <w:t xml:space="preserve"> </w:t>
      </w:r>
      <w:r w:rsidRPr="00802C20">
        <w:rPr>
          <w:b/>
          <w:bCs/>
        </w:rPr>
        <w:t>ფარმაცევტული ფორმა</w:t>
      </w:r>
    </w:p>
    <w:p w14:paraId="6375F39E" w14:textId="0BF1E45C" w:rsidR="00451755" w:rsidRDefault="00451755" w:rsidP="00401989">
      <w:pPr>
        <w:spacing w:after="0" w:line="276" w:lineRule="auto"/>
        <w:jc w:val="both"/>
      </w:pPr>
      <w:r>
        <w:t>ფხვნილი ინექციის/ინფუზიის ხსნარისთვის. თეთრიდან მოთეთრო ფერამდე ლიოფილიზებული ფხვნილი.</w:t>
      </w:r>
    </w:p>
    <w:p w14:paraId="3F0FF161" w14:textId="77777777" w:rsidR="00451755" w:rsidRPr="00802C20" w:rsidRDefault="00451755" w:rsidP="00401989">
      <w:pPr>
        <w:spacing w:after="0" w:line="276" w:lineRule="auto"/>
        <w:jc w:val="both"/>
        <w:rPr>
          <w:b/>
          <w:bCs/>
        </w:rPr>
      </w:pPr>
      <w:r w:rsidRPr="00802C20">
        <w:rPr>
          <w:b/>
          <w:bCs/>
        </w:rPr>
        <w:t>4. კლინიკური მახასიათებლები</w:t>
      </w:r>
    </w:p>
    <w:p w14:paraId="1C03827E" w14:textId="187E4731" w:rsidR="00451755" w:rsidRPr="00802C20" w:rsidRDefault="00451755" w:rsidP="00401989">
      <w:pPr>
        <w:spacing w:after="0" w:line="276" w:lineRule="auto"/>
        <w:jc w:val="both"/>
        <w:rPr>
          <w:b/>
          <w:bCs/>
        </w:rPr>
      </w:pPr>
      <w:r w:rsidRPr="00802C20">
        <w:rPr>
          <w:b/>
          <w:bCs/>
        </w:rPr>
        <w:t>4.1.</w:t>
      </w:r>
      <w:r w:rsidR="00DB3470" w:rsidRPr="00802C20">
        <w:rPr>
          <w:b/>
          <w:bCs/>
        </w:rPr>
        <w:t xml:space="preserve"> </w:t>
      </w:r>
      <w:r w:rsidRPr="00802C20">
        <w:rPr>
          <w:b/>
          <w:bCs/>
        </w:rPr>
        <w:t>თერაპიული ჩვენებები</w:t>
      </w:r>
    </w:p>
    <w:p w14:paraId="4DB1D9E3" w14:textId="2A60F9FB" w:rsidR="00451755" w:rsidRDefault="00B008E9" w:rsidP="00401989">
      <w:pPr>
        <w:spacing w:after="0" w:line="276" w:lineRule="auto"/>
        <w:jc w:val="both"/>
      </w:pPr>
      <w:r>
        <w:rPr>
          <w:rFonts w:ascii="Sylfaen" w:hAnsi="Sylfaen" w:cs="Sylfaen"/>
        </w:rPr>
        <w:t>ცენტეპროლი</w:t>
      </w:r>
      <w:r w:rsidR="00451755">
        <w:t>ს ინექცია და ინფუზია ნაჩვენებია შემდეგ შემთხვევებში იმ პაციენტებში, რომლებთანაც პერორალური მკურნალობა არ არის შესაფერისი, როგორც პერორალური მკურნალობის ალტერნატივა:</w:t>
      </w:r>
    </w:p>
    <w:p w14:paraId="3B00C98F" w14:textId="77777777" w:rsidR="00451755" w:rsidRPr="00802C20" w:rsidRDefault="00451755" w:rsidP="00401989">
      <w:pPr>
        <w:spacing w:after="0" w:line="276" w:lineRule="auto"/>
        <w:jc w:val="both"/>
        <w:rPr>
          <w:u w:val="single"/>
        </w:rPr>
      </w:pPr>
      <w:r w:rsidRPr="00802C20">
        <w:rPr>
          <w:u w:val="single"/>
        </w:rPr>
        <w:t>მოზრდილები</w:t>
      </w:r>
    </w:p>
    <w:p w14:paraId="2841429A" w14:textId="77777777" w:rsidR="00451755" w:rsidRDefault="00451755" w:rsidP="00401989">
      <w:pPr>
        <w:spacing w:after="0" w:line="276" w:lineRule="auto"/>
        <w:jc w:val="both"/>
      </w:pPr>
      <w:r>
        <w:t>- გასტროეზოფაგური რეფლუქსური დაავადება ეზოფაგიტის და/ან რეფლუქსის მძიმე სიმპტომების მქონე პაციენტებში</w:t>
      </w:r>
    </w:p>
    <w:p w14:paraId="4E18B858" w14:textId="5A3B39C0" w:rsidR="00451755" w:rsidRDefault="00451755" w:rsidP="00401989">
      <w:pPr>
        <w:spacing w:after="0" w:line="276" w:lineRule="auto"/>
        <w:jc w:val="both"/>
      </w:pPr>
      <w:r>
        <w:t>-</w:t>
      </w:r>
      <w:r w:rsidR="00802C20">
        <w:t xml:space="preserve"> </w:t>
      </w:r>
      <w:r>
        <w:t>არასტეროიდული ანთების საწინააღმდეგო თერაპიასთან დაკავშირებული კუჭის წყლულების მკურნალობა</w:t>
      </w:r>
    </w:p>
    <w:p w14:paraId="2C56DB6E" w14:textId="42FD4DA9" w:rsidR="00451755" w:rsidRDefault="00451755" w:rsidP="00401989">
      <w:pPr>
        <w:spacing w:after="0" w:line="276" w:lineRule="auto"/>
        <w:jc w:val="both"/>
      </w:pPr>
      <w:r>
        <w:t>-</w:t>
      </w:r>
      <w:r w:rsidR="00802C20">
        <w:t xml:space="preserve"> </w:t>
      </w:r>
      <w:r>
        <w:t>არასტეროიდული ანთების საწინააღმდეგო საშუალებებით თერაპიასთან დაკავშირებული კუჭისა და თორმეტგოჯა ნაწლავის წყლულის პროფილაქტიკა რისკის ჯგუფში მყოფ პაციენტებში.</w:t>
      </w:r>
    </w:p>
    <w:p w14:paraId="309BDAA0" w14:textId="77777777" w:rsidR="00802C20" w:rsidRDefault="00802C20" w:rsidP="00401989">
      <w:pPr>
        <w:spacing w:after="0" w:line="276" w:lineRule="auto"/>
        <w:jc w:val="both"/>
      </w:pPr>
    </w:p>
    <w:p w14:paraId="1B2CD8BD" w14:textId="0A9927E3" w:rsidR="00451755" w:rsidRDefault="00451755" w:rsidP="00401989">
      <w:pPr>
        <w:spacing w:after="0" w:line="276" w:lineRule="auto"/>
        <w:jc w:val="both"/>
      </w:pPr>
      <w:r>
        <w:t>ის ნაჩვენებია ჰომეოსტაზის ხანმოკლე შენარჩუნებისა და თერაპიული ენდოსკოპიის შემდეგ ხელახალი სისხლდენის პრევენციისთვის მწვავე სისხლდენის მქონე კუჭის ან თორმეტგოჯა ნაწლავის წყლულის მქონე პაციენტებში.</w:t>
      </w:r>
    </w:p>
    <w:p w14:paraId="4D0CBF3B" w14:textId="77777777" w:rsidR="00802C20" w:rsidRDefault="00802C20" w:rsidP="00401989">
      <w:pPr>
        <w:spacing w:after="0" w:line="276" w:lineRule="auto"/>
        <w:jc w:val="both"/>
        <w:rPr>
          <w:u w:val="single"/>
        </w:rPr>
      </w:pPr>
    </w:p>
    <w:p w14:paraId="228392F8" w14:textId="661EF793" w:rsidR="00451755" w:rsidRPr="00802C20" w:rsidRDefault="00451755" w:rsidP="00401989">
      <w:pPr>
        <w:spacing w:after="0" w:line="276" w:lineRule="auto"/>
        <w:jc w:val="both"/>
        <w:rPr>
          <w:u w:val="single"/>
        </w:rPr>
      </w:pPr>
      <w:r w:rsidRPr="00802C20">
        <w:rPr>
          <w:u w:val="single"/>
        </w:rPr>
        <w:t>1-18 წლის ბავშვები და მოზარდები</w:t>
      </w:r>
    </w:p>
    <w:p w14:paraId="2CA9F270" w14:textId="77777777" w:rsidR="00451755" w:rsidRDefault="00451755" w:rsidP="00401989">
      <w:pPr>
        <w:spacing w:after="0" w:line="276" w:lineRule="auto"/>
        <w:jc w:val="both"/>
      </w:pPr>
      <w:r>
        <w:t>ის გამოიყენება კუჭის ანტისეკრეტორული მკურნალობის დროს შემდეგ შემთხვევებში, როდესაც პერორალური მიღების გზა არ არის შესაფერისი:</w:t>
      </w:r>
    </w:p>
    <w:p w14:paraId="6D0222A6" w14:textId="16CA2A7F" w:rsidR="00451755" w:rsidRDefault="00451755" w:rsidP="00401989">
      <w:pPr>
        <w:spacing w:after="0" w:line="276" w:lineRule="auto"/>
        <w:jc w:val="both"/>
      </w:pPr>
      <w:r>
        <w:t>-</w:t>
      </w:r>
      <w:r w:rsidR="00802C20">
        <w:t xml:space="preserve"> </w:t>
      </w:r>
      <w:r>
        <w:t>ის გამოიყენება ეროზიული რეფლუქსური ეზოფაგიტის მქონე პაციენტებში გასტროეზოფაგური რეფლუქსური დაავადების და/ან რეფლუქსის მძიმე სიმპტომების დროს.</w:t>
      </w:r>
    </w:p>
    <w:p w14:paraId="05F83EDB" w14:textId="77777777" w:rsidR="00451755" w:rsidRDefault="00451755" w:rsidP="00401989">
      <w:pPr>
        <w:spacing w:after="0" w:line="276" w:lineRule="auto"/>
        <w:jc w:val="both"/>
      </w:pPr>
      <w:r w:rsidRPr="00802C20">
        <w:rPr>
          <w:b/>
          <w:bCs/>
        </w:rPr>
        <w:t>4.2. დოზირება და მიღების მეთოდი: დოზირება/სიხშირე და მიღების ხანგრძლივობა:</w:t>
      </w:r>
      <w:r>
        <w:t xml:space="preserve"> მოზრდილები</w:t>
      </w:r>
    </w:p>
    <w:p w14:paraId="1F90177A" w14:textId="64CD0780" w:rsidR="00451755" w:rsidRDefault="00451755" w:rsidP="00401989">
      <w:pPr>
        <w:spacing w:after="0" w:line="276" w:lineRule="auto"/>
        <w:jc w:val="both"/>
      </w:pPr>
    </w:p>
    <w:p w14:paraId="75E15478" w14:textId="77777777" w:rsidR="00451755" w:rsidRPr="0002523A" w:rsidRDefault="00451755" w:rsidP="00401989">
      <w:pPr>
        <w:spacing w:after="0" w:line="276" w:lineRule="auto"/>
        <w:jc w:val="both"/>
        <w:rPr>
          <w:i/>
          <w:iCs/>
        </w:rPr>
      </w:pPr>
      <w:r w:rsidRPr="0002523A">
        <w:rPr>
          <w:i/>
          <w:iCs/>
        </w:rPr>
        <w:t>კუჭის ანტისეკრეტორული მკურნალობის დროს, როდესაც პერორალური მიღების გზა შეუძლებელია</w:t>
      </w:r>
    </w:p>
    <w:p w14:paraId="607285CA" w14:textId="1E533BDF" w:rsidR="00451755" w:rsidRDefault="00451755" w:rsidP="00401989">
      <w:pPr>
        <w:spacing w:after="0" w:line="276" w:lineRule="auto"/>
        <w:jc w:val="both"/>
      </w:pPr>
      <w:r>
        <w:t xml:space="preserve">პაციენტებს, რომლებსაც არ შეუძლიათ პერორალური მედიკამენტების მიღება, შეიძლება პარენტერალურად უმკურნალონ 20-40 მგ </w:t>
      </w:r>
      <w:r w:rsidR="00B008E9">
        <w:rPr>
          <w:rFonts w:ascii="Sylfaen" w:hAnsi="Sylfaen" w:cs="Sylfaen"/>
        </w:rPr>
        <w:t>ცენტეპროლი</w:t>
      </w:r>
      <w:r>
        <w:t>თ დღეში ერთხელ. რეფლუქსური ეზოფაგიტის მქონე პაციენტებს უნდა უმკურნალონ 40 მგ დღეში ერთხელ. რეფლუქსური დაავადების სიმპტომური მკურნალობის მქონე პაციენტებს უნდა უმკურნალონ 20 მგ დღეში ერთხელ. არასტეროიდული ანთების საწინააღმდეგო თერაპიასთან დაკავშირებული კუჭის წყლულის სამკურნალოდ ჩვეულებრივი დოზაა 20 მგ დღეში ერთხელ. არასტეროიდული ანთების საწინააღმდეგო თერაპიასთან დაკავშირებული კუჭისა და თორმეტგოჯა ნაწლავის წყლულის პროფილაქტიკისთვის, რისკის ჯგუფის პაციენტებს უნდა უმკურნალონ 20 მგ დღეში ერთხელ.</w:t>
      </w:r>
    </w:p>
    <w:p w14:paraId="24837C83" w14:textId="77777777" w:rsidR="00451755" w:rsidRDefault="00451755" w:rsidP="00401989">
      <w:pPr>
        <w:spacing w:after="0" w:line="276" w:lineRule="auto"/>
        <w:jc w:val="both"/>
      </w:pPr>
      <w:r>
        <w:t>როგორც წესი, ინტრავენური მკურნალობის ხანგრძლივობა ხანმოკლეა და პერორალურ მკურნალობაზე გადასვლა რაც შეიძლება მალე უნდა მოხდეს.</w:t>
      </w:r>
    </w:p>
    <w:p w14:paraId="634C772B" w14:textId="77777777" w:rsidR="00451755" w:rsidRPr="0002523A" w:rsidRDefault="00451755" w:rsidP="00401989">
      <w:pPr>
        <w:spacing w:after="0" w:line="276" w:lineRule="auto"/>
        <w:jc w:val="both"/>
        <w:rPr>
          <w:i/>
          <w:iCs/>
        </w:rPr>
      </w:pPr>
      <w:r w:rsidRPr="0002523A">
        <w:rPr>
          <w:i/>
          <w:iCs/>
        </w:rPr>
        <w:t>კუჭისა და თორმეტგოჯა ნაწლავის წყლულის დროს ჰომეოსტაზის შენარჩუნებასა და ხელახალი სისხლდენის პრევენციაში</w:t>
      </w:r>
    </w:p>
    <w:p w14:paraId="5F63530D" w14:textId="77777777" w:rsidR="0002523A" w:rsidRDefault="0002523A" w:rsidP="00401989">
      <w:pPr>
        <w:spacing w:after="0" w:line="276" w:lineRule="auto"/>
        <w:jc w:val="both"/>
      </w:pPr>
    </w:p>
    <w:p w14:paraId="078494B3" w14:textId="1A3431B3" w:rsidR="00451755" w:rsidRDefault="00451755" w:rsidP="00401989">
      <w:pPr>
        <w:spacing w:after="0" w:line="276" w:lineRule="auto"/>
        <w:jc w:val="both"/>
      </w:pPr>
      <w:r>
        <w:t>მწვავე სისხლდენის მქონე კუჭის ან თორმეტგოჯა ნაწლავის წყლულის მქონე პაციენტებში თერაპიული ენდოსკოპიის შემდეგ, 80 მგ უნდა შეიყვანოთ ბოლუსური ინფუზიის სახით 30 წუთის განმავლობაში, რასაც მოჰყვება უწყვეტი ინტრავენური ინფუზია 8 მგ/სთ სიჩქარით 3 დღის (72 საათის) განმავლობაში.</w:t>
      </w:r>
    </w:p>
    <w:p w14:paraId="4C0FDED1" w14:textId="77777777" w:rsidR="0002523A" w:rsidRDefault="0002523A" w:rsidP="00401989">
      <w:pPr>
        <w:spacing w:after="0" w:line="276" w:lineRule="auto"/>
        <w:jc w:val="both"/>
      </w:pPr>
    </w:p>
    <w:p w14:paraId="044955F9" w14:textId="77777777" w:rsidR="00451755" w:rsidRDefault="00451755" w:rsidP="00401989">
      <w:pPr>
        <w:spacing w:after="0" w:line="276" w:lineRule="auto"/>
        <w:jc w:val="both"/>
      </w:pPr>
      <w:r>
        <w:t>საჭიროების შემთხვევაში, პარენტერალური თერაპიის შემდეგ ეზომეპრაზოლით შემანარჩუნებელი თერაპია შეიძლება ჩატარდეს პერორალურად 4 კვირის განმავლობაში.</w:t>
      </w:r>
    </w:p>
    <w:p w14:paraId="0C73D4C0" w14:textId="77777777" w:rsidR="00451755" w:rsidRPr="0002523A" w:rsidRDefault="00451755" w:rsidP="00401989">
      <w:pPr>
        <w:spacing w:after="0" w:line="276" w:lineRule="auto"/>
        <w:jc w:val="both"/>
        <w:rPr>
          <w:b/>
          <w:bCs/>
        </w:rPr>
      </w:pPr>
      <w:r w:rsidRPr="0002523A">
        <w:rPr>
          <w:b/>
          <w:bCs/>
        </w:rPr>
        <w:t>მიღების მეთოდი</w:t>
      </w:r>
    </w:p>
    <w:p w14:paraId="52B5926E" w14:textId="77777777" w:rsidR="00451755" w:rsidRDefault="00451755" w:rsidP="00401989">
      <w:pPr>
        <w:spacing w:after="0" w:line="276" w:lineRule="auto"/>
        <w:jc w:val="both"/>
      </w:pPr>
      <w:r>
        <w:t>გახსნილი ხსნარის მოსამზადებლად იხილეთ 6.6 პუნქტი.</w:t>
      </w:r>
    </w:p>
    <w:p w14:paraId="1ABF6725" w14:textId="77777777" w:rsidR="00451755" w:rsidRPr="0002523A" w:rsidRDefault="00451755" w:rsidP="00401989">
      <w:pPr>
        <w:spacing w:after="0" w:line="276" w:lineRule="auto"/>
        <w:jc w:val="both"/>
        <w:rPr>
          <w:i/>
          <w:iCs/>
        </w:rPr>
      </w:pPr>
      <w:r w:rsidRPr="0002523A">
        <w:rPr>
          <w:i/>
          <w:iCs/>
        </w:rPr>
        <w:t>ინექცია</w:t>
      </w:r>
    </w:p>
    <w:p w14:paraId="3BE4C079" w14:textId="77777777" w:rsidR="00451755" w:rsidRPr="0002523A" w:rsidRDefault="00451755" w:rsidP="00401989">
      <w:pPr>
        <w:spacing w:after="0" w:line="276" w:lineRule="auto"/>
        <w:jc w:val="both"/>
        <w:rPr>
          <w:u w:val="single"/>
        </w:rPr>
      </w:pPr>
      <w:r w:rsidRPr="0002523A">
        <w:rPr>
          <w:u w:val="single"/>
        </w:rPr>
        <w:t>40 მგ დოზა</w:t>
      </w:r>
    </w:p>
    <w:p w14:paraId="51B8A71D" w14:textId="77777777" w:rsidR="00451755" w:rsidRDefault="00451755" w:rsidP="00401989">
      <w:pPr>
        <w:spacing w:after="0" w:line="276" w:lineRule="auto"/>
        <w:jc w:val="both"/>
      </w:pPr>
      <w:r>
        <w:t>გახსნილი ხსნარის 5 მლ (8 მგ/მლ) უნდა შეიყვანოთ ინტრავენური ინექციის სახით მინიმუმ 3 წუთის განმავლობაში.</w:t>
      </w:r>
    </w:p>
    <w:p w14:paraId="33EFF67A" w14:textId="77777777" w:rsidR="00451755" w:rsidRPr="0002523A" w:rsidRDefault="00451755" w:rsidP="00401989">
      <w:pPr>
        <w:spacing w:after="0" w:line="276" w:lineRule="auto"/>
        <w:jc w:val="both"/>
        <w:rPr>
          <w:u w:val="single"/>
        </w:rPr>
      </w:pPr>
      <w:r w:rsidRPr="0002523A">
        <w:rPr>
          <w:u w:val="single"/>
        </w:rPr>
        <w:t>20 მგ დოზა</w:t>
      </w:r>
    </w:p>
    <w:p w14:paraId="17CF723A" w14:textId="77777777" w:rsidR="00451755" w:rsidRDefault="00451755" w:rsidP="00401989">
      <w:pPr>
        <w:spacing w:after="0" w:line="276" w:lineRule="auto"/>
        <w:jc w:val="both"/>
      </w:pPr>
      <w:r>
        <w:t>20 მგ დოზის მიღებისას, გახსნილი ხსნარის 2.5 მლ (8 მგ/მლ) უნდა გაკეთდეს ინტრავენური ინექციის სახით მინიმუმ 3 წუთის განმავლობაში. გამოუყენებელი ხსნარი უნდა გადაიღვაროს.</w:t>
      </w:r>
    </w:p>
    <w:p w14:paraId="0C5DCEA0" w14:textId="77777777" w:rsidR="00451755" w:rsidRPr="0002523A" w:rsidRDefault="00451755" w:rsidP="00401989">
      <w:pPr>
        <w:spacing w:after="0" w:line="276" w:lineRule="auto"/>
        <w:jc w:val="both"/>
        <w:rPr>
          <w:i/>
          <w:iCs/>
        </w:rPr>
      </w:pPr>
      <w:r w:rsidRPr="0002523A">
        <w:rPr>
          <w:i/>
          <w:iCs/>
        </w:rPr>
        <w:t>ინფუზია</w:t>
      </w:r>
    </w:p>
    <w:p w14:paraId="05CC8268" w14:textId="77777777" w:rsidR="00451755" w:rsidRPr="0002523A" w:rsidRDefault="00451755" w:rsidP="00401989">
      <w:pPr>
        <w:spacing w:after="0" w:line="276" w:lineRule="auto"/>
        <w:jc w:val="both"/>
        <w:rPr>
          <w:u w:val="single"/>
        </w:rPr>
      </w:pPr>
      <w:r w:rsidRPr="0002523A">
        <w:rPr>
          <w:u w:val="single"/>
        </w:rPr>
        <w:t>40 მგ დოზა</w:t>
      </w:r>
    </w:p>
    <w:p w14:paraId="11B37EB1" w14:textId="77777777" w:rsidR="00451755" w:rsidRDefault="00451755" w:rsidP="00401989">
      <w:pPr>
        <w:spacing w:after="0" w:line="276" w:lineRule="auto"/>
        <w:jc w:val="both"/>
      </w:pPr>
      <w:r>
        <w:t>გახსნილი ხსნარი უნდა შეიყვანოთ ინტრავენური ინფუზიის სახით 10-დან 30 წუთის განმავლობაში.</w:t>
      </w:r>
    </w:p>
    <w:p w14:paraId="2E0FF48A" w14:textId="77777777" w:rsidR="00451755" w:rsidRPr="0002523A" w:rsidRDefault="00451755" w:rsidP="00401989">
      <w:pPr>
        <w:spacing w:after="0" w:line="276" w:lineRule="auto"/>
        <w:jc w:val="both"/>
        <w:rPr>
          <w:u w:val="single"/>
        </w:rPr>
      </w:pPr>
      <w:r w:rsidRPr="0002523A">
        <w:rPr>
          <w:u w:val="single"/>
        </w:rPr>
        <w:t>20 მგ დოზა</w:t>
      </w:r>
    </w:p>
    <w:p w14:paraId="35251A5D" w14:textId="77777777" w:rsidR="00451755" w:rsidRDefault="00451755" w:rsidP="00401989">
      <w:pPr>
        <w:spacing w:after="0" w:line="276" w:lineRule="auto"/>
        <w:jc w:val="both"/>
      </w:pPr>
      <w:r>
        <w:t>გახსნილი ხსნარის ნახევარი უნდა შეიყვანოთ ინტრავენური ინფუზიის სახით 10-დან 30 წუთის განმავლობაში. გამოუყენებელი ხსნარი უნდა გადაიღვაროს.</w:t>
      </w:r>
    </w:p>
    <w:p w14:paraId="6B713F85" w14:textId="17E3C3E8" w:rsidR="00451755" w:rsidRPr="0002523A" w:rsidRDefault="00451755" w:rsidP="00401989">
      <w:pPr>
        <w:spacing w:after="0" w:line="276" w:lineRule="auto"/>
        <w:jc w:val="both"/>
        <w:rPr>
          <w:u w:val="single"/>
        </w:rPr>
      </w:pPr>
    </w:p>
    <w:p w14:paraId="729EB412" w14:textId="77777777" w:rsidR="00451755" w:rsidRPr="0002523A" w:rsidRDefault="00451755" w:rsidP="00401989">
      <w:pPr>
        <w:spacing w:after="0" w:line="276" w:lineRule="auto"/>
        <w:jc w:val="both"/>
        <w:rPr>
          <w:u w:val="single"/>
        </w:rPr>
      </w:pPr>
      <w:r w:rsidRPr="0002523A">
        <w:rPr>
          <w:u w:val="single"/>
        </w:rPr>
        <w:lastRenderedPageBreak/>
        <w:t>80 მგ ბოლუსური დოზა</w:t>
      </w:r>
    </w:p>
    <w:p w14:paraId="4D6EFFF6" w14:textId="77777777" w:rsidR="00451755" w:rsidRDefault="00451755" w:rsidP="00401989">
      <w:pPr>
        <w:spacing w:after="0" w:line="276" w:lineRule="auto"/>
        <w:jc w:val="both"/>
      </w:pPr>
      <w:r>
        <w:t>გახსნილი ხსნარი უნდა შეიყვანოთ უწყვეტი ინტრავენური ინფუზიის სახით 30 წუთის განმავლობაში.</w:t>
      </w:r>
    </w:p>
    <w:p w14:paraId="365E7016" w14:textId="77777777" w:rsidR="00451755" w:rsidRPr="0002523A" w:rsidRDefault="00451755" w:rsidP="00401989">
      <w:pPr>
        <w:spacing w:after="0" w:line="276" w:lineRule="auto"/>
        <w:jc w:val="both"/>
        <w:rPr>
          <w:u w:val="single"/>
        </w:rPr>
      </w:pPr>
      <w:r w:rsidRPr="0002523A">
        <w:rPr>
          <w:u w:val="single"/>
        </w:rPr>
        <w:t>8 მგ/სთ დოზა</w:t>
      </w:r>
    </w:p>
    <w:p w14:paraId="5FFECF29" w14:textId="77777777" w:rsidR="00451755" w:rsidRDefault="00451755" w:rsidP="00401989">
      <w:pPr>
        <w:spacing w:after="0" w:line="276" w:lineRule="auto"/>
        <w:jc w:val="both"/>
      </w:pPr>
      <w:r>
        <w:t>გახსნილი ხსნარი უნდა შეიყვანოთ უწყვეტი ინტრავენური ინფუზიის სახით 71.5 საათის განმავლობაში (ინფუზიის გამოთვლილი სიჩქარეა 8 მგ/სთ).</w:t>
      </w:r>
    </w:p>
    <w:p w14:paraId="6FA33A34" w14:textId="77777777" w:rsidR="0002523A" w:rsidRDefault="0002523A" w:rsidP="00401989">
      <w:pPr>
        <w:spacing w:after="0" w:line="276" w:lineRule="auto"/>
        <w:jc w:val="both"/>
        <w:rPr>
          <w:b/>
          <w:bCs/>
        </w:rPr>
      </w:pPr>
    </w:p>
    <w:p w14:paraId="4D5E498F" w14:textId="17DF6144" w:rsidR="00451755" w:rsidRPr="0002523A" w:rsidRDefault="00451755" w:rsidP="00401989">
      <w:pPr>
        <w:spacing w:after="0" w:line="276" w:lineRule="auto"/>
        <w:jc w:val="both"/>
        <w:rPr>
          <w:b/>
          <w:bCs/>
        </w:rPr>
      </w:pPr>
      <w:r w:rsidRPr="0002523A">
        <w:rPr>
          <w:b/>
          <w:bCs/>
        </w:rPr>
        <w:t>დამატებითი ინფორმაცია სპეციალური პოპულაციების შესახებ:</w:t>
      </w:r>
    </w:p>
    <w:p w14:paraId="3538E1D8" w14:textId="77777777" w:rsidR="00451755" w:rsidRPr="0002523A" w:rsidRDefault="00451755" w:rsidP="00401989">
      <w:pPr>
        <w:spacing w:after="0" w:line="276" w:lineRule="auto"/>
        <w:jc w:val="both"/>
        <w:rPr>
          <w:b/>
          <w:bCs/>
        </w:rPr>
      </w:pPr>
      <w:r w:rsidRPr="0002523A">
        <w:rPr>
          <w:b/>
          <w:bCs/>
        </w:rPr>
        <w:t>თირკმლის უკმარისობა:</w:t>
      </w:r>
    </w:p>
    <w:p w14:paraId="623CEEB6" w14:textId="77777777" w:rsidR="00451755" w:rsidRDefault="00451755" w:rsidP="00401989">
      <w:pPr>
        <w:spacing w:after="0" w:line="276" w:lineRule="auto"/>
        <w:jc w:val="both"/>
      </w:pPr>
      <w:r>
        <w:t>თირკმლის ფუნქციის დარღვევის მქონე პაციენტებში დოზის კორექცია საჭირო არ არის. თირკმლის მძიმე უკმარისობის მქონე პაციენტებში შეზღუდული გამოცდილების გამო, ასეთი პაციენტების მკურნალობა სიფრთხილით უნდა მოხდეს. (იხილეთ ნაწილი 5.2.)</w:t>
      </w:r>
    </w:p>
    <w:p w14:paraId="7398B778" w14:textId="77777777" w:rsidR="0002523A" w:rsidRDefault="0002523A" w:rsidP="00401989">
      <w:pPr>
        <w:spacing w:after="0" w:line="276" w:lineRule="auto"/>
        <w:jc w:val="both"/>
        <w:rPr>
          <w:b/>
          <w:bCs/>
        </w:rPr>
      </w:pPr>
    </w:p>
    <w:p w14:paraId="569EB4C0" w14:textId="63FCC830" w:rsidR="00451755" w:rsidRPr="0002523A" w:rsidRDefault="00451755" w:rsidP="00401989">
      <w:pPr>
        <w:spacing w:after="0" w:line="276" w:lineRule="auto"/>
        <w:jc w:val="both"/>
        <w:rPr>
          <w:b/>
          <w:bCs/>
        </w:rPr>
      </w:pPr>
      <w:r w:rsidRPr="0002523A">
        <w:rPr>
          <w:b/>
          <w:bCs/>
        </w:rPr>
        <w:t>ღვიძლის უკმარისობა:</w:t>
      </w:r>
    </w:p>
    <w:p w14:paraId="21891486" w14:textId="77777777" w:rsidR="00451755" w:rsidRDefault="00451755" w:rsidP="00401989">
      <w:pPr>
        <w:spacing w:after="0" w:line="276" w:lineRule="auto"/>
        <w:jc w:val="both"/>
      </w:pPr>
      <w:r>
        <w:t>ღვიძლის ფუნქციის დარღვევის მქონე პაციენტებში დოზის კორექცია საჭირო არ არის. ღვიძლის მძიმე უკმარისობის მქონე პაციენტებისთვის ეზომეპრაზოლის მაქსიმალური დღიური დოზა არ უნდა აღემატებოდეს 20 მგ-ს. (იხილეთ ნაწილი 5.2.)</w:t>
      </w:r>
    </w:p>
    <w:p w14:paraId="22E52C4D" w14:textId="1DF71B26" w:rsidR="00451755" w:rsidRDefault="00451755" w:rsidP="00401989">
      <w:pPr>
        <w:spacing w:after="0" w:line="276" w:lineRule="auto"/>
        <w:jc w:val="both"/>
      </w:pPr>
      <w:r>
        <w:t xml:space="preserve">სისხლმდენი წყლულები: დოზის კორექცია არ არის საჭირო ღვიძლის მსუბუქი და საშუალო სიმძიმის უკმარისობის მქონე პაციენტებში. ღვიძლის მძიმე უკმარისობის მქონე პაციენტებისთვის, 80 მგ </w:t>
      </w:r>
      <w:r w:rsidR="00B008E9">
        <w:rPr>
          <w:rFonts w:ascii="Sylfaen" w:hAnsi="Sylfaen" w:cs="Sylfaen"/>
        </w:rPr>
        <w:t>ცენტეპროლი</w:t>
      </w:r>
      <w:r>
        <w:t>ს საწყისი ბოლუსური დოზის ინფუზიისთვის მიღების შემდეგ, შეიძლება შეყვანილ იქნას უწყვეტი ინტრავენური ინფუზია 4 მგ/სთ დოზით 71.5 საათის განმავლობაში (იხ. ნაწილი 5.2).</w:t>
      </w:r>
    </w:p>
    <w:p w14:paraId="1974E4A6" w14:textId="77777777" w:rsidR="0002523A" w:rsidRDefault="0002523A" w:rsidP="00401989">
      <w:pPr>
        <w:spacing w:after="0" w:line="276" w:lineRule="auto"/>
        <w:jc w:val="both"/>
        <w:rPr>
          <w:b/>
          <w:bCs/>
        </w:rPr>
      </w:pPr>
    </w:p>
    <w:p w14:paraId="4CE154B9" w14:textId="44C37539" w:rsidR="00451755" w:rsidRPr="0002523A" w:rsidRDefault="00451755" w:rsidP="00401989">
      <w:pPr>
        <w:spacing w:after="0" w:line="276" w:lineRule="auto"/>
        <w:jc w:val="both"/>
        <w:rPr>
          <w:b/>
          <w:bCs/>
        </w:rPr>
      </w:pPr>
      <w:r w:rsidRPr="0002523A">
        <w:rPr>
          <w:b/>
          <w:bCs/>
        </w:rPr>
        <w:t>პედიატრიული პოპულაცია</w:t>
      </w:r>
    </w:p>
    <w:p w14:paraId="7B7C135F" w14:textId="77777777" w:rsidR="00451755" w:rsidRPr="0002523A" w:rsidRDefault="00451755" w:rsidP="00401989">
      <w:pPr>
        <w:spacing w:after="0" w:line="276" w:lineRule="auto"/>
        <w:jc w:val="both"/>
        <w:rPr>
          <w:b/>
          <w:bCs/>
        </w:rPr>
      </w:pPr>
      <w:r w:rsidRPr="0002523A">
        <w:rPr>
          <w:b/>
          <w:bCs/>
        </w:rPr>
        <w:t>დოზირება/სიხშირე და მიღების ხანგრძლივობა:</w:t>
      </w:r>
    </w:p>
    <w:p w14:paraId="62001F5E" w14:textId="77777777" w:rsidR="00451755" w:rsidRDefault="00451755" w:rsidP="00401989">
      <w:pPr>
        <w:spacing w:after="0" w:line="276" w:lineRule="auto"/>
        <w:jc w:val="both"/>
      </w:pPr>
      <w:r>
        <w:t>1-18 წლის ბავშვები და მოზარდები</w:t>
      </w:r>
    </w:p>
    <w:p w14:paraId="39C03CBB" w14:textId="77777777" w:rsidR="00451755" w:rsidRPr="0002523A" w:rsidRDefault="00451755" w:rsidP="00401989">
      <w:pPr>
        <w:spacing w:after="0" w:line="276" w:lineRule="auto"/>
        <w:jc w:val="both"/>
        <w:rPr>
          <w:i/>
          <w:iCs/>
        </w:rPr>
      </w:pPr>
      <w:r w:rsidRPr="0002523A">
        <w:rPr>
          <w:i/>
          <w:iCs/>
        </w:rPr>
        <w:t>კუჭის ანტისეკრეტორული მკურნალობის დროს, როდესაც პერორალური მიღების გზა შეუძლებელია</w:t>
      </w:r>
    </w:p>
    <w:p w14:paraId="1EE694C6" w14:textId="77777777" w:rsidR="00451755" w:rsidRDefault="00451755" w:rsidP="00401989">
      <w:pPr>
        <w:spacing w:after="0" w:line="276" w:lineRule="auto"/>
        <w:jc w:val="both"/>
      </w:pPr>
      <w:r>
        <w:t>პაციენტებს, რომლებსაც არ შეუძლიათ პერორალური მედიკამენტების მიღება, შეიძლება უმკურნალონ პარენტერალურად დღეში ერთხელ, გასტროეზოფაგური რეფლუქსური დაავადების სრული მკურნალობის პერიოდის ნაწილად (დოზები იხილეთ ქვემოთ მოცემულ ცხრილში).</w:t>
      </w:r>
    </w:p>
    <w:p w14:paraId="0EE6244F" w14:textId="77777777" w:rsidR="00451755" w:rsidRDefault="00451755" w:rsidP="00401989">
      <w:pPr>
        <w:spacing w:after="0" w:line="276" w:lineRule="auto"/>
        <w:jc w:val="both"/>
      </w:pPr>
      <w:r>
        <w:t>როგორც წესი, ინტრავენური მკურნალობის ხანგრძლივობა ხანმოკლეა და პერორალურ მკურნალობაზე გადასვლა რაც შეიძლება მალე უნდა მოხდეს.</w:t>
      </w:r>
    </w:p>
    <w:p w14:paraId="2F823111" w14:textId="37B731AA" w:rsidR="0002523A" w:rsidRPr="0002523A" w:rsidRDefault="00451755" w:rsidP="00401989">
      <w:pPr>
        <w:spacing w:after="0" w:line="276" w:lineRule="auto"/>
        <w:jc w:val="both"/>
        <w:rPr>
          <w:b/>
          <w:bCs/>
        </w:rPr>
      </w:pPr>
      <w:r w:rsidRPr="0002523A">
        <w:rPr>
          <w:b/>
          <w:bCs/>
        </w:rPr>
        <w:t>ეზომეპრაზოლის რეკომენდებული ინტრავენური დოზები</w:t>
      </w:r>
    </w:p>
    <w:p w14:paraId="2F915BC5" w14:textId="77777777" w:rsidR="0002523A" w:rsidRDefault="0002523A" w:rsidP="00401989">
      <w:pPr>
        <w:spacing w:after="0" w:line="276" w:lineRule="auto"/>
        <w:jc w:val="both"/>
      </w:pPr>
    </w:p>
    <w:tbl>
      <w:tblPr>
        <w:tblStyle w:val="TableGrid"/>
        <w:tblW w:w="0" w:type="auto"/>
        <w:tblLook w:val="04A0" w:firstRow="1" w:lastRow="0" w:firstColumn="1" w:lastColumn="0" w:noHBand="0" w:noVBand="1"/>
      </w:tblPr>
      <w:tblGrid>
        <w:gridCol w:w="3005"/>
        <w:gridCol w:w="3005"/>
        <w:gridCol w:w="3006"/>
      </w:tblGrid>
      <w:tr w:rsidR="0002523A" w14:paraId="6BB1CC93" w14:textId="77777777" w:rsidTr="0002523A">
        <w:tc>
          <w:tcPr>
            <w:tcW w:w="3005" w:type="dxa"/>
          </w:tcPr>
          <w:p w14:paraId="41EBEBAE" w14:textId="77777777" w:rsidR="0002523A" w:rsidRDefault="0002523A" w:rsidP="00401989">
            <w:pPr>
              <w:spacing w:line="276" w:lineRule="auto"/>
              <w:jc w:val="both"/>
            </w:pPr>
            <w:r>
              <w:t>ასაკობრივი ჯგუფი</w:t>
            </w:r>
          </w:p>
          <w:p w14:paraId="5ECDE6A3" w14:textId="77777777" w:rsidR="0002523A" w:rsidRDefault="0002523A" w:rsidP="00401989">
            <w:pPr>
              <w:spacing w:line="276" w:lineRule="auto"/>
              <w:jc w:val="both"/>
            </w:pPr>
          </w:p>
        </w:tc>
        <w:tc>
          <w:tcPr>
            <w:tcW w:w="3005" w:type="dxa"/>
          </w:tcPr>
          <w:p w14:paraId="17316946" w14:textId="573195C4" w:rsidR="0002523A" w:rsidRPr="0002523A" w:rsidRDefault="0002523A" w:rsidP="00401989">
            <w:pPr>
              <w:spacing w:line="276" w:lineRule="auto"/>
              <w:jc w:val="both"/>
              <w:rPr>
                <w:rFonts w:ascii="Sylfaen" w:hAnsi="Sylfaen"/>
              </w:rPr>
            </w:pPr>
            <w:r>
              <w:t>ეროზიული რეფლუქს ეზოფაგიტი</w:t>
            </w:r>
            <w:r>
              <w:rPr>
                <w:rFonts w:ascii="Sylfaen" w:hAnsi="Sylfaen"/>
              </w:rPr>
              <w:t>ს</w:t>
            </w:r>
          </w:p>
          <w:p w14:paraId="4AE024AC" w14:textId="5DA0675D" w:rsidR="0002523A" w:rsidRDefault="0002523A" w:rsidP="00401989">
            <w:pPr>
              <w:spacing w:line="276" w:lineRule="auto"/>
              <w:jc w:val="both"/>
            </w:pPr>
            <w:r>
              <w:t>მკურნალობა</w:t>
            </w:r>
          </w:p>
          <w:p w14:paraId="1C15E038" w14:textId="77777777" w:rsidR="0002523A" w:rsidRDefault="0002523A" w:rsidP="00401989">
            <w:pPr>
              <w:spacing w:line="276" w:lineRule="auto"/>
              <w:jc w:val="both"/>
            </w:pPr>
          </w:p>
        </w:tc>
        <w:tc>
          <w:tcPr>
            <w:tcW w:w="3006" w:type="dxa"/>
          </w:tcPr>
          <w:p w14:paraId="1AEAC813" w14:textId="77777777" w:rsidR="0002523A" w:rsidRDefault="0002523A" w:rsidP="00401989">
            <w:pPr>
              <w:spacing w:line="276" w:lineRule="auto"/>
              <w:jc w:val="both"/>
            </w:pPr>
            <w:r>
              <w:t>სიმპტომური</w:t>
            </w:r>
          </w:p>
          <w:p w14:paraId="3C0A3175" w14:textId="77777777" w:rsidR="0002523A" w:rsidRDefault="0002523A" w:rsidP="00401989">
            <w:pPr>
              <w:spacing w:line="276" w:lineRule="auto"/>
              <w:jc w:val="both"/>
            </w:pPr>
            <w:r>
              <w:t>გასტროეზოფაგური რეფლუქსური დაავადების მკურნალობა</w:t>
            </w:r>
          </w:p>
          <w:p w14:paraId="0E47987E" w14:textId="77777777" w:rsidR="0002523A" w:rsidRDefault="0002523A" w:rsidP="00401989">
            <w:pPr>
              <w:spacing w:line="276" w:lineRule="auto"/>
              <w:jc w:val="both"/>
            </w:pPr>
          </w:p>
        </w:tc>
      </w:tr>
      <w:tr w:rsidR="0002523A" w14:paraId="10B07785" w14:textId="77777777" w:rsidTr="0002523A">
        <w:tc>
          <w:tcPr>
            <w:tcW w:w="3005" w:type="dxa"/>
          </w:tcPr>
          <w:p w14:paraId="495C278A" w14:textId="77777777" w:rsidR="0002523A" w:rsidRDefault="0002523A" w:rsidP="00401989">
            <w:pPr>
              <w:spacing w:line="276" w:lineRule="auto"/>
              <w:jc w:val="both"/>
            </w:pPr>
            <w:r>
              <w:lastRenderedPageBreak/>
              <w:t>1-11 წელი</w:t>
            </w:r>
          </w:p>
          <w:p w14:paraId="1F020317" w14:textId="77777777" w:rsidR="0002523A" w:rsidRDefault="0002523A" w:rsidP="00401989">
            <w:pPr>
              <w:spacing w:line="276" w:lineRule="auto"/>
              <w:jc w:val="both"/>
            </w:pPr>
          </w:p>
        </w:tc>
        <w:tc>
          <w:tcPr>
            <w:tcW w:w="3005" w:type="dxa"/>
          </w:tcPr>
          <w:p w14:paraId="73686976" w14:textId="77777777" w:rsidR="0002523A" w:rsidRDefault="0002523A" w:rsidP="00401989">
            <w:pPr>
              <w:spacing w:line="276" w:lineRule="auto"/>
              <w:jc w:val="both"/>
            </w:pPr>
            <w:r>
              <w:t>წონა &lt;20 კგ: 10 მგ დღეში ერთხელ; წონა 20 კგ: 10 მგ ან 20 მგ</w:t>
            </w:r>
          </w:p>
          <w:p w14:paraId="07A2CFA7" w14:textId="77777777" w:rsidR="0002523A" w:rsidRDefault="0002523A" w:rsidP="00401989">
            <w:pPr>
              <w:spacing w:line="276" w:lineRule="auto"/>
              <w:jc w:val="both"/>
            </w:pPr>
            <w:r>
              <w:t>დღეში ერთხელ</w:t>
            </w:r>
          </w:p>
          <w:p w14:paraId="2B3D3B2F" w14:textId="77777777" w:rsidR="0002523A" w:rsidRDefault="0002523A" w:rsidP="00401989">
            <w:pPr>
              <w:spacing w:line="276" w:lineRule="auto"/>
              <w:jc w:val="both"/>
            </w:pPr>
          </w:p>
        </w:tc>
        <w:tc>
          <w:tcPr>
            <w:tcW w:w="3006" w:type="dxa"/>
          </w:tcPr>
          <w:p w14:paraId="76FA6017" w14:textId="77777777" w:rsidR="0002523A" w:rsidRDefault="0002523A" w:rsidP="00401989">
            <w:pPr>
              <w:spacing w:line="276" w:lineRule="auto"/>
              <w:jc w:val="both"/>
            </w:pPr>
            <w:r>
              <w:t>10 მგ დღეში ერთხელ</w:t>
            </w:r>
          </w:p>
          <w:p w14:paraId="67144BE5" w14:textId="77777777" w:rsidR="0002523A" w:rsidRDefault="0002523A" w:rsidP="00401989">
            <w:pPr>
              <w:spacing w:line="276" w:lineRule="auto"/>
              <w:jc w:val="both"/>
            </w:pPr>
          </w:p>
        </w:tc>
      </w:tr>
      <w:tr w:rsidR="0002523A" w14:paraId="691B85A5" w14:textId="77777777" w:rsidTr="0002523A">
        <w:tc>
          <w:tcPr>
            <w:tcW w:w="3005" w:type="dxa"/>
          </w:tcPr>
          <w:p w14:paraId="28F59C5C" w14:textId="77777777" w:rsidR="0002523A" w:rsidRDefault="0002523A" w:rsidP="00401989">
            <w:pPr>
              <w:spacing w:line="276" w:lineRule="auto"/>
              <w:jc w:val="both"/>
            </w:pPr>
            <w:r>
              <w:t>12-18 წელი</w:t>
            </w:r>
          </w:p>
          <w:p w14:paraId="5CE5EF4C" w14:textId="77777777" w:rsidR="0002523A" w:rsidRDefault="0002523A" w:rsidP="00401989">
            <w:pPr>
              <w:spacing w:line="276" w:lineRule="auto"/>
              <w:jc w:val="both"/>
            </w:pPr>
          </w:p>
        </w:tc>
        <w:tc>
          <w:tcPr>
            <w:tcW w:w="3005" w:type="dxa"/>
          </w:tcPr>
          <w:p w14:paraId="262499E1" w14:textId="77777777" w:rsidR="0002523A" w:rsidRDefault="0002523A" w:rsidP="00401989">
            <w:pPr>
              <w:spacing w:line="276" w:lineRule="auto"/>
              <w:jc w:val="both"/>
            </w:pPr>
            <w:r>
              <w:t>40 მგ დღეში ერთხელ</w:t>
            </w:r>
          </w:p>
          <w:p w14:paraId="7C1A2979" w14:textId="77777777" w:rsidR="0002523A" w:rsidRDefault="0002523A" w:rsidP="00401989">
            <w:pPr>
              <w:spacing w:line="276" w:lineRule="auto"/>
              <w:jc w:val="both"/>
            </w:pPr>
          </w:p>
        </w:tc>
        <w:tc>
          <w:tcPr>
            <w:tcW w:w="3006" w:type="dxa"/>
          </w:tcPr>
          <w:p w14:paraId="39366A7E" w14:textId="77777777" w:rsidR="0002523A" w:rsidRDefault="0002523A" w:rsidP="00401989">
            <w:pPr>
              <w:spacing w:line="276" w:lineRule="auto"/>
              <w:jc w:val="both"/>
            </w:pPr>
            <w:r>
              <w:t>20 მგ დღეში ერთხელ</w:t>
            </w:r>
          </w:p>
          <w:p w14:paraId="12B5F242" w14:textId="77777777" w:rsidR="0002523A" w:rsidRDefault="0002523A" w:rsidP="00401989">
            <w:pPr>
              <w:spacing w:line="276" w:lineRule="auto"/>
              <w:jc w:val="both"/>
            </w:pPr>
          </w:p>
        </w:tc>
      </w:tr>
    </w:tbl>
    <w:p w14:paraId="5AED4758" w14:textId="77A03465" w:rsidR="00451755" w:rsidRDefault="00451755" w:rsidP="00401989">
      <w:pPr>
        <w:spacing w:after="0" w:line="276" w:lineRule="auto"/>
        <w:jc w:val="both"/>
      </w:pPr>
    </w:p>
    <w:p w14:paraId="5BD6CF30" w14:textId="77777777" w:rsidR="00451755" w:rsidRPr="0002523A" w:rsidRDefault="00451755" w:rsidP="00401989">
      <w:pPr>
        <w:spacing w:after="0" w:line="276" w:lineRule="auto"/>
        <w:jc w:val="both"/>
        <w:rPr>
          <w:b/>
          <w:bCs/>
        </w:rPr>
      </w:pPr>
      <w:r w:rsidRPr="0002523A">
        <w:rPr>
          <w:b/>
          <w:bCs/>
        </w:rPr>
        <w:t>მიღების მეთოდი</w:t>
      </w:r>
    </w:p>
    <w:p w14:paraId="5AD74492" w14:textId="77777777" w:rsidR="00451755" w:rsidRDefault="00451755" w:rsidP="00401989">
      <w:pPr>
        <w:spacing w:after="0" w:line="276" w:lineRule="auto"/>
        <w:jc w:val="both"/>
      </w:pPr>
      <w:r>
        <w:t>გახსნილი ხსნარის მოსამზადებლად იხილეთ 6.6 პუნქტი.</w:t>
      </w:r>
    </w:p>
    <w:p w14:paraId="0F6E709B" w14:textId="77777777" w:rsidR="00451755" w:rsidRPr="0002523A" w:rsidRDefault="00451755" w:rsidP="00401989">
      <w:pPr>
        <w:spacing w:after="0" w:line="276" w:lineRule="auto"/>
        <w:jc w:val="both"/>
        <w:rPr>
          <w:i/>
          <w:iCs/>
        </w:rPr>
      </w:pPr>
      <w:r w:rsidRPr="0002523A">
        <w:rPr>
          <w:i/>
          <w:iCs/>
        </w:rPr>
        <w:t>ინექცია</w:t>
      </w:r>
    </w:p>
    <w:p w14:paraId="1AE29C70" w14:textId="77777777" w:rsidR="00451755" w:rsidRPr="0002523A" w:rsidRDefault="00451755" w:rsidP="00401989">
      <w:pPr>
        <w:spacing w:after="0" w:line="276" w:lineRule="auto"/>
        <w:jc w:val="both"/>
        <w:rPr>
          <w:u w:val="single"/>
        </w:rPr>
      </w:pPr>
      <w:r w:rsidRPr="0002523A">
        <w:rPr>
          <w:u w:val="single"/>
        </w:rPr>
        <w:t>40 მგ დოზა</w:t>
      </w:r>
    </w:p>
    <w:p w14:paraId="02983C06" w14:textId="77777777" w:rsidR="00451755" w:rsidRDefault="00451755" w:rsidP="00401989">
      <w:pPr>
        <w:spacing w:after="0" w:line="276" w:lineRule="auto"/>
        <w:jc w:val="both"/>
      </w:pPr>
      <w:r>
        <w:t>გახსნილი ხსნარის 5 მლ (8 მგ/მლ) უნდა შეიყვანოთ ინტრავენური ინექციის სახით მინიმუმ 3 წუთის განმავლობაში.</w:t>
      </w:r>
    </w:p>
    <w:p w14:paraId="254362A9" w14:textId="77777777" w:rsidR="00451755" w:rsidRPr="0002523A" w:rsidRDefault="00451755" w:rsidP="00401989">
      <w:pPr>
        <w:spacing w:after="0" w:line="276" w:lineRule="auto"/>
        <w:jc w:val="both"/>
        <w:rPr>
          <w:u w:val="single"/>
        </w:rPr>
      </w:pPr>
      <w:r w:rsidRPr="0002523A">
        <w:rPr>
          <w:u w:val="single"/>
        </w:rPr>
        <w:t>20 მგ დოზა</w:t>
      </w:r>
    </w:p>
    <w:p w14:paraId="252CB4E1" w14:textId="77777777" w:rsidR="00451755" w:rsidRDefault="00451755" w:rsidP="00401989">
      <w:pPr>
        <w:spacing w:after="0" w:line="276" w:lineRule="auto"/>
        <w:jc w:val="both"/>
      </w:pPr>
      <w:r>
        <w:t>20 მგ დოზის მიღებისას, 2.5 მლ ან გახსნილი ხსნარის ნახევარი (8 მგ/მლ) უნდა გაკეთდეს ინტრავენური ინექციის სახით მინიმუმ 3 წუთის განმავლობაში. გამოუყენებელი ხსნარი უნდა გადაიღვაროს.</w:t>
      </w:r>
    </w:p>
    <w:p w14:paraId="3F23F128" w14:textId="77777777" w:rsidR="00451755" w:rsidRPr="0002523A" w:rsidRDefault="00451755" w:rsidP="00401989">
      <w:pPr>
        <w:spacing w:after="0" w:line="276" w:lineRule="auto"/>
        <w:jc w:val="both"/>
        <w:rPr>
          <w:u w:val="single"/>
        </w:rPr>
      </w:pPr>
      <w:r w:rsidRPr="0002523A">
        <w:rPr>
          <w:u w:val="single"/>
        </w:rPr>
        <w:t>10 მგ დოზა</w:t>
      </w:r>
    </w:p>
    <w:p w14:paraId="60E76811" w14:textId="77777777" w:rsidR="00451755" w:rsidRDefault="00451755" w:rsidP="00401989">
      <w:pPr>
        <w:spacing w:after="0" w:line="276" w:lineRule="auto"/>
        <w:jc w:val="both"/>
      </w:pPr>
      <w:r>
        <w:t>გახსნილი ხსნარის 1.25 მლ (8 მგ/მლ) უნდა შეიყვანოთ ინტრავენური ინექციის სახით მინიმუმ 3 წუთის განმავლობაში. გამოუყენებელი ხსნარი უნდა გადაიღვაროს.</w:t>
      </w:r>
    </w:p>
    <w:p w14:paraId="28903A88" w14:textId="77777777" w:rsidR="00451755" w:rsidRPr="0002523A" w:rsidRDefault="00451755" w:rsidP="00401989">
      <w:pPr>
        <w:spacing w:after="0" w:line="276" w:lineRule="auto"/>
        <w:jc w:val="both"/>
        <w:rPr>
          <w:i/>
          <w:iCs/>
        </w:rPr>
      </w:pPr>
      <w:r w:rsidRPr="0002523A">
        <w:rPr>
          <w:i/>
          <w:iCs/>
        </w:rPr>
        <w:t>ინფუზია</w:t>
      </w:r>
    </w:p>
    <w:p w14:paraId="40222B87" w14:textId="77777777" w:rsidR="00451755" w:rsidRPr="0002523A" w:rsidRDefault="00451755" w:rsidP="00401989">
      <w:pPr>
        <w:spacing w:after="0" w:line="276" w:lineRule="auto"/>
        <w:jc w:val="both"/>
        <w:rPr>
          <w:u w:val="single"/>
        </w:rPr>
      </w:pPr>
      <w:r w:rsidRPr="0002523A">
        <w:rPr>
          <w:u w:val="single"/>
        </w:rPr>
        <w:t>40 მგ დოზა</w:t>
      </w:r>
    </w:p>
    <w:p w14:paraId="79ECB5C1" w14:textId="77777777" w:rsidR="00451755" w:rsidRDefault="00451755" w:rsidP="00401989">
      <w:pPr>
        <w:spacing w:after="0" w:line="276" w:lineRule="auto"/>
        <w:jc w:val="both"/>
      </w:pPr>
      <w:r>
        <w:t>გახსნილი ხსნარი უნდა შეიყვანოთ ინტრავენური ინფუზიის სახით 10-დან 30 წუთის განმავლობაში.</w:t>
      </w:r>
    </w:p>
    <w:p w14:paraId="0905938B" w14:textId="77777777" w:rsidR="00451755" w:rsidRPr="0002523A" w:rsidRDefault="00451755" w:rsidP="00401989">
      <w:pPr>
        <w:spacing w:after="0" w:line="276" w:lineRule="auto"/>
        <w:jc w:val="both"/>
        <w:rPr>
          <w:u w:val="single"/>
        </w:rPr>
      </w:pPr>
      <w:r w:rsidRPr="0002523A">
        <w:rPr>
          <w:u w:val="single"/>
        </w:rPr>
        <w:t>20 მგ დოზა</w:t>
      </w:r>
    </w:p>
    <w:p w14:paraId="35F9FAA9" w14:textId="77777777" w:rsidR="00451755" w:rsidRDefault="00451755" w:rsidP="00401989">
      <w:pPr>
        <w:spacing w:after="0" w:line="276" w:lineRule="auto"/>
        <w:jc w:val="both"/>
      </w:pPr>
      <w:r>
        <w:t>გახსნილი ხსნარის ნახევარი უნდა შეიყვანოთ ინტრავენური ინფუზიის სახით 10-დან 30 წუთის განმავლობაში. გამოუყენებელი ხსნარი უნდა გადაიღვაროს.</w:t>
      </w:r>
    </w:p>
    <w:p w14:paraId="521203F4" w14:textId="77777777" w:rsidR="00451755" w:rsidRPr="0002523A" w:rsidRDefault="00451755" w:rsidP="00401989">
      <w:pPr>
        <w:spacing w:after="0" w:line="276" w:lineRule="auto"/>
        <w:jc w:val="both"/>
        <w:rPr>
          <w:u w:val="single"/>
        </w:rPr>
      </w:pPr>
      <w:r w:rsidRPr="0002523A">
        <w:rPr>
          <w:u w:val="single"/>
        </w:rPr>
        <w:t>10 მგ დოზა</w:t>
      </w:r>
    </w:p>
    <w:p w14:paraId="182E8A53" w14:textId="77777777" w:rsidR="00451755" w:rsidRDefault="00451755" w:rsidP="00401989">
      <w:pPr>
        <w:spacing w:after="0" w:line="276" w:lineRule="auto"/>
        <w:jc w:val="both"/>
      </w:pPr>
      <w:r>
        <w:t>გახსნილი ხსნარის მეოთხედი უნდა შეიყვანოთ ინტრავენური ინფუზიის სახით 10-დან 30 წუთის განმავლობაში. გამოუყენებელი ხსნარი უნდა გადაიღვაროს.</w:t>
      </w:r>
    </w:p>
    <w:p w14:paraId="1D6FF5AB" w14:textId="77777777" w:rsidR="0002523A" w:rsidRDefault="0002523A" w:rsidP="00401989">
      <w:pPr>
        <w:spacing w:after="0" w:line="276" w:lineRule="auto"/>
        <w:jc w:val="both"/>
        <w:rPr>
          <w:b/>
          <w:bCs/>
        </w:rPr>
      </w:pPr>
    </w:p>
    <w:p w14:paraId="4C7D4E18" w14:textId="5806F19D" w:rsidR="00451755" w:rsidRPr="0002523A" w:rsidRDefault="00451755" w:rsidP="00401989">
      <w:pPr>
        <w:spacing w:after="0" w:line="276" w:lineRule="auto"/>
        <w:jc w:val="both"/>
        <w:rPr>
          <w:b/>
          <w:bCs/>
        </w:rPr>
      </w:pPr>
      <w:r w:rsidRPr="0002523A">
        <w:rPr>
          <w:b/>
          <w:bCs/>
        </w:rPr>
        <w:t>გერიატრიული მოსახლეობა</w:t>
      </w:r>
    </w:p>
    <w:p w14:paraId="7E29D48B" w14:textId="77777777" w:rsidR="00451755" w:rsidRDefault="00451755" w:rsidP="00401989">
      <w:pPr>
        <w:spacing w:after="0" w:line="276" w:lineRule="auto"/>
        <w:jc w:val="both"/>
      </w:pPr>
      <w:r>
        <w:t>ხანდაზმულებში დოზის კორექცია საჭირო არ არის.</w:t>
      </w:r>
    </w:p>
    <w:p w14:paraId="3C0FB661" w14:textId="77777777" w:rsidR="0002523A" w:rsidRPr="0002523A" w:rsidRDefault="0002523A" w:rsidP="00401989">
      <w:pPr>
        <w:spacing w:after="0" w:line="276" w:lineRule="auto"/>
        <w:jc w:val="both"/>
        <w:rPr>
          <w:b/>
          <w:bCs/>
        </w:rPr>
      </w:pPr>
    </w:p>
    <w:p w14:paraId="25CBD2EE" w14:textId="6B306E98" w:rsidR="00451755" w:rsidRPr="0002523A" w:rsidRDefault="00451755" w:rsidP="00401989">
      <w:pPr>
        <w:spacing w:after="0" w:line="276" w:lineRule="auto"/>
        <w:jc w:val="both"/>
        <w:rPr>
          <w:b/>
          <w:bCs/>
        </w:rPr>
      </w:pPr>
      <w:r w:rsidRPr="0002523A">
        <w:rPr>
          <w:b/>
          <w:bCs/>
        </w:rPr>
        <w:t>4.3. უკუჩვენებები</w:t>
      </w:r>
    </w:p>
    <w:p w14:paraId="1767C6CF" w14:textId="77777777" w:rsidR="00451755" w:rsidRDefault="00451755" w:rsidP="00401989">
      <w:pPr>
        <w:spacing w:after="0" w:line="276" w:lineRule="auto"/>
        <w:jc w:val="both"/>
      </w:pPr>
      <w:r>
        <w:t>ის არ უნდა იქნას გამოყენებული პაციენტებში, რომლებსაც აქვთ ჰიპერმგრძნობელობა აქტიური ნივთიერების ეზომეპრაზოლის ან სხვა ჩანაცვლებული ბენზიმიდაზოლების ან ფორმულის რომელიმე დამხმარე ნივთიერების მიმართ.</w:t>
      </w:r>
    </w:p>
    <w:p w14:paraId="0342BE95" w14:textId="77777777" w:rsidR="00451755" w:rsidRDefault="00451755" w:rsidP="00401989">
      <w:pPr>
        <w:spacing w:after="0" w:line="276" w:lineRule="auto"/>
        <w:jc w:val="both"/>
      </w:pPr>
      <w:r>
        <w:t>ეზომეპრაზოლი არ უნდა იქნას გამოყენებული ისეთ პრეპარატებთან ერთად, როგორიცაა ატაზანავირი და ნელფინავირი (იხილეთ ნაწილი 4.5).</w:t>
      </w:r>
    </w:p>
    <w:p w14:paraId="4DCF0A77" w14:textId="77777777" w:rsidR="00AF713A" w:rsidRDefault="00AF713A" w:rsidP="00401989">
      <w:pPr>
        <w:spacing w:after="0" w:line="276" w:lineRule="auto"/>
        <w:jc w:val="both"/>
        <w:rPr>
          <w:b/>
          <w:bCs/>
        </w:rPr>
      </w:pPr>
    </w:p>
    <w:p w14:paraId="32960344" w14:textId="14FD205B" w:rsidR="00451755" w:rsidRPr="00AF713A" w:rsidRDefault="00451755" w:rsidP="00401989">
      <w:pPr>
        <w:spacing w:after="0" w:line="276" w:lineRule="auto"/>
        <w:jc w:val="both"/>
        <w:rPr>
          <w:b/>
          <w:bCs/>
        </w:rPr>
      </w:pPr>
      <w:r w:rsidRPr="00AF713A">
        <w:rPr>
          <w:b/>
          <w:bCs/>
        </w:rPr>
        <w:lastRenderedPageBreak/>
        <w:t>4.4. გამოყენებისას განსაკუთრებული გაფრთხილებები და უსაფრთხოების ზომები</w:t>
      </w:r>
    </w:p>
    <w:p w14:paraId="400816D4" w14:textId="489A6A1A" w:rsidR="00451755" w:rsidRDefault="00451755" w:rsidP="00401989">
      <w:pPr>
        <w:spacing w:after="0" w:line="276" w:lineRule="auto"/>
        <w:jc w:val="both"/>
      </w:pPr>
      <w:r>
        <w:t xml:space="preserve">ნებისმიერი საგანგაშო სიმპტომის (მაგ., უნებლიე წონის მნიშვნელოვანი კლება, მორეციდივე ღებინება, დისფაგია, სისხლიანი ღებინება ან მელენა) და კუჭის წყლულის ეჭვის ან არსებობის შემთხვევაში, უნდა გამოირიცხოს ავთვისებიანი სიმსივნე, რადგან </w:t>
      </w:r>
      <w:r w:rsidR="00B008E9">
        <w:rPr>
          <w:rFonts w:ascii="Sylfaen" w:hAnsi="Sylfaen" w:cs="Sylfaen"/>
        </w:rPr>
        <w:t>ცენტეპროლი</w:t>
      </w:r>
      <w:r>
        <w:t>თ მკურნალობამ შეიძლება შეამსუბუქოს სიმპტომები და გადადოს დიაგნოზი.</w:t>
      </w:r>
    </w:p>
    <w:p w14:paraId="1160ACAB" w14:textId="77777777" w:rsidR="00451755" w:rsidRDefault="00451755" w:rsidP="00401989">
      <w:pPr>
        <w:spacing w:after="0" w:line="276" w:lineRule="auto"/>
        <w:jc w:val="both"/>
      </w:pPr>
      <w:r>
        <w:t>პროტონული ტუმბოს ინჰიბიტორებით მკურნალობამ შეიძლება გამოიწვიოს კუჭ-ნაწლავის ინფექციების, როგორიცაა სალმონელა და კამპილობაქტერი, განვითარების რისკის უმნიშვნელო ზრდა (იხ. ნაწილი 5.1).</w:t>
      </w:r>
    </w:p>
    <w:p w14:paraId="44CCD3F1" w14:textId="1AD1550B" w:rsidR="00451755" w:rsidRDefault="00451755" w:rsidP="00401989">
      <w:pPr>
        <w:spacing w:after="0" w:line="276" w:lineRule="auto"/>
        <w:jc w:val="both"/>
      </w:pPr>
    </w:p>
    <w:p w14:paraId="00EBAAC2" w14:textId="77777777" w:rsidR="00451755" w:rsidRDefault="00451755" w:rsidP="00401989">
      <w:pPr>
        <w:spacing w:after="0" w:line="276" w:lineRule="auto"/>
        <w:jc w:val="both"/>
      </w:pPr>
      <w:r>
        <w:t>ეზომეპრაზოლის ატაზანავირთან ერთად მიღება რეკომენდებული არ არის (იხ. ნაწილი 4.5). თუ ატაზანავირის პროტონული ტუმბოს ინჰიბიტორთან კომბინაცია გარდაუვლად ითვლება, რეკომენდებულია მჭიდრო კლინიკური მონიტორინგი ატაზანავირის დოზის 400 მგ-მდე გაზრდასთან ერთად 100 მგ რიტონავირთან ერთად; ეზომეპრაზოლის 20 მგ-ზე მეტი დოზა არ უნდა იქნას მიღებული.</w:t>
      </w:r>
    </w:p>
    <w:p w14:paraId="0499E0F2" w14:textId="77777777" w:rsidR="0001388C" w:rsidRDefault="0001388C" w:rsidP="00401989">
      <w:pPr>
        <w:spacing w:after="0" w:line="276" w:lineRule="auto"/>
        <w:jc w:val="both"/>
      </w:pPr>
    </w:p>
    <w:p w14:paraId="6C027EA9" w14:textId="10D98A43" w:rsidR="00451755" w:rsidRDefault="00451755" w:rsidP="00401989">
      <w:pPr>
        <w:spacing w:after="0" w:line="276" w:lineRule="auto"/>
        <w:jc w:val="both"/>
      </w:pPr>
      <w:r>
        <w:t>ეზომეპრაზოლმა, ისევე როგორც ყველა მჟავა-ბლოკატორმა პრეპარატმა, შეიძლება შეამციროს ვიტამინ B12-ის (ციანოკობალამინის) შეწოვა ჰიპო- ან აქლორჰიდრიის გამო. ეს გასათვალისწინებელია პაციენტებში, რომლებსაც აქვთ ორგანიზმში შემცირებული მარაგი ან ხანგრძლივი თერაპიის დროს ვიტამინ B12-ის შეწოვის შემცირების რისკ-ფაქტორები.</w:t>
      </w:r>
    </w:p>
    <w:p w14:paraId="36C1FD5A" w14:textId="77777777" w:rsidR="00451755" w:rsidRDefault="00451755" w:rsidP="00401989">
      <w:pPr>
        <w:spacing w:after="0" w:line="276" w:lineRule="auto"/>
        <w:jc w:val="both"/>
      </w:pPr>
      <w:r>
        <w:t>ეზომეპრაზოლი არის CYP2C19 ინჰიბიტორი. ეზომეპრაზოლით მკურნალობის დაწყების ან დასრულებისას გასათვალისწინებელია CYP2C19-ის მეშვეობით მეტაბოლიზებულ პრეპარატებთან ურთიერთქმედების პოტენციალი. ურთიერთქმედება შეინიშნება კლოპიდოგრელსა და ომეპრაზოლს შორის (იხ. ნაწილი 4.5). ამ ურთიერთქმედების კლინიკური მნიშვნელობა გაურკვეველია. სიფრთხილის მიზნით, ეზომეპრაზოლისა და კლოპიდოგრელის ერთდროული გამოყენება არ უნდა მოხდეს.</w:t>
      </w:r>
    </w:p>
    <w:p w14:paraId="14F1C956" w14:textId="77777777" w:rsidR="0001388C" w:rsidRDefault="0001388C" w:rsidP="00401989">
      <w:pPr>
        <w:spacing w:after="0" w:line="276" w:lineRule="auto"/>
        <w:jc w:val="both"/>
      </w:pPr>
    </w:p>
    <w:p w14:paraId="4B21308C" w14:textId="1E5744A9" w:rsidR="00451755" w:rsidRPr="0001388C" w:rsidRDefault="00451755" w:rsidP="00401989">
      <w:pPr>
        <w:spacing w:after="0" w:line="276" w:lineRule="auto"/>
        <w:jc w:val="both"/>
        <w:rPr>
          <w:u w:val="single"/>
        </w:rPr>
      </w:pPr>
      <w:r w:rsidRPr="0001388C">
        <w:rPr>
          <w:u w:val="single"/>
        </w:rPr>
        <w:t>ძვლის მოტეხილობები:</w:t>
      </w:r>
    </w:p>
    <w:p w14:paraId="5350564E" w14:textId="77777777" w:rsidR="00451755" w:rsidRDefault="00451755" w:rsidP="00401989">
      <w:pPr>
        <w:spacing w:after="0" w:line="276" w:lineRule="auto"/>
        <w:jc w:val="both"/>
      </w:pPr>
      <w:r>
        <w:t>რამდენიმე გამოქვეყნებული დაკვირვებითი კვლევა მიუთითებს, რომ პროტონული ტუმბოს ინჰიბიტორებით (PPI) თერაპია შეიძლება დაკავშირებული იყოს მენჯ-ბარძაყის, მაჯის ან ხერხემლის ოსტეოპოროზთან დაკავშირებული მოტეხილობების გაზრდილ რისკთან. მოტეხილობის რისკი გაიზარდა იმ პაციენტებში, რომლებმაც მიიღეს მაღალი დოზა, რომელიც განისაზღვრება, როგორც მრავალჯერადი დღიური დოზა, და ხანგრძლივი PPI თერაპია (ერთი წელი ან მეტი). პაციენტებმა უნდა გამოიყენონ PPI თერაპიის ყველაზე დაბალი დოზა და უმოკლესი ხანგრძლივობა, რომელიც შეესაბამება სამკურნალო მდგომარეობას.</w:t>
      </w:r>
    </w:p>
    <w:p w14:paraId="290DBDDD" w14:textId="77777777" w:rsidR="0001388C" w:rsidRDefault="0001388C" w:rsidP="00401989">
      <w:pPr>
        <w:spacing w:after="0" w:line="276" w:lineRule="auto"/>
        <w:jc w:val="both"/>
        <w:rPr>
          <w:u w:val="single"/>
        </w:rPr>
      </w:pPr>
    </w:p>
    <w:p w14:paraId="4C0BDA4F" w14:textId="1AC595BA" w:rsidR="00451755" w:rsidRPr="0001388C" w:rsidRDefault="00451755" w:rsidP="00401989">
      <w:pPr>
        <w:spacing w:after="0" w:line="276" w:lineRule="auto"/>
        <w:jc w:val="both"/>
        <w:rPr>
          <w:u w:val="single"/>
        </w:rPr>
      </w:pPr>
      <w:r w:rsidRPr="0001388C">
        <w:rPr>
          <w:u w:val="single"/>
        </w:rPr>
        <w:t>ჰიპომაგნიემია</w:t>
      </w:r>
    </w:p>
    <w:p w14:paraId="7DC2D8B8" w14:textId="77777777" w:rsidR="00451755" w:rsidRDefault="00451755" w:rsidP="00401989">
      <w:pPr>
        <w:spacing w:after="0" w:line="276" w:lineRule="auto"/>
        <w:jc w:val="both"/>
      </w:pPr>
      <w:r>
        <w:t xml:space="preserve">ჰიპომაგნიემია, სიმპტომური და უსიმპტომო, იშვიათად აღინიშნა პაციენტებში, რომლებიც იღებდნენ პროტონული ტუმბოს ინჰიბიტორებს მინიმუმ სამი თვის განმავლობაში, უმეტეს შემთხვევაში თერაპიის ერთი წლის შემდეგ. სერიოზული გვერდითი მოვლენები მოიცავს ტეტანიას, არითმიებს და კრუნჩხვებს. პაციენტების უმეტესობაში ჰიპომაგნიემიის </w:t>
      </w:r>
      <w:r>
        <w:lastRenderedPageBreak/>
        <w:t>მკურნალობა მოითხოვდა მაგნიუმის ჩანაცვლებას და პროტონული ტუმბოს ინჰიბიტორის შეწყვეტას. პაციენტებისთვის, რომლებიც სავარაუდოდ ხანგრძლივ მკურნალობას მიიღებენ ან რომლებიც იღებენ პროტონული ტუმბოს ინჰიბიტორებს ისეთ მედიკამენტებთან ერთად, როგორიცაა დიგოქსინი ან ჰიპომაგნიემიის გამომწვევი პრეპარატები (მაგ., შარდმდენები), ჯანდაცვის სპეციალისტებმა შეიძლება განიხილონ მაგნიუმის დონის მონიტორინგი პროტონული ტუმბოს ინჰიბიტორით მკურნალობის დაწყებამდე და პერიოდულად.</w:t>
      </w:r>
    </w:p>
    <w:p w14:paraId="7E0C2A65" w14:textId="77777777" w:rsidR="0001388C" w:rsidRDefault="0001388C" w:rsidP="00401989">
      <w:pPr>
        <w:spacing w:after="0" w:line="276" w:lineRule="auto"/>
        <w:jc w:val="both"/>
        <w:rPr>
          <w:u w:val="single"/>
        </w:rPr>
      </w:pPr>
    </w:p>
    <w:p w14:paraId="37010ABF" w14:textId="2E7FF5F9" w:rsidR="00451755" w:rsidRPr="0001388C" w:rsidRDefault="00451755" w:rsidP="00401989">
      <w:pPr>
        <w:spacing w:after="0" w:line="276" w:lineRule="auto"/>
        <w:jc w:val="both"/>
        <w:rPr>
          <w:u w:val="single"/>
        </w:rPr>
      </w:pPr>
      <w:r w:rsidRPr="0001388C">
        <w:rPr>
          <w:u w:val="single"/>
        </w:rPr>
        <w:t>სიმსივნეების დიაგნოსტიკურ კვლევებთან ურთიერთქმედება</w:t>
      </w:r>
    </w:p>
    <w:p w14:paraId="3E061DA0" w14:textId="77777777" w:rsidR="00451755" w:rsidRDefault="00451755" w:rsidP="00401989">
      <w:pPr>
        <w:spacing w:after="0" w:line="276" w:lineRule="auto"/>
        <w:jc w:val="both"/>
      </w:pPr>
      <w:r>
        <w:t>შრატის ქრომოგრანინ A-ს ( CgA ) დონე იზრდება წამლით გამოწვეული კუჭის მჟავიანობის შემცირების შედეგად. CgA-ს მომატებულმა დონემ შეიძლება გამოიწვიოს ცრუ დადებითი შედეგები ნეიროენდოკრინული სიმსივნეების დიაგნოსტიკურ კვლევებში . ექიმებმა დროებით უნდა შეწყვიტონ პროტონული ტუმბოს ინჰიბიტორების (PPI) მიღება მინიმუმ 5 დღით ადრე, CgA-ს დონის შეფასებამდე და განიხილონ ტესტის გამეორება, თუ საწყისი CgA დონე მაღალია. თუ ტარდება სერიული ტესტები (მაგ. მონიტორინგისთვის), ტესტირებისთვის უნდა იქნას გამოყენებული იგივე კომერციული ლაბორატორია, რადგან ტესტებს შორის საცნობარო დიაპაზონები შეიძლება განსხვავდებოდეს.</w:t>
      </w:r>
    </w:p>
    <w:p w14:paraId="0BAB4D9B" w14:textId="77777777" w:rsidR="00451755" w:rsidRDefault="00451755" w:rsidP="00401989">
      <w:pPr>
        <w:spacing w:after="0" w:line="276" w:lineRule="auto"/>
        <w:jc w:val="both"/>
      </w:pPr>
      <w:r>
        <w:t>ჯანმრთელ მოხალისეებზე ჩატარებულ კვლევებში დაფიქსირდა ფარმაკოკინეტიკური/ფარმაკოდინამიკური ურთიერთქმედება კლოპიდოგრელს (300 მგ დატვირთვის დოზა/75 მგ დღიური შემანარჩუნებელი დოზა) და ეზომეპრაზოლს (40 მგ პერორალურად დღიურად) შორის. შესაბამისად, კლოპიდოგრელის აქტიური მეტაბოლიტის ექსპოზიცია საშუალოდ 40%-ით შემცირდა და (მათ შორის ადფ-ის) მაქსიმალური ინჰიბირება...</w:t>
      </w:r>
    </w:p>
    <w:p w14:paraId="45CCFBEA" w14:textId="0F399118" w:rsidR="00451755" w:rsidRDefault="00451755" w:rsidP="00401989">
      <w:pPr>
        <w:spacing w:after="0" w:line="276" w:lineRule="auto"/>
        <w:jc w:val="both"/>
      </w:pPr>
    </w:p>
    <w:p w14:paraId="63E91A38" w14:textId="77777777" w:rsidR="00451755" w:rsidRDefault="00451755" w:rsidP="00401989">
      <w:pPr>
        <w:spacing w:after="0" w:line="276" w:lineRule="auto"/>
        <w:jc w:val="both"/>
      </w:pPr>
      <w:r>
        <w:t>თრომბოციტების აგრეგაცია საშუალოდ 14%-ით შემცირდა. ამ მონაცემების საფუძველზე, თავიდან უნდა იქნას აცილებული კლოპიდოგრელისა და ეზომეპრაზოლის ერთდროული გამოყენება (იხ. 4.5).</w:t>
      </w:r>
    </w:p>
    <w:p w14:paraId="009FCADD" w14:textId="03B02313" w:rsidR="00451755" w:rsidRDefault="00B008E9" w:rsidP="00401989">
      <w:pPr>
        <w:spacing w:after="0" w:line="276" w:lineRule="auto"/>
        <w:jc w:val="both"/>
      </w:pPr>
      <w:r>
        <w:rPr>
          <w:rFonts w:ascii="Sylfaen" w:hAnsi="Sylfaen" w:cs="Sylfaen"/>
        </w:rPr>
        <w:t>ცენტეპროლი</w:t>
      </w:r>
      <w:r w:rsidR="00451755">
        <w:t xml:space="preserve"> შეიცავს 1 მმოლ-ზე ნაკლებ ნატრიუმს (23 მგ) დოზაზე. ამ დოზით ნატრიუმის გამო გვერდითი მოვლენები მოსალოდნელი არ არის.</w:t>
      </w:r>
    </w:p>
    <w:p w14:paraId="0D361EB6" w14:textId="77777777" w:rsidR="00451755" w:rsidRPr="0001388C" w:rsidRDefault="00451755" w:rsidP="00401989">
      <w:pPr>
        <w:spacing w:after="0" w:line="276" w:lineRule="auto"/>
        <w:jc w:val="both"/>
        <w:rPr>
          <w:b/>
          <w:bCs/>
        </w:rPr>
      </w:pPr>
      <w:r w:rsidRPr="0001388C">
        <w:rPr>
          <w:b/>
          <w:bCs/>
        </w:rPr>
        <w:t>4.5. ურთიერთქმედება სხვა სამკურნალო საშუალებებთან და ურთიერთქმედების სხვა ფორმები</w:t>
      </w:r>
    </w:p>
    <w:p w14:paraId="7044D5DA" w14:textId="77777777" w:rsidR="00451755" w:rsidRDefault="00451755" w:rsidP="00401989">
      <w:pPr>
        <w:spacing w:after="0" w:line="276" w:lineRule="auto"/>
        <w:jc w:val="both"/>
      </w:pPr>
      <w:r>
        <w:t>ურთიერთქმედების კვლევები ჩატარდა მხოლოდ მოზრდილებში.</w:t>
      </w:r>
    </w:p>
    <w:p w14:paraId="1BCCF835" w14:textId="77777777" w:rsidR="00451755" w:rsidRPr="0001388C" w:rsidRDefault="00451755" w:rsidP="00401989">
      <w:pPr>
        <w:spacing w:after="0" w:line="276" w:lineRule="auto"/>
        <w:jc w:val="both"/>
        <w:rPr>
          <w:i/>
          <w:iCs/>
        </w:rPr>
      </w:pPr>
      <w:r w:rsidRPr="0001388C">
        <w:rPr>
          <w:i/>
          <w:iCs/>
        </w:rPr>
        <w:t>ეზომეპრაზოლის გავლენა სხვა პრეპარატების ფარმაკოკინეტიკაზე</w:t>
      </w:r>
    </w:p>
    <w:p w14:paraId="215AC99F" w14:textId="77777777" w:rsidR="00451755" w:rsidRDefault="00451755" w:rsidP="00401989">
      <w:pPr>
        <w:spacing w:after="0" w:line="276" w:lineRule="auto"/>
        <w:jc w:val="both"/>
      </w:pPr>
      <w:r>
        <w:t>კუჭის მჟავიანობის დათრგუნვამ ეზომეპრაზოლით და სხვა პროტონული ტუმბოს ინჰიბიტორებით მკურნალობის დროს შესაძლოა შეამციროს ან გაზარდოს კუჭის pH-დამოკიდებული აბსორბციის მქონე სამკურნალო საშუალებების შეწოვა. ისევე როგორც სხვა სამკურნალო საშუალებების შემთხვევაში, რომლებიც ამცირებენ კუჭის მჟავიანობას, ეზომეპრაზოლით მკურნალობის დროს შეიძლება შემცირდეს კეტოკონაზოლის, იტრაკონაზოლის და ერლოტინიბის შეწოვა და გაიზარდოს დიგოქსინის შეწოვა. ჯანმრთელ პირებში ომეპრაზოლით (20 მგ დღეში) და დიგოქსინით ერთდროულმა მკურნალობამ დიგოქსინის ბიოშეღწევადობა 10%-ით გაზარდა (ათიდან ორ პაციენტში 30%-მდე).</w:t>
      </w:r>
    </w:p>
    <w:p w14:paraId="32F58D5D" w14:textId="77777777" w:rsidR="00451755" w:rsidRDefault="00451755" w:rsidP="00401989">
      <w:pPr>
        <w:spacing w:after="0" w:line="276" w:lineRule="auto"/>
        <w:jc w:val="both"/>
      </w:pPr>
      <w:r>
        <w:lastRenderedPageBreak/>
        <w:t>ეზომეპრაზოლი აინჰიბირებს CYP2C19-ს, ძირითად მეტაბოლიზმურ ფერმენტს. 30 მგ ეზომეპრაზოლისა და დიაზეპამის, CYP2C19 სუბსტრატის, ერთდროული მიღებისას დიაზეპამის კლირენსი 45%-ით შემცირდა. ამ ურთიერთქმედებას კლინიკური მნიშვნელობა არ აქვს. ეპილეფსიით დაავადებულ პაციენტებში ფენიტოინისა და 40 მგ ეზომეპრაზოლის ერთდროული პერორალური მიღებისას ფენიტოინის პლაზმური მინიმალური დონე 13%-ით გაიზარდა. ამ კვლევაში დოზის კორექცია საჭირო არ იყო.</w:t>
      </w:r>
    </w:p>
    <w:p w14:paraId="113CEFE5" w14:textId="77777777" w:rsidR="00451755" w:rsidRDefault="00451755" w:rsidP="00401989">
      <w:pPr>
        <w:spacing w:after="0" w:line="276" w:lineRule="auto"/>
        <w:jc w:val="both"/>
      </w:pPr>
      <w:r>
        <w:t>კლინიკურ კვლევაში ვარფარინით ნამკურნალებ პაციენტებში 40 მგ ეზომეპრაზოლის ერთდროულმა პერორალურმა მიღებამ აჩვენა, რომ ვარფარინის ნაკლებად ძლიერი R-იზომერის პლაზმური კონცენტრაციის უმნიშვნელო მომატების მიუხედავად, კოაგულაციის დრო დასაშვებ დიაპაზონში იყო. თუმცა, პერორალური ეზომეპრაზოლის მარკეტინგის შემდგომ პერიოდში, თანმხლები მკურნალობის დროს კლინიკურად მნიშვნელოვანი INR-ის (საერთაშორისო ნორმალიზებული თანაფარდობა) მომატების რამდენიმე იზოლირებული შემთხვევა დაფიქსირდა. ვარფარინით ან სხვა კუმარინის წარმოებულებით მკურნალობის დროს რეკომენდებულია მონიტორინგი ეზომეპრაზოლით თანმხლები მკურნალობის დაწყებისა და დასრულებისას.</w:t>
      </w:r>
    </w:p>
    <w:p w14:paraId="69CBE620" w14:textId="77777777" w:rsidR="00451755" w:rsidRDefault="00451755" w:rsidP="00401989">
      <w:pPr>
        <w:spacing w:after="0" w:line="276" w:lineRule="auto"/>
        <w:jc w:val="both"/>
      </w:pPr>
      <w:r>
        <w:t>ჯანმრთელ მოხალისეებზე ჩატარებულ კვლევებში დაფიქსირდა ფარმაკოკინეტიკური/ფარმაკოდინამიკური ურთიერთქმედება კლოპიდოგრელს (300 მგ დატვირთვის დოზა/75 მგ დღიური შემანარჩუნებელი დოზა) და ეზომეპრაზოლს (40 მგ პერორალურად დღიურად) შორის. შესაბამისად, კლოპიდოგრელის აქტიური მეტაბოლიტის ექსპოზიცია შემცირდა საშუალოდ 40%-ით და თრომბოციტების აგრეგაციის (მათ შორის ადფ) მაქსიმალური ინჰიბირება შემცირდა საშუალოდ 14%-ით.</w:t>
      </w:r>
    </w:p>
    <w:p w14:paraId="4E4853D5" w14:textId="77777777" w:rsidR="00451755" w:rsidRDefault="00451755" w:rsidP="00401989">
      <w:pPr>
        <w:spacing w:after="0" w:line="276" w:lineRule="auto"/>
        <w:jc w:val="both"/>
      </w:pPr>
      <w:r>
        <w:t>რამდენიმე დაკვირვებითი კვლევის შედეგები შეუსაბამოა გაზრდილი რისკის კუთხით, ან კლოპიდოგრელისა და პროტონული ტუმბოს ინდექსის ერთდროულად გამოყენებისას არ აღინიშნება გულ-სისხლძარღვთა თრომბოემბოლიური მოვლენების გაზრდილი რისკი.</w:t>
      </w:r>
    </w:p>
    <w:p w14:paraId="47C4F609" w14:textId="33C355D6" w:rsidR="00451755" w:rsidRDefault="00451755" w:rsidP="00401989">
      <w:pPr>
        <w:spacing w:after="0" w:line="276" w:lineRule="auto"/>
        <w:jc w:val="both"/>
      </w:pPr>
    </w:p>
    <w:p w14:paraId="6A1F8112" w14:textId="77777777" w:rsidR="00451755" w:rsidRDefault="00451755" w:rsidP="00401989">
      <w:pPr>
        <w:spacing w:after="0" w:line="276" w:lineRule="auto"/>
        <w:jc w:val="both"/>
      </w:pPr>
      <w:r>
        <w:t>ჯანმრთელ მოხალისეებში კლოპიდოგრელის, 20 მგ ეზომეპრაზოლის + 81 მგ აცეტილსალიცილის (ASA) ერთდროული მიღებისას, მხოლოდ კლოპიდოგრელთან შედარებით, კლოპიდოგრელის აქტიური მეტაბოლიტის ექსპოზიცია თითქმის 40%-ით შემცირდა. თუმცა, ამ სუბიექტებში თრომბოციტების აგრეგაციის (მათ შორის ADP) ინჰიბირების მაქსიმალური დონეები იგივე იყო კლოპიდოგრელის და კლოპიდოგრელის + კომბინირებული (ეზომეპრაზოლი + ASA) პროდუქტის ჯგუფებში.</w:t>
      </w:r>
    </w:p>
    <w:p w14:paraId="66537164" w14:textId="77777777" w:rsidR="0001388C" w:rsidRDefault="0001388C" w:rsidP="00401989">
      <w:pPr>
        <w:spacing w:after="0" w:line="276" w:lineRule="auto"/>
        <w:jc w:val="both"/>
      </w:pPr>
    </w:p>
    <w:p w14:paraId="55A78C85" w14:textId="67C0B101" w:rsidR="00451755" w:rsidRDefault="00451755" w:rsidP="00401989">
      <w:pPr>
        <w:spacing w:after="0" w:line="276" w:lineRule="auto"/>
        <w:jc w:val="both"/>
      </w:pPr>
      <w:r>
        <w:t>ომეპრაზოლი, ისევე როგორც ეზომეპრაზოლი, მოქმედებენ როგორც CYP2C19 ინჰიბიტორები. ჯვარედინი კვლევის ფარგლებში ჯანმრთელ სუბიექტებში 40 მგ დოზით მიღებულმა ომეპრაზოლმა ცილოსტაზოლის Cmax და AUC შესაბამისად 18%-ით და 26%-ით, ხოლო მისი ერთ-ერთი აქტიური მეტაბოლიტის - შესაბამისად 29%-ით და 69%-ით გაზარდა.</w:t>
      </w:r>
    </w:p>
    <w:p w14:paraId="59E157E4" w14:textId="77777777" w:rsidR="0001388C" w:rsidRDefault="0001388C" w:rsidP="00401989">
      <w:pPr>
        <w:spacing w:after="0" w:line="276" w:lineRule="auto"/>
        <w:jc w:val="both"/>
      </w:pPr>
    </w:p>
    <w:p w14:paraId="17C6A342" w14:textId="2A31F71A" w:rsidR="00451755" w:rsidRDefault="00451755" w:rsidP="00401989">
      <w:pPr>
        <w:spacing w:after="0" w:line="276" w:lineRule="auto"/>
        <w:jc w:val="both"/>
      </w:pPr>
      <w:r>
        <w:t xml:space="preserve">ჯანმრთელ მოხალისეებში, 40 მგ ეზომეპრაზოლისა და ცისაპრიდის ერთდროულმა პერორალურმა მიღებამ გამოიწვია პლაზმური კონცენტრაცია-დროის მრუდის ქვეშ არსებული ფართობის (AUC) 32%-ით გაზრდა და ელიმინაციის ნახევარგამოყოფის პერიოდის (t1/2) 31%-ით გახანგრძლივება, თუმცა ცისაპრიდის პლაზმური პიკური დონის </w:t>
      </w:r>
      <w:r>
        <w:lastRenderedPageBreak/>
        <w:t>მნიშვნელოვანი ზრდა არ დაფიქსირებულა . მხოლოდ ცისაპრიდის მიღების შემდეგ დაფიქსირებული QTc ინტერვალის ოდნავ გახანგრძლივება არ გახანგრძლივებულა, როდესაც ცისაპრიდი მიიღებოდა ეზომეპრაზოლთან ერთად.</w:t>
      </w:r>
    </w:p>
    <w:p w14:paraId="505C9960" w14:textId="77777777" w:rsidR="0001388C" w:rsidRDefault="0001388C" w:rsidP="00401989">
      <w:pPr>
        <w:spacing w:after="0" w:line="276" w:lineRule="auto"/>
        <w:jc w:val="both"/>
      </w:pPr>
    </w:p>
    <w:p w14:paraId="3A71E5C1" w14:textId="34F5AF8E" w:rsidR="00451755" w:rsidRDefault="00451755" w:rsidP="00401989">
      <w:pPr>
        <w:spacing w:after="0" w:line="276" w:lineRule="auto"/>
        <w:jc w:val="both"/>
      </w:pPr>
      <w:r>
        <w:t>პროტონული ტუმბოს ინჰიბიტორებთან ერთად მიღებისას, ზოგიერთ პაციენტში აღინიშნა მეთოტრექსატის დონის მომატება. მეთოტრექსატის მაღალი დოზებით მიღებისას შესაძლოა საჭირო გახდეს ეზომეპრაზოლის დროებითი შეწყვეტის განხილვა.</w:t>
      </w:r>
    </w:p>
    <w:p w14:paraId="1CDA5CEE" w14:textId="77777777" w:rsidR="0001388C" w:rsidRDefault="0001388C" w:rsidP="00401989">
      <w:pPr>
        <w:spacing w:after="0" w:line="276" w:lineRule="auto"/>
        <w:jc w:val="both"/>
      </w:pPr>
    </w:p>
    <w:p w14:paraId="04CAE27B" w14:textId="77777777" w:rsidR="0001388C" w:rsidRDefault="0001388C" w:rsidP="00401989">
      <w:pPr>
        <w:spacing w:after="0" w:line="276" w:lineRule="auto"/>
        <w:jc w:val="both"/>
      </w:pPr>
      <w:r w:rsidRPr="0001388C">
        <w:rPr>
          <w:rFonts w:ascii="Sylfaen" w:hAnsi="Sylfaen" w:cs="Sylfaen"/>
        </w:rPr>
        <w:t>ომეპრაზოლის</w:t>
      </w:r>
      <w:r w:rsidRPr="0001388C">
        <w:t xml:space="preserve"> </w:t>
      </w:r>
      <w:r w:rsidRPr="0001388C">
        <w:rPr>
          <w:rFonts w:ascii="Sylfaen" w:hAnsi="Sylfaen" w:cs="Sylfaen"/>
        </w:rPr>
        <w:t>ურთიერთქმედება</w:t>
      </w:r>
      <w:r w:rsidRPr="0001388C">
        <w:t xml:space="preserve"> </w:t>
      </w:r>
      <w:r w:rsidRPr="0001388C">
        <w:rPr>
          <w:rFonts w:ascii="Sylfaen" w:hAnsi="Sylfaen" w:cs="Sylfaen"/>
        </w:rPr>
        <w:t>ზოგიერთ</w:t>
      </w:r>
      <w:r w:rsidRPr="0001388C">
        <w:t xml:space="preserve"> </w:t>
      </w:r>
      <w:r w:rsidRPr="0001388C">
        <w:rPr>
          <w:rFonts w:ascii="Sylfaen" w:hAnsi="Sylfaen" w:cs="Sylfaen"/>
        </w:rPr>
        <w:t>პროტეაზას</w:t>
      </w:r>
      <w:r w:rsidRPr="0001388C">
        <w:t xml:space="preserve"> </w:t>
      </w:r>
      <w:r w:rsidRPr="0001388C">
        <w:rPr>
          <w:rFonts w:ascii="Sylfaen" w:hAnsi="Sylfaen" w:cs="Sylfaen"/>
        </w:rPr>
        <w:t>ინჰიბიტორთან</w:t>
      </w:r>
      <w:r w:rsidRPr="0001388C">
        <w:t xml:space="preserve"> </w:t>
      </w:r>
      <w:r w:rsidRPr="0001388C">
        <w:rPr>
          <w:rFonts w:ascii="Sylfaen" w:hAnsi="Sylfaen" w:cs="Sylfaen"/>
        </w:rPr>
        <w:t>დაფიქსირდა</w:t>
      </w:r>
      <w:r w:rsidRPr="0001388C">
        <w:t xml:space="preserve">. </w:t>
      </w:r>
      <w:r w:rsidRPr="0001388C">
        <w:rPr>
          <w:rFonts w:ascii="Sylfaen" w:hAnsi="Sylfaen" w:cs="Sylfaen"/>
        </w:rPr>
        <w:t>ამ</w:t>
      </w:r>
      <w:r w:rsidRPr="0001388C">
        <w:t xml:space="preserve"> </w:t>
      </w:r>
      <w:r w:rsidRPr="0001388C">
        <w:rPr>
          <w:rFonts w:ascii="Sylfaen" w:hAnsi="Sylfaen" w:cs="Sylfaen"/>
        </w:rPr>
        <w:t>ურთიერთქმედებების</w:t>
      </w:r>
      <w:r w:rsidRPr="0001388C">
        <w:t xml:space="preserve"> </w:t>
      </w:r>
      <w:r w:rsidRPr="0001388C">
        <w:rPr>
          <w:rFonts w:ascii="Sylfaen" w:hAnsi="Sylfaen" w:cs="Sylfaen"/>
        </w:rPr>
        <w:t>კლინიკური</w:t>
      </w:r>
      <w:r w:rsidRPr="0001388C">
        <w:t xml:space="preserve"> </w:t>
      </w:r>
      <w:r w:rsidRPr="0001388C">
        <w:rPr>
          <w:rFonts w:ascii="Sylfaen" w:hAnsi="Sylfaen" w:cs="Sylfaen"/>
        </w:rPr>
        <w:t>მნიშვნელობა</w:t>
      </w:r>
      <w:r w:rsidRPr="0001388C">
        <w:t xml:space="preserve"> </w:t>
      </w:r>
      <w:r w:rsidRPr="0001388C">
        <w:rPr>
          <w:rFonts w:ascii="Sylfaen" w:hAnsi="Sylfaen" w:cs="Sylfaen"/>
        </w:rPr>
        <w:t>და</w:t>
      </w:r>
      <w:r w:rsidRPr="0001388C">
        <w:t xml:space="preserve"> </w:t>
      </w:r>
      <w:r w:rsidRPr="0001388C">
        <w:rPr>
          <w:rFonts w:ascii="Sylfaen" w:hAnsi="Sylfaen" w:cs="Sylfaen"/>
        </w:rPr>
        <w:t>მექანიზმები</w:t>
      </w:r>
      <w:r w:rsidRPr="0001388C">
        <w:t xml:space="preserve"> </w:t>
      </w:r>
      <w:r w:rsidRPr="0001388C">
        <w:rPr>
          <w:rFonts w:ascii="Sylfaen" w:hAnsi="Sylfaen" w:cs="Sylfaen"/>
        </w:rPr>
        <w:t>ყოველთვის</w:t>
      </w:r>
      <w:r w:rsidRPr="0001388C">
        <w:t xml:space="preserve"> </w:t>
      </w:r>
      <w:r w:rsidRPr="0001388C">
        <w:rPr>
          <w:rFonts w:ascii="Sylfaen" w:hAnsi="Sylfaen" w:cs="Sylfaen"/>
        </w:rPr>
        <w:t>არ</w:t>
      </w:r>
      <w:r w:rsidRPr="0001388C">
        <w:t xml:space="preserve"> </w:t>
      </w:r>
      <w:r w:rsidRPr="0001388C">
        <w:rPr>
          <w:rFonts w:ascii="Sylfaen" w:hAnsi="Sylfaen" w:cs="Sylfaen"/>
        </w:rPr>
        <w:t>არის</w:t>
      </w:r>
      <w:r w:rsidRPr="0001388C">
        <w:t xml:space="preserve"> </w:t>
      </w:r>
      <w:r w:rsidRPr="0001388C">
        <w:rPr>
          <w:rFonts w:ascii="Sylfaen" w:hAnsi="Sylfaen" w:cs="Sylfaen"/>
        </w:rPr>
        <w:t>ცნობილი</w:t>
      </w:r>
      <w:r w:rsidRPr="0001388C">
        <w:t xml:space="preserve">. </w:t>
      </w:r>
      <w:r w:rsidRPr="0001388C">
        <w:rPr>
          <w:rFonts w:ascii="Sylfaen" w:hAnsi="Sylfaen" w:cs="Sylfaen"/>
        </w:rPr>
        <w:t>ომეპრაზოლით</w:t>
      </w:r>
      <w:r w:rsidRPr="0001388C">
        <w:t xml:space="preserve"> </w:t>
      </w:r>
      <w:r w:rsidRPr="0001388C">
        <w:rPr>
          <w:rFonts w:ascii="Sylfaen" w:hAnsi="Sylfaen" w:cs="Sylfaen"/>
        </w:rPr>
        <w:t>მკურნალობის</w:t>
      </w:r>
      <w:r w:rsidRPr="0001388C">
        <w:t xml:space="preserve"> </w:t>
      </w:r>
      <w:r w:rsidRPr="0001388C">
        <w:rPr>
          <w:rFonts w:ascii="Sylfaen" w:hAnsi="Sylfaen" w:cs="Sylfaen"/>
        </w:rPr>
        <w:t>დროს</w:t>
      </w:r>
      <w:r w:rsidRPr="0001388C">
        <w:t xml:space="preserve"> </w:t>
      </w:r>
      <w:r w:rsidRPr="0001388C">
        <w:rPr>
          <w:rFonts w:ascii="Sylfaen" w:hAnsi="Sylfaen" w:cs="Sylfaen"/>
        </w:rPr>
        <w:t>კუჭის</w:t>
      </w:r>
      <w:r w:rsidRPr="0001388C">
        <w:t xml:space="preserve"> pH-</w:t>
      </w:r>
      <w:r w:rsidRPr="0001388C">
        <w:rPr>
          <w:rFonts w:ascii="Sylfaen" w:hAnsi="Sylfaen" w:cs="Sylfaen"/>
        </w:rPr>
        <w:t>ის</w:t>
      </w:r>
      <w:r w:rsidRPr="0001388C">
        <w:t xml:space="preserve"> </w:t>
      </w:r>
      <w:r w:rsidRPr="0001388C">
        <w:rPr>
          <w:rFonts w:ascii="Sylfaen" w:hAnsi="Sylfaen" w:cs="Sylfaen"/>
        </w:rPr>
        <w:t>მომატებამ</w:t>
      </w:r>
      <w:r w:rsidRPr="0001388C">
        <w:t xml:space="preserve"> </w:t>
      </w:r>
      <w:r w:rsidRPr="0001388C">
        <w:rPr>
          <w:rFonts w:ascii="Sylfaen" w:hAnsi="Sylfaen" w:cs="Sylfaen"/>
        </w:rPr>
        <w:t>შეიძლება</w:t>
      </w:r>
      <w:r w:rsidRPr="0001388C">
        <w:t xml:space="preserve"> </w:t>
      </w:r>
      <w:r w:rsidRPr="0001388C">
        <w:rPr>
          <w:rFonts w:ascii="Sylfaen" w:hAnsi="Sylfaen" w:cs="Sylfaen"/>
        </w:rPr>
        <w:t>შეცვალოს</w:t>
      </w:r>
      <w:r w:rsidRPr="0001388C">
        <w:t xml:space="preserve"> </w:t>
      </w:r>
      <w:r w:rsidRPr="0001388C">
        <w:rPr>
          <w:rFonts w:ascii="Sylfaen" w:hAnsi="Sylfaen" w:cs="Sylfaen"/>
        </w:rPr>
        <w:t>პროტეაზას</w:t>
      </w:r>
      <w:r w:rsidRPr="0001388C">
        <w:t xml:space="preserve"> </w:t>
      </w:r>
      <w:r w:rsidRPr="0001388C">
        <w:rPr>
          <w:rFonts w:ascii="Sylfaen" w:hAnsi="Sylfaen" w:cs="Sylfaen"/>
        </w:rPr>
        <w:t>ინჰიბიტორების</w:t>
      </w:r>
      <w:r w:rsidRPr="0001388C">
        <w:t xml:space="preserve"> </w:t>
      </w:r>
      <w:r w:rsidRPr="0001388C">
        <w:rPr>
          <w:rFonts w:ascii="Sylfaen" w:hAnsi="Sylfaen" w:cs="Sylfaen"/>
        </w:rPr>
        <w:t>შეწოვა</w:t>
      </w:r>
      <w:r w:rsidRPr="0001388C">
        <w:t xml:space="preserve">. </w:t>
      </w:r>
      <w:r w:rsidRPr="0001388C">
        <w:rPr>
          <w:rFonts w:ascii="Sylfaen" w:hAnsi="Sylfaen" w:cs="Sylfaen"/>
        </w:rPr>
        <w:t>სხვა</w:t>
      </w:r>
      <w:r w:rsidRPr="0001388C">
        <w:t xml:space="preserve"> </w:t>
      </w:r>
      <w:r w:rsidRPr="0001388C">
        <w:rPr>
          <w:rFonts w:ascii="Sylfaen" w:hAnsi="Sylfaen" w:cs="Sylfaen"/>
        </w:rPr>
        <w:t>შესაძლო</w:t>
      </w:r>
      <w:r w:rsidRPr="0001388C">
        <w:t xml:space="preserve"> </w:t>
      </w:r>
      <w:r w:rsidRPr="0001388C">
        <w:rPr>
          <w:rFonts w:ascii="Sylfaen" w:hAnsi="Sylfaen" w:cs="Sylfaen"/>
        </w:rPr>
        <w:t>ურთიერთქმედების</w:t>
      </w:r>
      <w:r w:rsidRPr="0001388C">
        <w:t xml:space="preserve"> </w:t>
      </w:r>
      <w:r w:rsidRPr="0001388C">
        <w:rPr>
          <w:rFonts w:ascii="Sylfaen" w:hAnsi="Sylfaen" w:cs="Sylfaen"/>
        </w:rPr>
        <w:t>მექანიზმებია</w:t>
      </w:r>
      <w:r w:rsidRPr="0001388C">
        <w:t xml:space="preserve"> CYP2C19-</w:t>
      </w:r>
      <w:r w:rsidRPr="0001388C">
        <w:rPr>
          <w:rFonts w:ascii="Sylfaen" w:hAnsi="Sylfaen" w:cs="Sylfaen"/>
        </w:rPr>
        <w:t>ის</w:t>
      </w:r>
      <w:r w:rsidRPr="0001388C">
        <w:t xml:space="preserve"> </w:t>
      </w:r>
      <w:r w:rsidRPr="0001388C">
        <w:rPr>
          <w:rFonts w:ascii="Sylfaen" w:hAnsi="Sylfaen" w:cs="Sylfaen"/>
        </w:rPr>
        <w:t>ინჰიბირება</w:t>
      </w:r>
      <w:r w:rsidRPr="0001388C">
        <w:t xml:space="preserve">. </w:t>
      </w:r>
      <w:r w:rsidRPr="0001388C">
        <w:rPr>
          <w:rFonts w:ascii="Sylfaen" w:hAnsi="Sylfaen" w:cs="Sylfaen"/>
        </w:rPr>
        <w:t>ზოგიერთი</w:t>
      </w:r>
      <w:r w:rsidRPr="0001388C">
        <w:t xml:space="preserve"> </w:t>
      </w:r>
      <w:r w:rsidRPr="0001388C">
        <w:rPr>
          <w:rFonts w:ascii="Sylfaen" w:hAnsi="Sylfaen" w:cs="Sylfaen"/>
        </w:rPr>
        <w:t>ანტირეტროვირუსული</w:t>
      </w:r>
      <w:r w:rsidRPr="0001388C">
        <w:t xml:space="preserve"> </w:t>
      </w:r>
      <w:r w:rsidRPr="0001388C">
        <w:rPr>
          <w:rFonts w:ascii="Sylfaen" w:hAnsi="Sylfaen" w:cs="Sylfaen"/>
        </w:rPr>
        <w:t>პრეპარატისთვის</w:t>
      </w:r>
      <w:r w:rsidRPr="0001388C">
        <w:t xml:space="preserve">, </w:t>
      </w:r>
      <w:r w:rsidRPr="0001388C">
        <w:rPr>
          <w:rFonts w:ascii="Sylfaen" w:hAnsi="Sylfaen" w:cs="Sylfaen"/>
        </w:rPr>
        <w:t>როგორიცაა</w:t>
      </w:r>
      <w:r w:rsidRPr="0001388C">
        <w:t xml:space="preserve"> </w:t>
      </w:r>
      <w:r w:rsidRPr="0001388C">
        <w:rPr>
          <w:rFonts w:ascii="Sylfaen" w:hAnsi="Sylfaen" w:cs="Sylfaen"/>
        </w:rPr>
        <w:t>ატაზანავირი</w:t>
      </w:r>
      <w:r w:rsidRPr="0001388C">
        <w:t xml:space="preserve"> </w:t>
      </w:r>
      <w:r w:rsidRPr="0001388C">
        <w:rPr>
          <w:rFonts w:ascii="Sylfaen" w:hAnsi="Sylfaen" w:cs="Sylfaen"/>
        </w:rPr>
        <w:t>და</w:t>
      </w:r>
      <w:r w:rsidRPr="0001388C">
        <w:t xml:space="preserve"> </w:t>
      </w:r>
      <w:r w:rsidRPr="0001388C">
        <w:rPr>
          <w:rFonts w:ascii="Sylfaen" w:hAnsi="Sylfaen" w:cs="Sylfaen"/>
        </w:rPr>
        <w:t>ნელფინავირი</w:t>
      </w:r>
      <w:r w:rsidRPr="0001388C">
        <w:t xml:space="preserve">, </w:t>
      </w:r>
      <w:r w:rsidRPr="0001388C">
        <w:rPr>
          <w:rFonts w:ascii="Sylfaen" w:hAnsi="Sylfaen" w:cs="Sylfaen"/>
        </w:rPr>
        <w:t>ომეპრაზოლთან</w:t>
      </w:r>
      <w:r w:rsidRPr="0001388C">
        <w:t xml:space="preserve"> </w:t>
      </w:r>
      <w:r w:rsidRPr="0001388C">
        <w:rPr>
          <w:rFonts w:ascii="Sylfaen" w:hAnsi="Sylfaen" w:cs="Sylfaen"/>
        </w:rPr>
        <w:t>ერთად</w:t>
      </w:r>
      <w:r w:rsidRPr="0001388C">
        <w:t xml:space="preserve"> </w:t>
      </w:r>
      <w:r w:rsidRPr="0001388C">
        <w:rPr>
          <w:rFonts w:ascii="Sylfaen" w:hAnsi="Sylfaen" w:cs="Sylfaen"/>
        </w:rPr>
        <w:t>მიღებისას</w:t>
      </w:r>
      <w:r w:rsidRPr="0001388C">
        <w:t xml:space="preserve"> </w:t>
      </w:r>
      <w:r w:rsidRPr="0001388C">
        <w:rPr>
          <w:rFonts w:ascii="Sylfaen" w:hAnsi="Sylfaen" w:cs="Sylfaen"/>
        </w:rPr>
        <w:t>აღინიშნა</w:t>
      </w:r>
      <w:r w:rsidRPr="0001388C">
        <w:t xml:space="preserve"> </w:t>
      </w:r>
      <w:r w:rsidRPr="0001388C">
        <w:rPr>
          <w:rFonts w:ascii="Sylfaen" w:hAnsi="Sylfaen" w:cs="Sylfaen"/>
        </w:rPr>
        <w:t>შრატის</w:t>
      </w:r>
      <w:r w:rsidRPr="0001388C">
        <w:t xml:space="preserve"> </w:t>
      </w:r>
      <w:r w:rsidRPr="0001388C">
        <w:rPr>
          <w:rFonts w:ascii="Sylfaen" w:hAnsi="Sylfaen" w:cs="Sylfaen"/>
        </w:rPr>
        <w:t>დონის</w:t>
      </w:r>
      <w:r w:rsidRPr="0001388C">
        <w:t xml:space="preserve"> </w:t>
      </w:r>
      <w:r w:rsidRPr="0001388C">
        <w:rPr>
          <w:rFonts w:ascii="Sylfaen" w:hAnsi="Sylfaen" w:cs="Sylfaen"/>
        </w:rPr>
        <w:t>შემცირება</w:t>
      </w:r>
      <w:r w:rsidRPr="0001388C">
        <w:t xml:space="preserve"> </w:t>
      </w:r>
      <w:r w:rsidRPr="0001388C">
        <w:rPr>
          <w:rFonts w:ascii="Sylfaen" w:hAnsi="Sylfaen" w:cs="Sylfaen"/>
        </w:rPr>
        <w:t>და</w:t>
      </w:r>
      <w:r w:rsidRPr="0001388C">
        <w:t xml:space="preserve"> </w:t>
      </w:r>
      <w:r w:rsidRPr="0001388C">
        <w:rPr>
          <w:rFonts w:ascii="Sylfaen" w:hAnsi="Sylfaen" w:cs="Sylfaen"/>
        </w:rPr>
        <w:t>ერთდროული</w:t>
      </w:r>
      <w:r w:rsidRPr="0001388C">
        <w:t xml:space="preserve"> </w:t>
      </w:r>
      <w:r w:rsidRPr="0001388C">
        <w:rPr>
          <w:rFonts w:ascii="Sylfaen" w:hAnsi="Sylfaen" w:cs="Sylfaen"/>
        </w:rPr>
        <w:t>მიღება</w:t>
      </w:r>
      <w:r w:rsidRPr="0001388C">
        <w:t xml:space="preserve"> </w:t>
      </w:r>
      <w:r w:rsidRPr="0001388C">
        <w:rPr>
          <w:rFonts w:ascii="Sylfaen" w:hAnsi="Sylfaen" w:cs="Sylfaen"/>
        </w:rPr>
        <w:t>არ</w:t>
      </w:r>
      <w:r w:rsidRPr="0001388C">
        <w:t xml:space="preserve"> </w:t>
      </w:r>
      <w:r w:rsidRPr="0001388C">
        <w:rPr>
          <w:rFonts w:ascii="Sylfaen" w:hAnsi="Sylfaen" w:cs="Sylfaen"/>
        </w:rPr>
        <w:t>არის</w:t>
      </w:r>
      <w:r w:rsidRPr="0001388C">
        <w:t xml:space="preserve"> </w:t>
      </w:r>
      <w:r w:rsidRPr="0001388C">
        <w:rPr>
          <w:rFonts w:ascii="Sylfaen" w:hAnsi="Sylfaen" w:cs="Sylfaen"/>
        </w:rPr>
        <w:t>რეკომენდებული</w:t>
      </w:r>
      <w:r w:rsidRPr="0001388C">
        <w:t xml:space="preserve">. </w:t>
      </w:r>
      <w:r w:rsidRPr="0001388C">
        <w:rPr>
          <w:rFonts w:ascii="Sylfaen" w:hAnsi="Sylfaen" w:cs="Sylfaen"/>
        </w:rPr>
        <w:t>ჯანმრთელ</w:t>
      </w:r>
      <w:r w:rsidRPr="0001388C">
        <w:t xml:space="preserve"> </w:t>
      </w:r>
      <w:r w:rsidRPr="0001388C">
        <w:rPr>
          <w:rFonts w:ascii="Sylfaen" w:hAnsi="Sylfaen" w:cs="Sylfaen"/>
        </w:rPr>
        <w:t>მოხალისეებში</w:t>
      </w:r>
      <w:r w:rsidRPr="0001388C">
        <w:t xml:space="preserve"> </w:t>
      </w:r>
      <w:r w:rsidRPr="0001388C">
        <w:rPr>
          <w:rFonts w:ascii="Sylfaen" w:hAnsi="Sylfaen" w:cs="Sylfaen"/>
        </w:rPr>
        <w:t>ომეპრაზოლის</w:t>
      </w:r>
      <w:r w:rsidRPr="0001388C">
        <w:t xml:space="preserve"> (40 </w:t>
      </w:r>
      <w:r w:rsidRPr="0001388C">
        <w:rPr>
          <w:rFonts w:ascii="Sylfaen" w:hAnsi="Sylfaen" w:cs="Sylfaen"/>
        </w:rPr>
        <w:t>მგ</w:t>
      </w:r>
      <w:r w:rsidRPr="0001388C">
        <w:t xml:space="preserve"> </w:t>
      </w:r>
      <w:r w:rsidRPr="0001388C">
        <w:rPr>
          <w:rFonts w:ascii="Sylfaen" w:hAnsi="Sylfaen" w:cs="Sylfaen"/>
        </w:rPr>
        <w:t>დღეში</w:t>
      </w:r>
      <w:r w:rsidRPr="0001388C">
        <w:t xml:space="preserve"> </w:t>
      </w:r>
      <w:r w:rsidRPr="0001388C">
        <w:rPr>
          <w:rFonts w:ascii="Sylfaen" w:hAnsi="Sylfaen" w:cs="Sylfaen"/>
        </w:rPr>
        <w:t>ერთხელ</w:t>
      </w:r>
      <w:r w:rsidRPr="0001388C">
        <w:t xml:space="preserve">) </w:t>
      </w:r>
      <w:r w:rsidRPr="0001388C">
        <w:rPr>
          <w:rFonts w:ascii="Sylfaen" w:hAnsi="Sylfaen" w:cs="Sylfaen"/>
        </w:rPr>
        <w:t>ატაზანავირ</w:t>
      </w:r>
      <w:r w:rsidRPr="0001388C">
        <w:t xml:space="preserve"> 300 </w:t>
      </w:r>
      <w:r w:rsidRPr="0001388C">
        <w:rPr>
          <w:rFonts w:ascii="Sylfaen" w:hAnsi="Sylfaen" w:cs="Sylfaen"/>
        </w:rPr>
        <w:t>მგ</w:t>
      </w:r>
      <w:r w:rsidRPr="0001388C">
        <w:t>/</w:t>
      </w:r>
      <w:r w:rsidRPr="0001388C">
        <w:rPr>
          <w:rFonts w:ascii="Sylfaen" w:hAnsi="Sylfaen" w:cs="Sylfaen"/>
        </w:rPr>
        <w:t>რიტონავირ</w:t>
      </w:r>
      <w:r w:rsidRPr="0001388C">
        <w:t xml:space="preserve"> 100 </w:t>
      </w:r>
      <w:r w:rsidRPr="0001388C">
        <w:rPr>
          <w:rFonts w:ascii="Sylfaen" w:hAnsi="Sylfaen" w:cs="Sylfaen"/>
        </w:rPr>
        <w:t>მგ</w:t>
      </w:r>
      <w:r w:rsidRPr="0001388C">
        <w:t>-</w:t>
      </w:r>
      <w:r w:rsidRPr="0001388C">
        <w:rPr>
          <w:rFonts w:ascii="Sylfaen" w:hAnsi="Sylfaen" w:cs="Sylfaen"/>
        </w:rPr>
        <w:t>თან</w:t>
      </w:r>
      <w:r w:rsidRPr="0001388C">
        <w:t xml:space="preserve"> </w:t>
      </w:r>
      <w:r w:rsidRPr="0001388C">
        <w:rPr>
          <w:rFonts w:ascii="Sylfaen" w:hAnsi="Sylfaen" w:cs="Sylfaen"/>
        </w:rPr>
        <w:t>ერთად</w:t>
      </w:r>
      <w:r w:rsidRPr="0001388C">
        <w:t xml:space="preserve"> </w:t>
      </w:r>
      <w:r w:rsidRPr="0001388C">
        <w:rPr>
          <w:rFonts w:ascii="Sylfaen" w:hAnsi="Sylfaen" w:cs="Sylfaen"/>
        </w:rPr>
        <w:t>მიღებამ</w:t>
      </w:r>
      <w:r w:rsidRPr="0001388C">
        <w:t xml:space="preserve"> </w:t>
      </w:r>
      <w:r w:rsidRPr="0001388C">
        <w:rPr>
          <w:rFonts w:ascii="Sylfaen" w:hAnsi="Sylfaen" w:cs="Sylfaen"/>
        </w:rPr>
        <w:t>გამოიწვია</w:t>
      </w:r>
      <w:r w:rsidRPr="0001388C">
        <w:t xml:space="preserve"> </w:t>
      </w:r>
      <w:r w:rsidRPr="0001388C">
        <w:rPr>
          <w:rFonts w:ascii="Sylfaen" w:hAnsi="Sylfaen" w:cs="Sylfaen"/>
        </w:rPr>
        <w:t>ატაზანავირის</w:t>
      </w:r>
      <w:r w:rsidRPr="0001388C">
        <w:t xml:space="preserve"> </w:t>
      </w:r>
      <w:r w:rsidRPr="0001388C">
        <w:rPr>
          <w:rFonts w:ascii="Sylfaen" w:hAnsi="Sylfaen" w:cs="Sylfaen"/>
        </w:rPr>
        <w:t>ექსპოზიციის</w:t>
      </w:r>
      <w:r w:rsidRPr="0001388C">
        <w:t xml:space="preserve"> </w:t>
      </w:r>
      <w:r w:rsidRPr="0001388C">
        <w:rPr>
          <w:rFonts w:ascii="Sylfaen" w:hAnsi="Sylfaen" w:cs="Sylfaen"/>
        </w:rPr>
        <w:t>მნიშვნელოვანი</w:t>
      </w:r>
      <w:r w:rsidRPr="0001388C">
        <w:t xml:space="preserve"> </w:t>
      </w:r>
      <w:r w:rsidRPr="0001388C">
        <w:rPr>
          <w:rFonts w:ascii="Sylfaen" w:hAnsi="Sylfaen" w:cs="Sylfaen"/>
        </w:rPr>
        <w:t>შემცირება</w:t>
      </w:r>
      <w:r w:rsidRPr="0001388C">
        <w:t xml:space="preserve"> (AUC, Cmax </w:t>
      </w:r>
      <w:r w:rsidRPr="0001388C">
        <w:rPr>
          <w:rFonts w:ascii="Sylfaen" w:hAnsi="Sylfaen" w:cs="Sylfaen"/>
        </w:rPr>
        <w:t>და</w:t>
      </w:r>
      <w:r w:rsidRPr="0001388C">
        <w:t xml:space="preserve"> Cmin-</w:t>
      </w:r>
      <w:r w:rsidRPr="0001388C">
        <w:rPr>
          <w:rFonts w:ascii="Sylfaen" w:hAnsi="Sylfaen" w:cs="Sylfaen"/>
        </w:rPr>
        <w:t>ის</w:t>
      </w:r>
      <w:r w:rsidRPr="0001388C">
        <w:t xml:space="preserve"> </w:t>
      </w:r>
      <w:r w:rsidRPr="0001388C">
        <w:rPr>
          <w:rFonts w:ascii="Sylfaen" w:hAnsi="Sylfaen" w:cs="Sylfaen"/>
        </w:rPr>
        <w:t>დაახლოებით</w:t>
      </w:r>
      <w:r w:rsidRPr="0001388C">
        <w:t xml:space="preserve"> 75%-</w:t>
      </w:r>
      <w:r w:rsidRPr="0001388C">
        <w:rPr>
          <w:rFonts w:ascii="Sylfaen" w:hAnsi="Sylfaen" w:cs="Sylfaen"/>
        </w:rPr>
        <w:t>იანი</w:t>
      </w:r>
      <w:r w:rsidRPr="0001388C">
        <w:t xml:space="preserve"> </w:t>
      </w:r>
      <w:r w:rsidRPr="0001388C">
        <w:rPr>
          <w:rFonts w:ascii="Sylfaen" w:hAnsi="Sylfaen" w:cs="Sylfaen"/>
        </w:rPr>
        <w:t>შემცირება</w:t>
      </w:r>
      <w:r w:rsidRPr="0001388C">
        <w:t xml:space="preserve">). </w:t>
      </w:r>
      <w:r w:rsidRPr="0001388C">
        <w:rPr>
          <w:rFonts w:ascii="Sylfaen" w:hAnsi="Sylfaen" w:cs="Sylfaen"/>
        </w:rPr>
        <w:t>ატაზანავირის</w:t>
      </w:r>
      <w:r w:rsidRPr="0001388C">
        <w:t xml:space="preserve"> </w:t>
      </w:r>
      <w:r w:rsidRPr="0001388C">
        <w:rPr>
          <w:rFonts w:ascii="Sylfaen" w:hAnsi="Sylfaen" w:cs="Sylfaen"/>
        </w:rPr>
        <w:t>დოზის</w:t>
      </w:r>
      <w:r w:rsidRPr="0001388C">
        <w:t xml:space="preserve"> 400 </w:t>
      </w:r>
      <w:r w:rsidRPr="0001388C">
        <w:rPr>
          <w:rFonts w:ascii="Sylfaen" w:hAnsi="Sylfaen" w:cs="Sylfaen"/>
        </w:rPr>
        <w:t>მგ</w:t>
      </w:r>
      <w:r w:rsidRPr="0001388C">
        <w:t>-</w:t>
      </w:r>
      <w:r w:rsidRPr="0001388C">
        <w:rPr>
          <w:rFonts w:ascii="Sylfaen" w:hAnsi="Sylfaen" w:cs="Sylfaen"/>
        </w:rPr>
        <w:t>მდე</w:t>
      </w:r>
      <w:r w:rsidRPr="0001388C">
        <w:t xml:space="preserve"> </w:t>
      </w:r>
      <w:r w:rsidRPr="0001388C">
        <w:rPr>
          <w:rFonts w:ascii="Sylfaen" w:hAnsi="Sylfaen" w:cs="Sylfaen"/>
        </w:rPr>
        <w:t>გაზრდამ</w:t>
      </w:r>
      <w:r w:rsidRPr="0001388C">
        <w:t xml:space="preserve"> </w:t>
      </w:r>
      <w:r w:rsidRPr="0001388C">
        <w:rPr>
          <w:rFonts w:ascii="Sylfaen" w:hAnsi="Sylfaen" w:cs="Sylfaen"/>
        </w:rPr>
        <w:t>არ</w:t>
      </w:r>
      <w:r w:rsidRPr="0001388C">
        <w:t xml:space="preserve"> </w:t>
      </w:r>
      <w:r w:rsidRPr="0001388C">
        <w:rPr>
          <w:rFonts w:ascii="Sylfaen" w:hAnsi="Sylfaen" w:cs="Sylfaen"/>
        </w:rPr>
        <w:t>კომპენსირება</w:t>
      </w:r>
      <w:r w:rsidRPr="0001388C">
        <w:t xml:space="preserve"> </w:t>
      </w:r>
      <w:r w:rsidRPr="0001388C">
        <w:rPr>
          <w:rFonts w:ascii="Sylfaen" w:hAnsi="Sylfaen" w:cs="Sylfaen"/>
        </w:rPr>
        <w:t>მოახდინა</w:t>
      </w:r>
      <w:r w:rsidRPr="0001388C">
        <w:t xml:space="preserve"> </w:t>
      </w:r>
      <w:r w:rsidRPr="0001388C">
        <w:rPr>
          <w:rFonts w:ascii="Sylfaen" w:hAnsi="Sylfaen" w:cs="Sylfaen"/>
        </w:rPr>
        <w:t>ომეპრაზოლის</w:t>
      </w:r>
      <w:r w:rsidRPr="0001388C">
        <w:t xml:space="preserve"> </w:t>
      </w:r>
      <w:r w:rsidRPr="0001388C">
        <w:rPr>
          <w:rFonts w:ascii="Sylfaen" w:hAnsi="Sylfaen" w:cs="Sylfaen"/>
        </w:rPr>
        <w:t>ატაზანავირის</w:t>
      </w:r>
      <w:r w:rsidRPr="0001388C">
        <w:t xml:space="preserve"> </w:t>
      </w:r>
      <w:r w:rsidRPr="0001388C">
        <w:rPr>
          <w:rFonts w:ascii="Sylfaen" w:hAnsi="Sylfaen" w:cs="Sylfaen"/>
        </w:rPr>
        <w:t>ექსპოზიციაზე</w:t>
      </w:r>
      <w:r w:rsidRPr="0001388C">
        <w:t xml:space="preserve"> </w:t>
      </w:r>
      <w:r w:rsidRPr="0001388C">
        <w:rPr>
          <w:rFonts w:ascii="Sylfaen" w:hAnsi="Sylfaen" w:cs="Sylfaen"/>
        </w:rPr>
        <w:t>ზემოქმედებისთვის</w:t>
      </w:r>
      <w:r w:rsidRPr="0001388C">
        <w:t xml:space="preserve">. </w:t>
      </w:r>
      <w:r w:rsidRPr="0001388C">
        <w:rPr>
          <w:rFonts w:ascii="Sylfaen" w:hAnsi="Sylfaen" w:cs="Sylfaen"/>
        </w:rPr>
        <w:t>ჯანმრთელ</w:t>
      </w:r>
      <w:r w:rsidRPr="0001388C">
        <w:t xml:space="preserve"> </w:t>
      </w:r>
      <w:r w:rsidRPr="0001388C">
        <w:rPr>
          <w:rFonts w:ascii="Sylfaen" w:hAnsi="Sylfaen" w:cs="Sylfaen"/>
        </w:rPr>
        <w:t>მოხალისეებში</w:t>
      </w:r>
      <w:r w:rsidRPr="0001388C">
        <w:t xml:space="preserve"> </w:t>
      </w:r>
      <w:r w:rsidRPr="0001388C">
        <w:rPr>
          <w:rFonts w:ascii="Sylfaen" w:hAnsi="Sylfaen" w:cs="Sylfaen"/>
        </w:rPr>
        <w:t>ომეპრაზოლის</w:t>
      </w:r>
      <w:r w:rsidRPr="0001388C">
        <w:t xml:space="preserve"> (20 </w:t>
      </w:r>
      <w:r w:rsidRPr="0001388C">
        <w:rPr>
          <w:rFonts w:ascii="Sylfaen" w:hAnsi="Sylfaen" w:cs="Sylfaen"/>
        </w:rPr>
        <w:t>მგ</w:t>
      </w:r>
      <w:r w:rsidRPr="0001388C">
        <w:t xml:space="preserve"> </w:t>
      </w:r>
      <w:r w:rsidRPr="0001388C">
        <w:rPr>
          <w:rFonts w:ascii="Sylfaen" w:hAnsi="Sylfaen" w:cs="Sylfaen"/>
        </w:rPr>
        <w:t>დღეში</w:t>
      </w:r>
      <w:r w:rsidRPr="0001388C">
        <w:t xml:space="preserve"> </w:t>
      </w:r>
      <w:r w:rsidRPr="0001388C">
        <w:rPr>
          <w:rFonts w:ascii="Sylfaen" w:hAnsi="Sylfaen" w:cs="Sylfaen"/>
        </w:rPr>
        <w:t>ერთხელ</w:t>
      </w:r>
      <w:r w:rsidRPr="0001388C">
        <w:t xml:space="preserve">) </w:t>
      </w:r>
      <w:r w:rsidRPr="0001388C">
        <w:rPr>
          <w:rFonts w:ascii="Sylfaen" w:hAnsi="Sylfaen" w:cs="Sylfaen"/>
        </w:rPr>
        <w:t>ატაზანავირ</w:t>
      </w:r>
      <w:r w:rsidRPr="0001388C">
        <w:t xml:space="preserve"> 400 </w:t>
      </w:r>
      <w:r w:rsidRPr="0001388C">
        <w:rPr>
          <w:rFonts w:ascii="Sylfaen" w:hAnsi="Sylfaen" w:cs="Sylfaen"/>
        </w:rPr>
        <w:t>მგ</w:t>
      </w:r>
      <w:r w:rsidRPr="0001388C">
        <w:t>/</w:t>
      </w:r>
      <w:r w:rsidRPr="0001388C">
        <w:rPr>
          <w:rFonts w:ascii="Sylfaen" w:hAnsi="Sylfaen" w:cs="Sylfaen"/>
        </w:rPr>
        <w:t>რიტონავირ</w:t>
      </w:r>
      <w:r w:rsidRPr="0001388C">
        <w:t xml:space="preserve"> 100 </w:t>
      </w:r>
      <w:r w:rsidRPr="0001388C">
        <w:rPr>
          <w:rFonts w:ascii="Sylfaen" w:hAnsi="Sylfaen" w:cs="Sylfaen"/>
        </w:rPr>
        <w:t>მგ</w:t>
      </w:r>
      <w:r w:rsidRPr="0001388C">
        <w:t>-</w:t>
      </w:r>
      <w:r w:rsidRPr="0001388C">
        <w:rPr>
          <w:rFonts w:ascii="Sylfaen" w:hAnsi="Sylfaen" w:cs="Sylfaen"/>
        </w:rPr>
        <w:t>თან</w:t>
      </w:r>
      <w:r w:rsidRPr="0001388C">
        <w:t xml:space="preserve"> </w:t>
      </w:r>
      <w:r w:rsidRPr="0001388C">
        <w:rPr>
          <w:rFonts w:ascii="Sylfaen" w:hAnsi="Sylfaen" w:cs="Sylfaen"/>
        </w:rPr>
        <w:t>ერთად</w:t>
      </w:r>
      <w:r w:rsidRPr="0001388C">
        <w:t xml:space="preserve"> </w:t>
      </w:r>
      <w:r w:rsidRPr="0001388C">
        <w:rPr>
          <w:rFonts w:ascii="Sylfaen" w:hAnsi="Sylfaen" w:cs="Sylfaen"/>
        </w:rPr>
        <w:t>მიღებისას</w:t>
      </w:r>
      <w:r w:rsidRPr="0001388C">
        <w:t xml:space="preserve"> </w:t>
      </w:r>
      <w:r w:rsidRPr="0001388C">
        <w:rPr>
          <w:rFonts w:ascii="Sylfaen" w:hAnsi="Sylfaen" w:cs="Sylfaen"/>
        </w:rPr>
        <w:t>ატაზანავირის</w:t>
      </w:r>
      <w:r w:rsidRPr="0001388C">
        <w:t xml:space="preserve"> </w:t>
      </w:r>
      <w:r w:rsidRPr="0001388C">
        <w:rPr>
          <w:rFonts w:ascii="Sylfaen" w:hAnsi="Sylfaen" w:cs="Sylfaen"/>
        </w:rPr>
        <w:t>ექსპოზიცია</w:t>
      </w:r>
      <w:r w:rsidRPr="0001388C">
        <w:t xml:space="preserve"> </w:t>
      </w:r>
      <w:r w:rsidRPr="0001388C">
        <w:rPr>
          <w:rFonts w:ascii="Sylfaen" w:hAnsi="Sylfaen" w:cs="Sylfaen"/>
        </w:rPr>
        <w:t>დაახლოებით</w:t>
      </w:r>
      <w:r w:rsidRPr="0001388C">
        <w:t xml:space="preserve"> 30%-</w:t>
      </w:r>
      <w:r w:rsidRPr="0001388C">
        <w:rPr>
          <w:rFonts w:ascii="Sylfaen" w:hAnsi="Sylfaen" w:cs="Sylfaen"/>
        </w:rPr>
        <w:t>ით</w:t>
      </w:r>
      <w:r w:rsidRPr="0001388C">
        <w:t xml:space="preserve"> </w:t>
      </w:r>
      <w:r w:rsidRPr="0001388C">
        <w:rPr>
          <w:rFonts w:ascii="Sylfaen" w:hAnsi="Sylfaen" w:cs="Sylfaen"/>
        </w:rPr>
        <w:t>შემცირდა</w:t>
      </w:r>
      <w:r w:rsidRPr="0001388C">
        <w:t xml:space="preserve"> </w:t>
      </w:r>
      <w:r w:rsidRPr="0001388C">
        <w:rPr>
          <w:rFonts w:ascii="Sylfaen" w:hAnsi="Sylfaen" w:cs="Sylfaen"/>
        </w:rPr>
        <w:t>ატაზანავირის</w:t>
      </w:r>
      <w:r w:rsidRPr="0001388C">
        <w:t xml:space="preserve"> 300 </w:t>
      </w:r>
      <w:r w:rsidRPr="0001388C">
        <w:rPr>
          <w:rFonts w:ascii="Sylfaen" w:hAnsi="Sylfaen" w:cs="Sylfaen"/>
        </w:rPr>
        <w:t>მგ</w:t>
      </w:r>
      <w:r w:rsidRPr="0001388C">
        <w:t>/</w:t>
      </w:r>
      <w:r w:rsidRPr="0001388C">
        <w:rPr>
          <w:rFonts w:ascii="Sylfaen" w:hAnsi="Sylfaen" w:cs="Sylfaen"/>
        </w:rPr>
        <w:t>რიტონავირ</w:t>
      </w:r>
      <w:r w:rsidRPr="0001388C">
        <w:t xml:space="preserve"> 100 </w:t>
      </w:r>
      <w:r w:rsidRPr="0001388C">
        <w:rPr>
          <w:rFonts w:ascii="Sylfaen" w:hAnsi="Sylfaen" w:cs="Sylfaen"/>
        </w:rPr>
        <w:t>მგ</w:t>
      </w:r>
      <w:r w:rsidRPr="0001388C">
        <w:t>-</w:t>
      </w:r>
      <w:r w:rsidRPr="0001388C">
        <w:rPr>
          <w:rFonts w:ascii="Sylfaen" w:hAnsi="Sylfaen" w:cs="Sylfaen"/>
        </w:rPr>
        <w:t>ის</w:t>
      </w:r>
      <w:r w:rsidRPr="0001388C">
        <w:t xml:space="preserve"> </w:t>
      </w:r>
      <w:r w:rsidRPr="0001388C">
        <w:rPr>
          <w:rFonts w:ascii="Sylfaen" w:hAnsi="Sylfaen" w:cs="Sylfaen"/>
        </w:rPr>
        <w:t>გამოყენებისას</w:t>
      </w:r>
      <w:r w:rsidRPr="0001388C">
        <w:t xml:space="preserve"> </w:t>
      </w:r>
      <w:r w:rsidRPr="0001388C">
        <w:rPr>
          <w:rFonts w:ascii="Sylfaen" w:hAnsi="Sylfaen" w:cs="Sylfaen"/>
        </w:rPr>
        <w:t>დღეში</w:t>
      </w:r>
      <w:r w:rsidRPr="0001388C">
        <w:t xml:space="preserve"> </w:t>
      </w:r>
      <w:r w:rsidRPr="0001388C">
        <w:rPr>
          <w:rFonts w:ascii="Sylfaen" w:hAnsi="Sylfaen" w:cs="Sylfaen"/>
        </w:rPr>
        <w:t>ერთხელ</w:t>
      </w:r>
      <w:r w:rsidRPr="0001388C">
        <w:t xml:space="preserve"> </w:t>
      </w:r>
      <w:r w:rsidRPr="0001388C">
        <w:rPr>
          <w:rFonts w:ascii="Sylfaen" w:hAnsi="Sylfaen" w:cs="Sylfaen"/>
        </w:rPr>
        <w:t>ომეპრაზოლ</w:t>
      </w:r>
      <w:r w:rsidRPr="0001388C">
        <w:t xml:space="preserve"> 20 </w:t>
      </w:r>
      <w:r w:rsidRPr="0001388C">
        <w:rPr>
          <w:rFonts w:ascii="Sylfaen" w:hAnsi="Sylfaen" w:cs="Sylfaen"/>
        </w:rPr>
        <w:t>მგ</w:t>
      </w:r>
      <w:r w:rsidRPr="0001388C">
        <w:t>-</w:t>
      </w:r>
      <w:r w:rsidRPr="0001388C">
        <w:rPr>
          <w:rFonts w:ascii="Sylfaen" w:hAnsi="Sylfaen" w:cs="Sylfaen"/>
        </w:rPr>
        <w:t>ის</w:t>
      </w:r>
      <w:r w:rsidRPr="0001388C">
        <w:t xml:space="preserve"> </w:t>
      </w:r>
      <w:r w:rsidRPr="0001388C">
        <w:rPr>
          <w:rFonts w:ascii="Sylfaen" w:hAnsi="Sylfaen" w:cs="Sylfaen"/>
        </w:rPr>
        <w:t>გარეშე</w:t>
      </w:r>
      <w:r w:rsidRPr="0001388C">
        <w:t xml:space="preserve"> </w:t>
      </w:r>
      <w:r w:rsidRPr="0001388C">
        <w:rPr>
          <w:rFonts w:ascii="Sylfaen" w:hAnsi="Sylfaen" w:cs="Sylfaen"/>
        </w:rPr>
        <w:t>დაფიქსირებულ</w:t>
      </w:r>
      <w:r w:rsidRPr="0001388C">
        <w:t xml:space="preserve"> </w:t>
      </w:r>
      <w:r w:rsidRPr="0001388C">
        <w:rPr>
          <w:rFonts w:ascii="Sylfaen" w:hAnsi="Sylfaen" w:cs="Sylfaen"/>
        </w:rPr>
        <w:t>ექსპოზიციასთან</w:t>
      </w:r>
      <w:r w:rsidRPr="0001388C">
        <w:t xml:space="preserve"> </w:t>
      </w:r>
      <w:r w:rsidRPr="0001388C">
        <w:rPr>
          <w:rFonts w:ascii="Sylfaen" w:hAnsi="Sylfaen" w:cs="Sylfaen"/>
        </w:rPr>
        <w:t>შედარებით</w:t>
      </w:r>
      <w:r w:rsidRPr="0001388C">
        <w:t xml:space="preserve">. </w:t>
      </w:r>
      <w:r w:rsidRPr="0001388C">
        <w:rPr>
          <w:rFonts w:ascii="Sylfaen" w:hAnsi="Sylfaen" w:cs="Sylfaen"/>
        </w:rPr>
        <w:t>ომეპრაზოლის</w:t>
      </w:r>
      <w:r w:rsidRPr="0001388C">
        <w:t xml:space="preserve"> (40 </w:t>
      </w:r>
      <w:r w:rsidRPr="0001388C">
        <w:rPr>
          <w:rFonts w:ascii="Sylfaen" w:hAnsi="Sylfaen" w:cs="Sylfaen"/>
        </w:rPr>
        <w:t>მგ</w:t>
      </w:r>
      <w:r w:rsidRPr="0001388C">
        <w:t xml:space="preserve"> </w:t>
      </w:r>
      <w:r w:rsidRPr="0001388C">
        <w:rPr>
          <w:rFonts w:ascii="Sylfaen" w:hAnsi="Sylfaen" w:cs="Sylfaen"/>
        </w:rPr>
        <w:t>დღეში</w:t>
      </w:r>
      <w:r w:rsidRPr="0001388C">
        <w:t xml:space="preserve"> </w:t>
      </w:r>
      <w:r w:rsidRPr="0001388C">
        <w:rPr>
          <w:rFonts w:ascii="Sylfaen" w:hAnsi="Sylfaen" w:cs="Sylfaen"/>
        </w:rPr>
        <w:t>ერთხელ</w:t>
      </w:r>
      <w:r w:rsidRPr="0001388C">
        <w:t xml:space="preserve">) </w:t>
      </w:r>
      <w:r w:rsidRPr="0001388C">
        <w:rPr>
          <w:rFonts w:ascii="Sylfaen" w:hAnsi="Sylfaen" w:cs="Sylfaen"/>
        </w:rPr>
        <w:t>ნელფინავირთან</w:t>
      </w:r>
      <w:r w:rsidRPr="0001388C">
        <w:t xml:space="preserve"> </w:t>
      </w:r>
      <w:r w:rsidRPr="0001388C">
        <w:rPr>
          <w:rFonts w:ascii="Sylfaen" w:hAnsi="Sylfaen" w:cs="Sylfaen"/>
        </w:rPr>
        <w:t>ერთად</w:t>
      </w:r>
      <w:r w:rsidRPr="0001388C">
        <w:t xml:space="preserve"> </w:t>
      </w:r>
      <w:r w:rsidRPr="0001388C">
        <w:rPr>
          <w:rFonts w:ascii="Sylfaen" w:hAnsi="Sylfaen" w:cs="Sylfaen"/>
        </w:rPr>
        <w:t>მიღებისას</w:t>
      </w:r>
      <w:r w:rsidRPr="0001388C">
        <w:t xml:space="preserve"> </w:t>
      </w:r>
      <w:r w:rsidRPr="0001388C">
        <w:rPr>
          <w:rFonts w:ascii="Sylfaen" w:hAnsi="Sylfaen" w:cs="Sylfaen"/>
        </w:rPr>
        <w:t>ნელფინავირის</w:t>
      </w:r>
      <w:r w:rsidRPr="0001388C">
        <w:t xml:space="preserve"> AUC, Cmax </w:t>
      </w:r>
      <w:r w:rsidRPr="0001388C">
        <w:rPr>
          <w:rFonts w:ascii="Sylfaen" w:hAnsi="Sylfaen" w:cs="Sylfaen"/>
        </w:rPr>
        <w:t>და</w:t>
      </w:r>
      <w:r w:rsidRPr="0001388C">
        <w:t xml:space="preserve"> Cmin </w:t>
      </w:r>
      <w:r w:rsidRPr="0001388C">
        <w:rPr>
          <w:rFonts w:ascii="Sylfaen" w:hAnsi="Sylfaen" w:cs="Sylfaen"/>
        </w:rPr>
        <w:t>და</w:t>
      </w:r>
      <w:r w:rsidRPr="0001388C">
        <w:t xml:space="preserve"> </w:t>
      </w:r>
      <w:r w:rsidRPr="0001388C">
        <w:rPr>
          <w:rFonts w:ascii="Sylfaen" w:hAnsi="Sylfaen" w:cs="Sylfaen"/>
        </w:rPr>
        <w:t>ფარმაკოლოგიურად</w:t>
      </w:r>
      <w:r w:rsidRPr="0001388C">
        <w:t xml:space="preserve"> </w:t>
      </w:r>
      <w:r w:rsidRPr="0001388C">
        <w:rPr>
          <w:rFonts w:ascii="Sylfaen" w:hAnsi="Sylfaen" w:cs="Sylfaen"/>
        </w:rPr>
        <w:t>აქტიური</w:t>
      </w:r>
      <w:r w:rsidRPr="0001388C">
        <w:t xml:space="preserve"> </w:t>
      </w:r>
      <w:r w:rsidRPr="0001388C">
        <w:rPr>
          <w:rFonts w:ascii="Sylfaen" w:hAnsi="Sylfaen" w:cs="Sylfaen"/>
        </w:rPr>
        <w:t>მეტაბოლიტის</w:t>
      </w:r>
      <w:r w:rsidRPr="0001388C">
        <w:t xml:space="preserve"> M8 </w:t>
      </w:r>
      <w:r w:rsidRPr="0001388C">
        <w:rPr>
          <w:rFonts w:ascii="Sylfaen" w:hAnsi="Sylfaen" w:cs="Sylfaen"/>
        </w:rPr>
        <w:t>საშუალო</w:t>
      </w:r>
      <w:r w:rsidRPr="0001388C">
        <w:t xml:space="preserve"> AUC, Cmax </w:t>
      </w:r>
      <w:r w:rsidRPr="0001388C">
        <w:rPr>
          <w:rFonts w:ascii="Sylfaen" w:hAnsi="Sylfaen" w:cs="Sylfaen"/>
        </w:rPr>
        <w:t>და</w:t>
      </w:r>
      <w:r w:rsidRPr="0001388C">
        <w:t xml:space="preserve"> Cmin 75-92%-</w:t>
      </w:r>
      <w:r w:rsidRPr="0001388C">
        <w:rPr>
          <w:rFonts w:ascii="Sylfaen" w:hAnsi="Sylfaen" w:cs="Sylfaen"/>
        </w:rPr>
        <w:t>ით</w:t>
      </w:r>
      <w:r w:rsidRPr="0001388C">
        <w:t xml:space="preserve"> </w:t>
      </w:r>
      <w:r w:rsidRPr="0001388C">
        <w:rPr>
          <w:rFonts w:ascii="Sylfaen" w:hAnsi="Sylfaen" w:cs="Sylfaen"/>
        </w:rPr>
        <w:t>შემცირდა</w:t>
      </w:r>
      <w:r w:rsidRPr="0001388C">
        <w:t xml:space="preserve">. </w:t>
      </w:r>
    </w:p>
    <w:p w14:paraId="17342B2A" w14:textId="306744E5" w:rsidR="00451755" w:rsidRDefault="0001388C" w:rsidP="00401989">
      <w:pPr>
        <w:spacing w:after="0" w:line="276" w:lineRule="auto"/>
        <w:jc w:val="both"/>
      </w:pPr>
      <w:r w:rsidRPr="0001388C">
        <w:rPr>
          <w:rFonts w:ascii="Sylfaen" w:hAnsi="Sylfaen" w:cs="Sylfaen"/>
        </w:rPr>
        <w:t>საკვინავირის</w:t>
      </w:r>
      <w:r w:rsidRPr="0001388C">
        <w:t xml:space="preserve"> (</w:t>
      </w:r>
      <w:r w:rsidRPr="0001388C">
        <w:rPr>
          <w:rFonts w:ascii="Sylfaen" w:hAnsi="Sylfaen" w:cs="Sylfaen"/>
        </w:rPr>
        <w:t>რიტონავირთან</w:t>
      </w:r>
      <w:r w:rsidRPr="0001388C">
        <w:t xml:space="preserve"> </w:t>
      </w:r>
      <w:r w:rsidRPr="0001388C">
        <w:rPr>
          <w:rFonts w:ascii="Sylfaen" w:hAnsi="Sylfaen" w:cs="Sylfaen"/>
        </w:rPr>
        <w:t>ერთად</w:t>
      </w:r>
      <w:r w:rsidRPr="0001388C">
        <w:t xml:space="preserve"> </w:t>
      </w:r>
      <w:r w:rsidRPr="0001388C">
        <w:rPr>
          <w:rFonts w:ascii="Sylfaen" w:hAnsi="Sylfaen" w:cs="Sylfaen"/>
        </w:rPr>
        <w:t>მიღებისას</w:t>
      </w:r>
      <w:r w:rsidRPr="0001388C">
        <w:t xml:space="preserve">) </w:t>
      </w:r>
      <w:r w:rsidRPr="0001388C">
        <w:rPr>
          <w:rFonts w:ascii="Sylfaen" w:hAnsi="Sylfaen" w:cs="Sylfaen"/>
        </w:rPr>
        <w:t>შემთხვევაში</w:t>
      </w:r>
      <w:r w:rsidRPr="0001388C">
        <w:t xml:space="preserve">, </w:t>
      </w:r>
      <w:r w:rsidRPr="0001388C">
        <w:rPr>
          <w:rFonts w:ascii="Sylfaen" w:hAnsi="Sylfaen" w:cs="Sylfaen"/>
        </w:rPr>
        <w:t>ომეპრაზოლით</w:t>
      </w:r>
      <w:r w:rsidRPr="0001388C">
        <w:t xml:space="preserve"> (40 </w:t>
      </w:r>
      <w:r w:rsidRPr="0001388C">
        <w:rPr>
          <w:rFonts w:ascii="Sylfaen" w:hAnsi="Sylfaen" w:cs="Sylfaen"/>
        </w:rPr>
        <w:t>მგ</w:t>
      </w:r>
      <w:r w:rsidRPr="0001388C">
        <w:t xml:space="preserve"> </w:t>
      </w:r>
      <w:r w:rsidRPr="0001388C">
        <w:rPr>
          <w:rFonts w:ascii="Sylfaen" w:hAnsi="Sylfaen" w:cs="Sylfaen"/>
        </w:rPr>
        <w:t>დღეში</w:t>
      </w:r>
      <w:r w:rsidRPr="0001388C">
        <w:t xml:space="preserve"> </w:t>
      </w:r>
      <w:r w:rsidRPr="0001388C">
        <w:rPr>
          <w:rFonts w:ascii="Sylfaen" w:hAnsi="Sylfaen" w:cs="Sylfaen"/>
        </w:rPr>
        <w:t>ერთხელ</w:t>
      </w:r>
      <w:r w:rsidRPr="0001388C">
        <w:t xml:space="preserve">) </w:t>
      </w:r>
      <w:r w:rsidRPr="0001388C">
        <w:rPr>
          <w:rFonts w:ascii="Sylfaen" w:hAnsi="Sylfaen" w:cs="Sylfaen"/>
        </w:rPr>
        <w:t>მკურნალობისას</w:t>
      </w:r>
      <w:r w:rsidRPr="0001388C">
        <w:t xml:space="preserve"> </w:t>
      </w:r>
      <w:r w:rsidRPr="0001388C">
        <w:rPr>
          <w:rFonts w:ascii="Sylfaen" w:hAnsi="Sylfaen" w:cs="Sylfaen"/>
        </w:rPr>
        <w:t>აღინიშნა</w:t>
      </w:r>
      <w:r w:rsidRPr="0001388C">
        <w:t xml:space="preserve"> </w:t>
      </w:r>
      <w:r w:rsidRPr="0001388C">
        <w:rPr>
          <w:rFonts w:ascii="Sylfaen" w:hAnsi="Sylfaen" w:cs="Sylfaen"/>
        </w:rPr>
        <w:t>შრატის</w:t>
      </w:r>
      <w:r w:rsidRPr="0001388C">
        <w:t xml:space="preserve"> </w:t>
      </w:r>
      <w:r w:rsidRPr="0001388C">
        <w:rPr>
          <w:rFonts w:ascii="Sylfaen" w:hAnsi="Sylfaen" w:cs="Sylfaen"/>
        </w:rPr>
        <w:t>დონის</w:t>
      </w:r>
      <w:r w:rsidRPr="0001388C">
        <w:t xml:space="preserve"> </w:t>
      </w:r>
      <w:r w:rsidRPr="0001388C">
        <w:rPr>
          <w:rFonts w:ascii="Sylfaen" w:hAnsi="Sylfaen" w:cs="Sylfaen"/>
        </w:rPr>
        <w:t>მომატება</w:t>
      </w:r>
      <w:r w:rsidRPr="0001388C">
        <w:t xml:space="preserve"> (80-100%). </w:t>
      </w:r>
      <w:r w:rsidRPr="0001388C">
        <w:rPr>
          <w:rFonts w:ascii="Sylfaen" w:hAnsi="Sylfaen" w:cs="Sylfaen"/>
        </w:rPr>
        <w:t>ომეპრაზოლით</w:t>
      </w:r>
      <w:r w:rsidRPr="0001388C">
        <w:t xml:space="preserve"> (20 </w:t>
      </w:r>
      <w:r w:rsidRPr="0001388C">
        <w:rPr>
          <w:rFonts w:ascii="Sylfaen" w:hAnsi="Sylfaen" w:cs="Sylfaen"/>
        </w:rPr>
        <w:t>მგ</w:t>
      </w:r>
      <w:r w:rsidRPr="0001388C">
        <w:t xml:space="preserve"> </w:t>
      </w:r>
      <w:r w:rsidRPr="0001388C">
        <w:rPr>
          <w:rFonts w:ascii="Sylfaen" w:hAnsi="Sylfaen" w:cs="Sylfaen"/>
        </w:rPr>
        <w:t>დღეში</w:t>
      </w:r>
      <w:r w:rsidRPr="0001388C">
        <w:t xml:space="preserve"> </w:t>
      </w:r>
      <w:r w:rsidRPr="0001388C">
        <w:rPr>
          <w:rFonts w:ascii="Sylfaen" w:hAnsi="Sylfaen" w:cs="Sylfaen"/>
        </w:rPr>
        <w:t>ერთხელ</w:t>
      </w:r>
      <w:r w:rsidRPr="0001388C">
        <w:t xml:space="preserve">) </w:t>
      </w:r>
      <w:r w:rsidRPr="0001388C">
        <w:rPr>
          <w:rFonts w:ascii="Sylfaen" w:hAnsi="Sylfaen" w:cs="Sylfaen"/>
        </w:rPr>
        <w:t>მკურნალობას</w:t>
      </w:r>
      <w:r w:rsidRPr="0001388C">
        <w:t xml:space="preserve"> </w:t>
      </w:r>
      <w:r w:rsidRPr="0001388C">
        <w:rPr>
          <w:rFonts w:ascii="Sylfaen" w:hAnsi="Sylfaen" w:cs="Sylfaen"/>
        </w:rPr>
        <w:t>გავლენა</w:t>
      </w:r>
      <w:r w:rsidRPr="0001388C">
        <w:t xml:space="preserve"> </w:t>
      </w:r>
      <w:r w:rsidRPr="0001388C">
        <w:rPr>
          <w:rFonts w:ascii="Sylfaen" w:hAnsi="Sylfaen" w:cs="Sylfaen"/>
        </w:rPr>
        <w:t>არ</w:t>
      </w:r>
      <w:r w:rsidRPr="0001388C">
        <w:t xml:space="preserve"> </w:t>
      </w:r>
      <w:r w:rsidRPr="0001388C">
        <w:rPr>
          <w:rFonts w:ascii="Sylfaen" w:hAnsi="Sylfaen" w:cs="Sylfaen"/>
        </w:rPr>
        <w:t>მოუხდენია</w:t>
      </w:r>
      <w:r w:rsidRPr="0001388C">
        <w:t xml:space="preserve"> </w:t>
      </w:r>
      <w:r w:rsidRPr="0001388C">
        <w:rPr>
          <w:rFonts w:ascii="Sylfaen" w:hAnsi="Sylfaen" w:cs="Sylfaen"/>
        </w:rPr>
        <w:t>დარუნავირის</w:t>
      </w:r>
      <w:r w:rsidRPr="0001388C">
        <w:t xml:space="preserve"> (</w:t>
      </w:r>
      <w:r w:rsidRPr="0001388C">
        <w:rPr>
          <w:rFonts w:ascii="Sylfaen" w:hAnsi="Sylfaen" w:cs="Sylfaen"/>
        </w:rPr>
        <w:t>რიტონავირთან</w:t>
      </w:r>
      <w:r w:rsidRPr="0001388C">
        <w:t xml:space="preserve"> </w:t>
      </w:r>
      <w:r w:rsidRPr="0001388C">
        <w:rPr>
          <w:rFonts w:ascii="Sylfaen" w:hAnsi="Sylfaen" w:cs="Sylfaen"/>
        </w:rPr>
        <w:t>ერთად</w:t>
      </w:r>
      <w:r w:rsidRPr="0001388C">
        <w:t xml:space="preserve"> </w:t>
      </w:r>
      <w:r w:rsidRPr="0001388C">
        <w:rPr>
          <w:rFonts w:ascii="Sylfaen" w:hAnsi="Sylfaen" w:cs="Sylfaen"/>
        </w:rPr>
        <w:t>მიღებისას</w:t>
      </w:r>
      <w:r w:rsidRPr="0001388C">
        <w:t xml:space="preserve">) </w:t>
      </w:r>
      <w:r w:rsidRPr="0001388C">
        <w:rPr>
          <w:rFonts w:ascii="Sylfaen" w:hAnsi="Sylfaen" w:cs="Sylfaen"/>
        </w:rPr>
        <w:t>და</w:t>
      </w:r>
      <w:r w:rsidRPr="0001388C">
        <w:t xml:space="preserve"> </w:t>
      </w:r>
      <w:r w:rsidRPr="0001388C">
        <w:rPr>
          <w:rFonts w:ascii="Sylfaen" w:hAnsi="Sylfaen" w:cs="Sylfaen"/>
        </w:rPr>
        <w:t>ამპრენავირის</w:t>
      </w:r>
      <w:r w:rsidRPr="0001388C">
        <w:t xml:space="preserve"> (</w:t>
      </w:r>
      <w:r w:rsidRPr="0001388C">
        <w:rPr>
          <w:rFonts w:ascii="Sylfaen" w:hAnsi="Sylfaen" w:cs="Sylfaen"/>
        </w:rPr>
        <w:t>რიტონავირთან</w:t>
      </w:r>
      <w:r w:rsidRPr="0001388C">
        <w:t xml:space="preserve"> </w:t>
      </w:r>
      <w:r w:rsidRPr="0001388C">
        <w:rPr>
          <w:rFonts w:ascii="Sylfaen" w:hAnsi="Sylfaen" w:cs="Sylfaen"/>
        </w:rPr>
        <w:t>ერთად</w:t>
      </w:r>
      <w:r w:rsidRPr="0001388C">
        <w:t xml:space="preserve"> </w:t>
      </w:r>
      <w:r w:rsidRPr="0001388C">
        <w:rPr>
          <w:rFonts w:ascii="Sylfaen" w:hAnsi="Sylfaen" w:cs="Sylfaen"/>
        </w:rPr>
        <w:t>მიღებისას</w:t>
      </w:r>
      <w:r w:rsidRPr="0001388C">
        <w:t xml:space="preserve">) </w:t>
      </w:r>
      <w:r w:rsidRPr="0001388C">
        <w:rPr>
          <w:rFonts w:ascii="Sylfaen" w:hAnsi="Sylfaen" w:cs="Sylfaen"/>
        </w:rPr>
        <w:t>ექსპოზიციაზე</w:t>
      </w:r>
      <w:r w:rsidRPr="0001388C">
        <w:t xml:space="preserve">. </w:t>
      </w:r>
      <w:r w:rsidRPr="0001388C">
        <w:rPr>
          <w:rFonts w:ascii="Sylfaen" w:hAnsi="Sylfaen" w:cs="Sylfaen"/>
        </w:rPr>
        <w:t>ასევე</w:t>
      </w:r>
      <w:r w:rsidRPr="0001388C">
        <w:t xml:space="preserve"> </w:t>
      </w:r>
      <w:r w:rsidRPr="0001388C">
        <w:rPr>
          <w:rFonts w:ascii="Sylfaen" w:hAnsi="Sylfaen" w:cs="Sylfaen"/>
        </w:rPr>
        <w:t>არსებობს</w:t>
      </w:r>
      <w:r w:rsidRPr="0001388C">
        <w:t xml:space="preserve"> </w:t>
      </w:r>
      <w:r w:rsidRPr="0001388C">
        <w:rPr>
          <w:rFonts w:ascii="Sylfaen" w:hAnsi="Sylfaen" w:cs="Sylfaen"/>
        </w:rPr>
        <w:t>სხვა</w:t>
      </w:r>
      <w:r w:rsidRPr="0001388C">
        <w:t xml:space="preserve"> </w:t>
      </w:r>
      <w:r w:rsidRPr="0001388C">
        <w:rPr>
          <w:rFonts w:ascii="Sylfaen" w:hAnsi="Sylfaen" w:cs="Sylfaen"/>
        </w:rPr>
        <w:t>ანტირეტროვირუსული</w:t>
      </w:r>
      <w:r w:rsidRPr="0001388C">
        <w:t xml:space="preserve"> </w:t>
      </w:r>
      <w:r w:rsidRPr="0001388C">
        <w:rPr>
          <w:rFonts w:ascii="Sylfaen" w:hAnsi="Sylfaen" w:cs="Sylfaen"/>
        </w:rPr>
        <w:t>პრეპარატები</w:t>
      </w:r>
      <w:r w:rsidRPr="0001388C">
        <w:t xml:space="preserve">, </w:t>
      </w:r>
      <w:r w:rsidRPr="0001388C">
        <w:rPr>
          <w:rFonts w:ascii="Sylfaen" w:hAnsi="Sylfaen" w:cs="Sylfaen"/>
        </w:rPr>
        <w:t>რომელთა</w:t>
      </w:r>
      <w:r w:rsidRPr="0001388C">
        <w:t xml:space="preserve"> </w:t>
      </w:r>
      <w:r w:rsidRPr="0001388C">
        <w:rPr>
          <w:rFonts w:ascii="Sylfaen" w:hAnsi="Sylfaen" w:cs="Sylfaen"/>
        </w:rPr>
        <w:t>შრატის</w:t>
      </w:r>
      <w:r w:rsidRPr="0001388C">
        <w:t xml:space="preserve"> </w:t>
      </w:r>
      <w:r w:rsidRPr="0001388C">
        <w:rPr>
          <w:rFonts w:ascii="Sylfaen" w:hAnsi="Sylfaen" w:cs="Sylfaen"/>
        </w:rPr>
        <w:t>დონე</w:t>
      </w:r>
      <w:r w:rsidRPr="0001388C">
        <w:t xml:space="preserve"> </w:t>
      </w:r>
      <w:r w:rsidRPr="0001388C">
        <w:rPr>
          <w:rFonts w:ascii="Sylfaen" w:hAnsi="Sylfaen" w:cs="Sylfaen"/>
        </w:rPr>
        <w:t>უცვლელია</w:t>
      </w:r>
      <w:r w:rsidRPr="0001388C">
        <w:t xml:space="preserve"> </w:t>
      </w:r>
      <w:r w:rsidRPr="0001388C">
        <w:rPr>
          <w:rFonts w:ascii="Sylfaen" w:hAnsi="Sylfaen" w:cs="Sylfaen"/>
        </w:rPr>
        <w:t>ომეპრაზოლთან</w:t>
      </w:r>
      <w:r w:rsidRPr="0001388C">
        <w:t xml:space="preserve"> </w:t>
      </w:r>
      <w:r w:rsidRPr="0001388C">
        <w:rPr>
          <w:rFonts w:ascii="Sylfaen" w:hAnsi="Sylfaen" w:cs="Sylfaen"/>
        </w:rPr>
        <w:t>ერთად</w:t>
      </w:r>
      <w:r w:rsidRPr="0001388C">
        <w:t xml:space="preserve"> </w:t>
      </w:r>
      <w:r w:rsidRPr="0001388C">
        <w:rPr>
          <w:rFonts w:ascii="Sylfaen" w:hAnsi="Sylfaen" w:cs="Sylfaen"/>
        </w:rPr>
        <w:t>მიღებისას</w:t>
      </w:r>
      <w:r w:rsidRPr="0001388C">
        <w:t xml:space="preserve">. </w:t>
      </w:r>
      <w:r w:rsidRPr="0001388C">
        <w:rPr>
          <w:rFonts w:ascii="Sylfaen" w:hAnsi="Sylfaen" w:cs="Sylfaen"/>
        </w:rPr>
        <w:t>ომეპრაზოლისა</w:t>
      </w:r>
      <w:r w:rsidRPr="0001388C">
        <w:t xml:space="preserve"> </w:t>
      </w:r>
      <w:r w:rsidRPr="0001388C">
        <w:rPr>
          <w:rFonts w:ascii="Sylfaen" w:hAnsi="Sylfaen" w:cs="Sylfaen"/>
        </w:rPr>
        <w:t>და</w:t>
      </w:r>
      <w:r w:rsidRPr="0001388C">
        <w:t xml:space="preserve"> </w:t>
      </w:r>
      <w:r w:rsidRPr="0001388C">
        <w:rPr>
          <w:rFonts w:ascii="Sylfaen" w:hAnsi="Sylfaen" w:cs="Sylfaen"/>
        </w:rPr>
        <w:t>ეზომეპრაზოლის</w:t>
      </w:r>
      <w:r w:rsidRPr="0001388C">
        <w:t xml:space="preserve"> </w:t>
      </w:r>
      <w:r w:rsidRPr="0001388C">
        <w:rPr>
          <w:rFonts w:ascii="Sylfaen" w:hAnsi="Sylfaen" w:cs="Sylfaen"/>
        </w:rPr>
        <w:t>მსგავსი</w:t>
      </w:r>
      <w:r w:rsidRPr="0001388C">
        <w:t xml:space="preserve"> </w:t>
      </w:r>
      <w:r w:rsidRPr="0001388C">
        <w:rPr>
          <w:rFonts w:ascii="Sylfaen" w:hAnsi="Sylfaen" w:cs="Sylfaen"/>
        </w:rPr>
        <w:t>ფარმაკოდინამიკური</w:t>
      </w:r>
      <w:r w:rsidRPr="0001388C">
        <w:t xml:space="preserve"> </w:t>
      </w:r>
      <w:r w:rsidRPr="0001388C">
        <w:rPr>
          <w:rFonts w:ascii="Sylfaen" w:hAnsi="Sylfaen" w:cs="Sylfaen"/>
        </w:rPr>
        <w:t>ეფექტებისა</w:t>
      </w:r>
      <w:r w:rsidRPr="0001388C">
        <w:t xml:space="preserve"> </w:t>
      </w:r>
      <w:r w:rsidRPr="0001388C">
        <w:rPr>
          <w:rFonts w:ascii="Sylfaen" w:hAnsi="Sylfaen" w:cs="Sylfaen"/>
        </w:rPr>
        <w:t>და</w:t>
      </w:r>
      <w:r w:rsidRPr="0001388C">
        <w:t xml:space="preserve"> </w:t>
      </w:r>
      <w:r w:rsidRPr="0001388C">
        <w:rPr>
          <w:rFonts w:ascii="Sylfaen" w:hAnsi="Sylfaen" w:cs="Sylfaen"/>
        </w:rPr>
        <w:t>ფარმაკოკინეტიკური</w:t>
      </w:r>
      <w:r w:rsidRPr="0001388C">
        <w:t xml:space="preserve"> </w:t>
      </w:r>
      <w:r w:rsidRPr="0001388C">
        <w:rPr>
          <w:rFonts w:ascii="Sylfaen" w:hAnsi="Sylfaen" w:cs="Sylfaen"/>
        </w:rPr>
        <w:t>თვისებების</w:t>
      </w:r>
      <w:r w:rsidRPr="0001388C">
        <w:t xml:space="preserve"> </w:t>
      </w:r>
      <w:r w:rsidRPr="0001388C">
        <w:rPr>
          <w:rFonts w:ascii="Sylfaen" w:hAnsi="Sylfaen" w:cs="Sylfaen"/>
        </w:rPr>
        <w:t>გამო</w:t>
      </w:r>
      <w:r w:rsidRPr="0001388C">
        <w:t xml:space="preserve">, </w:t>
      </w:r>
      <w:r w:rsidRPr="0001388C">
        <w:rPr>
          <w:rFonts w:ascii="Sylfaen" w:hAnsi="Sylfaen" w:cs="Sylfaen"/>
        </w:rPr>
        <w:t>ეზომეპრაზოლისა</w:t>
      </w:r>
      <w:r w:rsidRPr="0001388C">
        <w:t xml:space="preserve"> </w:t>
      </w:r>
      <w:r w:rsidRPr="0001388C">
        <w:rPr>
          <w:rFonts w:ascii="Sylfaen" w:hAnsi="Sylfaen" w:cs="Sylfaen"/>
        </w:rPr>
        <w:t>და</w:t>
      </w:r>
      <w:r w:rsidRPr="0001388C">
        <w:t xml:space="preserve"> </w:t>
      </w:r>
      <w:r w:rsidRPr="0001388C">
        <w:rPr>
          <w:rFonts w:ascii="Sylfaen" w:hAnsi="Sylfaen" w:cs="Sylfaen"/>
        </w:rPr>
        <w:t>ანტირეტროვირუსული</w:t>
      </w:r>
      <w:r w:rsidRPr="0001388C">
        <w:t xml:space="preserve"> </w:t>
      </w:r>
      <w:r w:rsidRPr="0001388C">
        <w:rPr>
          <w:rFonts w:ascii="Sylfaen" w:hAnsi="Sylfaen" w:cs="Sylfaen"/>
        </w:rPr>
        <w:t>პრეპარატების</w:t>
      </w:r>
      <w:r w:rsidRPr="0001388C">
        <w:t xml:space="preserve">, </w:t>
      </w:r>
      <w:r w:rsidRPr="0001388C">
        <w:rPr>
          <w:rFonts w:ascii="Sylfaen" w:hAnsi="Sylfaen" w:cs="Sylfaen"/>
        </w:rPr>
        <w:t>როგორიცაა</w:t>
      </w:r>
      <w:r w:rsidRPr="0001388C">
        <w:t xml:space="preserve"> </w:t>
      </w:r>
      <w:r w:rsidRPr="0001388C">
        <w:rPr>
          <w:rFonts w:ascii="Sylfaen" w:hAnsi="Sylfaen" w:cs="Sylfaen"/>
        </w:rPr>
        <w:t>ატაზანავირი</w:t>
      </w:r>
      <w:r w:rsidRPr="0001388C">
        <w:t xml:space="preserve"> </w:t>
      </w:r>
      <w:r w:rsidRPr="0001388C">
        <w:rPr>
          <w:rFonts w:ascii="Sylfaen" w:hAnsi="Sylfaen" w:cs="Sylfaen"/>
        </w:rPr>
        <w:t>და</w:t>
      </w:r>
      <w:r w:rsidRPr="0001388C">
        <w:t xml:space="preserve"> </w:t>
      </w:r>
      <w:r w:rsidRPr="0001388C">
        <w:rPr>
          <w:rFonts w:ascii="Sylfaen" w:hAnsi="Sylfaen" w:cs="Sylfaen"/>
        </w:rPr>
        <w:t>ნელფინავირი</w:t>
      </w:r>
      <w:r w:rsidRPr="0001388C">
        <w:t xml:space="preserve">, </w:t>
      </w:r>
      <w:r w:rsidRPr="0001388C">
        <w:rPr>
          <w:rFonts w:ascii="Sylfaen" w:hAnsi="Sylfaen" w:cs="Sylfaen"/>
        </w:rPr>
        <w:t>ერთდროული</w:t>
      </w:r>
      <w:r w:rsidRPr="0001388C">
        <w:t xml:space="preserve"> </w:t>
      </w:r>
      <w:r w:rsidRPr="0001388C">
        <w:rPr>
          <w:rFonts w:ascii="Sylfaen" w:hAnsi="Sylfaen" w:cs="Sylfaen"/>
        </w:rPr>
        <w:t>მიღება</w:t>
      </w:r>
      <w:r w:rsidRPr="0001388C">
        <w:t xml:space="preserve"> </w:t>
      </w:r>
      <w:r w:rsidRPr="0001388C">
        <w:rPr>
          <w:rFonts w:ascii="Sylfaen" w:hAnsi="Sylfaen" w:cs="Sylfaen"/>
        </w:rPr>
        <w:t>უკუნაჩვენებია</w:t>
      </w:r>
      <w:r w:rsidRPr="0001388C">
        <w:t>.</w:t>
      </w:r>
    </w:p>
    <w:p w14:paraId="69A66B17" w14:textId="77777777" w:rsidR="0001388C" w:rsidRDefault="0001388C" w:rsidP="00401989">
      <w:pPr>
        <w:spacing w:after="0" w:line="276" w:lineRule="auto"/>
        <w:jc w:val="both"/>
      </w:pPr>
    </w:p>
    <w:p w14:paraId="149D39C8" w14:textId="77777777" w:rsidR="00451755" w:rsidRDefault="00451755" w:rsidP="00401989">
      <w:pPr>
        <w:spacing w:after="0" w:line="276" w:lineRule="auto"/>
        <w:jc w:val="both"/>
      </w:pPr>
      <w:r>
        <w:t>ეზომეპრაზოლს არ აქვს კლინიკურად მნიშვნელოვანი გავლენა ამოქსიცილინის ან ქინიდინის ფარმაკოკინეტიკაზე.</w:t>
      </w:r>
    </w:p>
    <w:p w14:paraId="3F659920" w14:textId="77777777" w:rsidR="0001388C" w:rsidRDefault="0001388C" w:rsidP="00401989">
      <w:pPr>
        <w:spacing w:after="0" w:line="276" w:lineRule="auto"/>
        <w:jc w:val="both"/>
        <w:rPr>
          <w:i/>
          <w:iCs/>
        </w:rPr>
      </w:pPr>
    </w:p>
    <w:p w14:paraId="6EBE6254" w14:textId="765F41A0" w:rsidR="00451755" w:rsidRPr="0001388C" w:rsidRDefault="00451755" w:rsidP="00401989">
      <w:pPr>
        <w:spacing w:after="0" w:line="276" w:lineRule="auto"/>
        <w:jc w:val="both"/>
        <w:rPr>
          <w:i/>
          <w:iCs/>
        </w:rPr>
      </w:pPr>
      <w:r w:rsidRPr="0001388C">
        <w:rPr>
          <w:i/>
          <w:iCs/>
        </w:rPr>
        <w:t>სხვა პრეპარატების გავლენა ეზომეპრაზოლის ფარმაკოკინეტიკაზე</w:t>
      </w:r>
    </w:p>
    <w:p w14:paraId="18CF24F5" w14:textId="77777777" w:rsidR="00451755" w:rsidRDefault="00451755" w:rsidP="00401989">
      <w:pPr>
        <w:spacing w:after="0" w:line="276" w:lineRule="auto"/>
        <w:jc w:val="both"/>
      </w:pPr>
      <w:r>
        <w:lastRenderedPageBreak/>
        <w:t>ეზომეპრაზოლი მეტაბოლიზდება CYP2C19-ით და CYP3A4-ით. ეზომეპრაზოლისა და კლარითრომიცინის, CYP3A4 ინჰიბიტორის, ერთდროული პერორალური მიღებისას (500 მგ დღეში ორჯერ) ეზომეპრაზოლის AUC-ის გაორმაგება შეინიშნებოდა. ეზომეპრაზოლისა და CYP2C19-ისა და CYP 3A4-ის კომბინირებული ინჰიბიტორის, როგორიცაა ვორიკონაზოლი, ერთდროული მიღებისას შეიძლება გაიზარდოს ეზომეპრაზოლის ექსპოზიცია გაორმაგებაზე მეტად. CYP2C19-ისა და CYP3A4 ინჰიბიტორი ვორიკონაზოლი ზრდიდა ომეპრაზოლის AUC-ს 280%-ით. თუმცა, ეზომეპრაზოლის დოზის კორექცია ჩვეულებრივ არ არის საჭირო არცერთ ამ სიტუაციაში.</w:t>
      </w:r>
    </w:p>
    <w:p w14:paraId="5DC988F8" w14:textId="77777777" w:rsidR="00451755" w:rsidRDefault="00451755" w:rsidP="00401989">
      <w:pPr>
        <w:spacing w:after="0" w:line="276" w:lineRule="auto"/>
        <w:jc w:val="both"/>
      </w:pPr>
      <w:r>
        <w:t>პრეპარატებმა, რომლებიც იწვევენ CYP2C19-ს ან CYP3A4-ს, ან ორივეს (მაგალითად, რიფამპიცინი და კრაზანა), შეიძლება გამოიწვიონ ეზომეპრაზოლის შრატის დონის შემცირება ეზომეპრაზოლის მეტაბოლიზმის გაძლიერების გზით.</w:t>
      </w:r>
    </w:p>
    <w:p w14:paraId="59082769" w14:textId="77777777" w:rsidR="0001388C" w:rsidRDefault="00451755" w:rsidP="00401989">
      <w:pPr>
        <w:spacing w:after="0" w:line="276" w:lineRule="auto"/>
        <w:jc w:val="both"/>
        <w:rPr>
          <w:b/>
          <w:bCs/>
        </w:rPr>
      </w:pPr>
      <w:r w:rsidRPr="0001388C">
        <w:rPr>
          <w:b/>
          <w:bCs/>
        </w:rPr>
        <w:t>4.6.</w:t>
      </w:r>
      <w:r w:rsidR="0001388C" w:rsidRPr="0001388C">
        <w:rPr>
          <w:b/>
          <w:bCs/>
        </w:rPr>
        <w:t xml:space="preserve"> </w:t>
      </w:r>
      <w:r w:rsidRPr="0001388C">
        <w:rPr>
          <w:b/>
          <w:bCs/>
        </w:rPr>
        <w:t xml:space="preserve">ორსულობა და ლაქტაცია ზოგადი რეკომენდაცია </w:t>
      </w:r>
    </w:p>
    <w:p w14:paraId="4EB09324" w14:textId="590CBEFF" w:rsidR="00451755" w:rsidRPr="0001388C" w:rsidRDefault="00451755" w:rsidP="00401989">
      <w:pPr>
        <w:spacing w:after="0" w:line="276" w:lineRule="auto"/>
        <w:jc w:val="both"/>
      </w:pPr>
      <w:r w:rsidRPr="0001388C">
        <w:t>ორსულობის კატეგორია B</w:t>
      </w:r>
    </w:p>
    <w:p w14:paraId="6709A863" w14:textId="77777777" w:rsidR="00451755" w:rsidRPr="0093315F" w:rsidRDefault="00451755" w:rsidP="00401989">
      <w:pPr>
        <w:spacing w:after="0" w:line="276" w:lineRule="auto"/>
        <w:jc w:val="both"/>
        <w:rPr>
          <w:b/>
          <w:bCs/>
        </w:rPr>
      </w:pPr>
      <w:r w:rsidRPr="0093315F">
        <w:rPr>
          <w:b/>
          <w:bCs/>
        </w:rPr>
        <w:t>რეპროდუქციული პოტენციალის მქონე ქალები/ჩასახვის საწინააღმდეგო საშუალებები (კონტრაცეფცია)</w:t>
      </w:r>
    </w:p>
    <w:p w14:paraId="788DD5C6" w14:textId="77777777" w:rsidR="00451755" w:rsidRDefault="00451755" w:rsidP="00401989">
      <w:pPr>
        <w:spacing w:after="0" w:line="276" w:lineRule="auto"/>
        <w:jc w:val="both"/>
      </w:pPr>
      <w:r>
        <w:t>კონტრაცეპტივებთან ურთიერთქმედება მოსალოდნელი არ არის.</w:t>
      </w:r>
    </w:p>
    <w:p w14:paraId="744EF7C6" w14:textId="77777777" w:rsidR="00451755" w:rsidRPr="0093315F" w:rsidRDefault="00451755" w:rsidP="00401989">
      <w:pPr>
        <w:spacing w:after="0" w:line="276" w:lineRule="auto"/>
        <w:jc w:val="both"/>
        <w:rPr>
          <w:b/>
          <w:bCs/>
        </w:rPr>
      </w:pPr>
      <w:r w:rsidRPr="0093315F">
        <w:rPr>
          <w:b/>
          <w:bCs/>
        </w:rPr>
        <w:t>ორსულობა</w:t>
      </w:r>
    </w:p>
    <w:p w14:paraId="14846809" w14:textId="4BE223F1" w:rsidR="00451755" w:rsidRDefault="00B008E9" w:rsidP="00401989">
      <w:pPr>
        <w:spacing w:after="0" w:line="276" w:lineRule="auto"/>
        <w:jc w:val="both"/>
      </w:pPr>
      <w:r>
        <w:rPr>
          <w:rFonts w:ascii="Sylfaen" w:hAnsi="Sylfaen" w:cs="Sylfaen"/>
        </w:rPr>
        <w:t>ცენტეპროლი</w:t>
      </w:r>
      <w:r w:rsidR="00451755">
        <w:t>ს შემთხვევაში, ორსულობის დროს ეზომეპრაზოლის ზემოქმედების შესახებ შეზღუდული მონაცემებია ხელმისაწვდომი. ცხოველებზე ჩატარებული კვლევები არ აჩვენებს ემბრიონის/ ნაყოფის განვითარებაზე პირდაპირ ან ირიბ მავნე ზემოქმედებას. რაცემიული ნარევის ცხოველებზე ჩატარებული კვლევები არ აჩვენებს ორსულობაზე, მშობიარობაზე ან პოსტნატალურ განვითარებაზე პირდაპირ ან ირიბ მავნე ზემოქმედებას. თუმცა, საჭიროების შემთხვევაში, სიფრთხილეა საჭირო ამ მედიკამენტის ორსული ქალებისთვის დანიშვნისას.</w:t>
      </w:r>
    </w:p>
    <w:p w14:paraId="3697D38C" w14:textId="77777777" w:rsidR="00451755" w:rsidRPr="0093315F" w:rsidRDefault="00451755" w:rsidP="00401989">
      <w:pPr>
        <w:spacing w:after="0" w:line="276" w:lineRule="auto"/>
        <w:jc w:val="both"/>
        <w:rPr>
          <w:b/>
          <w:bCs/>
        </w:rPr>
      </w:pPr>
      <w:r w:rsidRPr="0093315F">
        <w:rPr>
          <w:b/>
          <w:bCs/>
        </w:rPr>
        <w:t>ლაქტაცია</w:t>
      </w:r>
    </w:p>
    <w:p w14:paraId="799B7720" w14:textId="682D2A64" w:rsidR="00451755" w:rsidRDefault="00451755" w:rsidP="00401989">
      <w:pPr>
        <w:spacing w:after="0" w:line="276" w:lineRule="auto"/>
        <w:jc w:val="both"/>
      </w:pPr>
      <w:r>
        <w:t xml:space="preserve">უცნობია, გამოიყოფა თუ არა ეზომეპრაზოლი ადამიანის დედის რძეში. მეძუძურ ქალებში კვლევები არ ჩატარებულა. ამიტომ, </w:t>
      </w:r>
      <w:r w:rsidR="00B008E9">
        <w:rPr>
          <w:rFonts w:ascii="Sylfaen" w:hAnsi="Sylfaen" w:cs="Sylfaen"/>
        </w:rPr>
        <w:t>ცენტეპროლი</w:t>
      </w:r>
      <w:r>
        <w:t xml:space="preserve"> არ უნდა იქნას გამოყენებული ლაქტაციის პერიოდში.</w:t>
      </w:r>
    </w:p>
    <w:p w14:paraId="5C35FB96" w14:textId="77777777" w:rsidR="00451755" w:rsidRPr="0093315F" w:rsidRDefault="00451755" w:rsidP="00401989">
      <w:pPr>
        <w:spacing w:after="0" w:line="276" w:lineRule="auto"/>
        <w:jc w:val="both"/>
        <w:rPr>
          <w:b/>
          <w:bCs/>
        </w:rPr>
      </w:pPr>
      <w:r w:rsidRPr="0093315F">
        <w:rPr>
          <w:b/>
          <w:bCs/>
        </w:rPr>
        <w:t>ნაყოფიერება</w:t>
      </w:r>
    </w:p>
    <w:p w14:paraId="1E01982A" w14:textId="138DCBB4" w:rsidR="00451755" w:rsidRDefault="00451755" w:rsidP="00401989">
      <w:pPr>
        <w:spacing w:after="0" w:line="276" w:lineRule="auto"/>
        <w:jc w:val="both"/>
      </w:pPr>
      <w:r>
        <w:t xml:space="preserve">არ არსებობს მონაცემები </w:t>
      </w:r>
      <w:r w:rsidR="00B008E9">
        <w:rPr>
          <w:rFonts w:ascii="Sylfaen" w:hAnsi="Sylfaen" w:cs="Sylfaen"/>
        </w:rPr>
        <w:t>ცენტეპროლი</w:t>
      </w:r>
      <w:r>
        <w:t>ს ფერტილობაზე ზემოქმედების შესახებ.</w:t>
      </w:r>
    </w:p>
    <w:p w14:paraId="3E374199" w14:textId="5784B59C" w:rsidR="00451755" w:rsidRDefault="00451755" w:rsidP="00401989">
      <w:pPr>
        <w:spacing w:after="0" w:line="276" w:lineRule="auto"/>
        <w:jc w:val="both"/>
      </w:pPr>
    </w:p>
    <w:p w14:paraId="68DC6937" w14:textId="77777777" w:rsidR="00451755" w:rsidRPr="0093315F" w:rsidRDefault="00451755" w:rsidP="00401989">
      <w:pPr>
        <w:spacing w:after="0" w:line="276" w:lineRule="auto"/>
        <w:jc w:val="both"/>
        <w:rPr>
          <w:b/>
          <w:bCs/>
        </w:rPr>
      </w:pPr>
      <w:r w:rsidRPr="0093315F">
        <w:rPr>
          <w:b/>
          <w:bCs/>
        </w:rPr>
        <w:t>4.7. გავლენა ავტომობილის მართვისა და მექანიზმების გამოყენების უნარზე</w:t>
      </w:r>
    </w:p>
    <w:p w14:paraId="6ABD4CA1" w14:textId="77777777" w:rsidR="00451755" w:rsidRDefault="00451755" w:rsidP="00401989">
      <w:pPr>
        <w:spacing w:after="0" w:line="276" w:lineRule="auto"/>
        <w:jc w:val="both"/>
      </w:pPr>
      <w:r>
        <w:t>ნაკლებად სავარაუდოა, რომ ის გავლენას მოახდენს ავტომობილის მართვის ან მექანიზმებთან მუშაობის უნარზე.</w:t>
      </w:r>
    </w:p>
    <w:p w14:paraId="7B319AAB" w14:textId="77777777" w:rsidR="00451755" w:rsidRPr="0093315F" w:rsidRDefault="00451755" w:rsidP="00401989">
      <w:pPr>
        <w:spacing w:after="0" w:line="276" w:lineRule="auto"/>
        <w:jc w:val="both"/>
        <w:rPr>
          <w:b/>
          <w:bCs/>
        </w:rPr>
      </w:pPr>
      <w:r w:rsidRPr="0093315F">
        <w:rPr>
          <w:b/>
          <w:bCs/>
        </w:rPr>
        <w:t>4.8 არასასურველი ეფექტები</w:t>
      </w:r>
    </w:p>
    <w:p w14:paraId="39079EB0" w14:textId="77777777" w:rsidR="00451755" w:rsidRDefault="00451755" w:rsidP="00401989">
      <w:pPr>
        <w:spacing w:after="0" w:line="276" w:lineRule="auto"/>
        <w:jc w:val="both"/>
      </w:pPr>
      <w:r>
        <w:t>შემდეგი გვერდითი მოვლენები გამოვლინდა ან საეჭვო იყო ეზომეპრაზოლის პერორალურად ან ინტრავენურად მიღების კლინიკურ კვლევებში და პერორალური ეზომეპრაზოლის მარკეტინგის შემდგომ კვლევებში.</w:t>
      </w:r>
    </w:p>
    <w:p w14:paraId="149BB80C" w14:textId="77777777" w:rsidR="0093315F" w:rsidRDefault="0093315F" w:rsidP="00401989">
      <w:pPr>
        <w:spacing w:after="0" w:line="276" w:lineRule="auto"/>
        <w:jc w:val="both"/>
      </w:pPr>
    </w:p>
    <w:p w14:paraId="745F967C" w14:textId="1938016F" w:rsidR="00451755" w:rsidRDefault="00451755" w:rsidP="00401989">
      <w:pPr>
        <w:spacing w:after="0" w:line="276" w:lineRule="auto"/>
        <w:jc w:val="both"/>
      </w:pPr>
      <w:r>
        <w:t>რეაქციები კლასიფიცირდება სიხშირის მიხედვით:</w:t>
      </w:r>
    </w:p>
    <w:p w14:paraId="121CF701" w14:textId="77777777" w:rsidR="00451755" w:rsidRDefault="00451755" w:rsidP="00401989">
      <w:pPr>
        <w:spacing w:after="0" w:line="276" w:lineRule="auto"/>
        <w:jc w:val="both"/>
      </w:pPr>
      <w:r>
        <w:lastRenderedPageBreak/>
        <w:t>ძალიან ხშირი (&gt;1/10); ხშირი (&gt;1/100-დან &lt;1/10-მდე); არახშირი (&gt;1/1,000-დან &lt;1/100-მდე); იშვიათი (&gt;1/10,000-დან &lt;1/1,000-მდე); ძალიან იშვიათი &lt;1/10,000; უცნობია (არსებული მონაცემებით შეფასება შეუძლებელია).</w:t>
      </w:r>
    </w:p>
    <w:p w14:paraId="06493D2E" w14:textId="77777777" w:rsidR="0093315F" w:rsidRDefault="0093315F" w:rsidP="00401989">
      <w:pPr>
        <w:spacing w:after="0" w:line="276" w:lineRule="auto"/>
        <w:jc w:val="both"/>
      </w:pPr>
    </w:p>
    <w:p w14:paraId="607CA6E4" w14:textId="77777777" w:rsidR="0093315F" w:rsidRDefault="00451755" w:rsidP="00401989">
      <w:pPr>
        <w:spacing w:after="0" w:line="276" w:lineRule="auto"/>
        <w:jc w:val="both"/>
        <w:rPr>
          <w:b/>
          <w:bCs/>
        </w:rPr>
      </w:pPr>
      <w:r w:rsidRPr="0093315F">
        <w:rPr>
          <w:b/>
          <w:bCs/>
        </w:rPr>
        <w:t>სისხლისა და ლიმფური სისტემის დარღვევები</w:t>
      </w:r>
    </w:p>
    <w:p w14:paraId="187B9914" w14:textId="77777777" w:rsidR="0093315F" w:rsidRDefault="00451755" w:rsidP="00401989">
      <w:pPr>
        <w:spacing w:after="0" w:line="276" w:lineRule="auto"/>
        <w:jc w:val="both"/>
      </w:pPr>
      <w:r>
        <w:t xml:space="preserve"> იშვიათი: ლეიკოპენია, თრომბოციტოპენია </w:t>
      </w:r>
    </w:p>
    <w:p w14:paraId="7C3CA0D3" w14:textId="291B543E" w:rsidR="00451755" w:rsidRDefault="00451755" w:rsidP="00401989">
      <w:pPr>
        <w:spacing w:after="0" w:line="276" w:lineRule="auto"/>
        <w:jc w:val="both"/>
      </w:pPr>
      <w:r>
        <w:t>ძალიან იშვიათი: აგრანულოციტოზი, პანციტოპენია</w:t>
      </w:r>
    </w:p>
    <w:p w14:paraId="3CF2B916" w14:textId="77777777" w:rsidR="00451755" w:rsidRPr="0093315F" w:rsidRDefault="00451755" w:rsidP="00401989">
      <w:pPr>
        <w:spacing w:after="0" w:line="276" w:lineRule="auto"/>
        <w:jc w:val="both"/>
        <w:rPr>
          <w:b/>
          <w:bCs/>
        </w:rPr>
      </w:pPr>
      <w:r w:rsidRPr="0093315F">
        <w:rPr>
          <w:b/>
          <w:bCs/>
        </w:rPr>
        <w:t>იმუნური სისტემის დარღვევები</w:t>
      </w:r>
    </w:p>
    <w:p w14:paraId="46B35357" w14:textId="77777777" w:rsidR="00451755" w:rsidRDefault="00451755" w:rsidP="00401989">
      <w:pPr>
        <w:spacing w:after="0" w:line="276" w:lineRule="auto"/>
        <w:jc w:val="both"/>
      </w:pPr>
      <w:r>
        <w:t>იშვიათი: მომატებული მგრძნობელობის რეაქციები, მაგ. ცხელება, ანგიონევროზული შეშუპება და ანაფილაქსიური რეაქცია/შოკი.</w:t>
      </w:r>
    </w:p>
    <w:p w14:paraId="6890FBFB" w14:textId="77777777" w:rsidR="00451755" w:rsidRPr="0093315F" w:rsidRDefault="00451755" w:rsidP="00401989">
      <w:pPr>
        <w:spacing w:after="0" w:line="276" w:lineRule="auto"/>
        <w:jc w:val="both"/>
        <w:rPr>
          <w:b/>
          <w:bCs/>
        </w:rPr>
      </w:pPr>
      <w:r w:rsidRPr="0093315F">
        <w:rPr>
          <w:b/>
          <w:bCs/>
        </w:rPr>
        <w:t>მეტაბოლიზმისა და კვების დარღვევები</w:t>
      </w:r>
    </w:p>
    <w:p w14:paraId="687F0532" w14:textId="77777777" w:rsidR="0093315F" w:rsidRDefault="00451755" w:rsidP="00401989">
      <w:pPr>
        <w:spacing w:after="0" w:line="276" w:lineRule="auto"/>
        <w:jc w:val="both"/>
      </w:pPr>
      <w:r>
        <w:t xml:space="preserve">არახშირი: პერიფერიული შეშუპება ; </w:t>
      </w:r>
    </w:p>
    <w:p w14:paraId="1D1FC20C" w14:textId="58AC63D7" w:rsidR="00451755" w:rsidRDefault="00451755" w:rsidP="00401989">
      <w:pPr>
        <w:spacing w:after="0" w:line="276" w:lineRule="auto"/>
        <w:jc w:val="both"/>
      </w:pPr>
      <w:r>
        <w:t>იშვიათი: ჰიპონატრიემია.</w:t>
      </w:r>
    </w:p>
    <w:p w14:paraId="6664157B" w14:textId="77777777" w:rsidR="00451755" w:rsidRDefault="00451755" w:rsidP="00401989">
      <w:pPr>
        <w:spacing w:after="0" w:line="276" w:lineRule="auto"/>
        <w:jc w:val="both"/>
      </w:pPr>
      <w:r>
        <w:t>ძალიან იშვიათი: ჰიპომაგნიემია</w:t>
      </w:r>
    </w:p>
    <w:p w14:paraId="289908B2" w14:textId="77777777" w:rsidR="00451755" w:rsidRPr="0093315F" w:rsidRDefault="00451755" w:rsidP="00401989">
      <w:pPr>
        <w:spacing w:after="0" w:line="276" w:lineRule="auto"/>
        <w:jc w:val="both"/>
        <w:rPr>
          <w:b/>
          <w:bCs/>
        </w:rPr>
      </w:pPr>
      <w:r w:rsidRPr="0093315F">
        <w:rPr>
          <w:b/>
          <w:bCs/>
        </w:rPr>
        <w:t>ფსიქიატრიული დარღვევები</w:t>
      </w:r>
    </w:p>
    <w:p w14:paraId="11EF558E" w14:textId="77777777" w:rsidR="00451755" w:rsidRDefault="00451755" w:rsidP="00401989">
      <w:pPr>
        <w:spacing w:after="0" w:line="276" w:lineRule="auto"/>
        <w:jc w:val="both"/>
      </w:pPr>
      <w:r>
        <w:t>არახშირი: უძილობა</w:t>
      </w:r>
    </w:p>
    <w:p w14:paraId="07FA8E5A" w14:textId="77777777" w:rsidR="0093315F" w:rsidRDefault="00451755" w:rsidP="00401989">
      <w:pPr>
        <w:spacing w:after="0" w:line="276" w:lineRule="auto"/>
        <w:jc w:val="both"/>
      </w:pPr>
      <w:r>
        <w:t xml:space="preserve">იშვიათი: აგზნება, დაბნეულობა, დეპრესია. </w:t>
      </w:r>
    </w:p>
    <w:p w14:paraId="25B1E79A" w14:textId="6BF7440D" w:rsidR="00451755" w:rsidRDefault="00451755" w:rsidP="00401989">
      <w:pPr>
        <w:spacing w:after="0" w:line="276" w:lineRule="auto"/>
        <w:jc w:val="both"/>
      </w:pPr>
      <w:r>
        <w:t>ძალიან იშვიათი: აგრესია, ჰალუცინაციები.</w:t>
      </w:r>
    </w:p>
    <w:p w14:paraId="350ECF92" w14:textId="77777777" w:rsidR="00451755" w:rsidRPr="0093315F" w:rsidRDefault="00451755" w:rsidP="00401989">
      <w:pPr>
        <w:spacing w:after="0" w:line="276" w:lineRule="auto"/>
        <w:jc w:val="both"/>
        <w:rPr>
          <w:b/>
          <w:bCs/>
        </w:rPr>
      </w:pPr>
      <w:r w:rsidRPr="0093315F">
        <w:rPr>
          <w:b/>
          <w:bCs/>
        </w:rPr>
        <w:t>ნერვული სისტემის დარღვევები</w:t>
      </w:r>
    </w:p>
    <w:p w14:paraId="143DD89A" w14:textId="77777777" w:rsidR="00451755" w:rsidRDefault="00451755" w:rsidP="00401989">
      <w:pPr>
        <w:spacing w:after="0" w:line="276" w:lineRule="auto"/>
        <w:jc w:val="both"/>
      </w:pPr>
      <w:r>
        <w:t>ხშირი: თავის ტკივილი</w:t>
      </w:r>
    </w:p>
    <w:p w14:paraId="087CC9B1" w14:textId="77777777" w:rsidR="0093315F" w:rsidRDefault="00451755" w:rsidP="00401989">
      <w:pPr>
        <w:spacing w:after="0" w:line="276" w:lineRule="auto"/>
        <w:jc w:val="both"/>
      </w:pPr>
      <w:r>
        <w:t xml:space="preserve">არახშირი: თავბრუსხვევა, პარესთეზია , ძილიანობა. </w:t>
      </w:r>
    </w:p>
    <w:p w14:paraId="23AB4724" w14:textId="3233CE44" w:rsidR="00451755" w:rsidRDefault="00451755" w:rsidP="00401989">
      <w:pPr>
        <w:spacing w:after="0" w:line="276" w:lineRule="auto"/>
        <w:jc w:val="both"/>
      </w:pPr>
      <w:r>
        <w:t>იშვიათი: გემოს დარღვევა.</w:t>
      </w:r>
    </w:p>
    <w:p w14:paraId="7CD4F695" w14:textId="77777777" w:rsidR="00451755" w:rsidRPr="0093315F" w:rsidRDefault="00451755" w:rsidP="00401989">
      <w:pPr>
        <w:spacing w:after="0" w:line="276" w:lineRule="auto"/>
        <w:jc w:val="both"/>
        <w:rPr>
          <w:b/>
          <w:bCs/>
        </w:rPr>
      </w:pPr>
      <w:r w:rsidRPr="0093315F">
        <w:rPr>
          <w:b/>
          <w:bCs/>
        </w:rPr>
        <w:t>თვალის დარღვევები</w:t>
      </w:r>
    </w:p>
    <w:p w14:paraId="1104AF6A" w14:textId="77777777" w:rsidR="00451755" w:rsidRDefault="00451755" w:rsidP="00401989">
      <w:pPr>
        <w:spacing w:after="0" w:line="276" w:lineRule="auto"/>
        <w:jc w:val="both"/>
      </w:pPr>
      <w:r>
        <w:t>იშვიათი: მხედველობის დაბინდვა</w:t>
      </w:r>
    </w:p>
    <w:p w14:paraId="7BCA1D97" w14:textId="77777777" w:rsidR="00451755" w:rsidRPr="0093315F" w:rsidRDefault="00451755" w:rsidP="00401989">
      <w:pPr>
        <w:spacing w:after="0" w:line="276" w:lineRule="auto"/>
        <w:jc w:val="both"/>
        <w:rPr>
          <w:b/>
          <w:bCs/>
        </w:rPr>
      </w:pPr>
      <w:r w:rsidRPr="0093315F">
        <w:rPr>
          <w:b/>
          <w:bCs/>
        </w:rPr>
        <w:t>ყურისა და ლაბირინთის დარღვევები</w:t>
      </w:r>
    </w:p>
    <w:p w14:paraId="13DE30E1" w14:textId="77777777" w:rsidR="00451755" w:rsidRDefault="00451755" w:rsidP="00401989">
      <w:pPr>
        <w:spacing w:after="0" w:line="276" w:lineRule="auto"/>
        <w:jc w:val="both"/>
      </w:pPr>
      <w:r>
        <w:t>არახშირი: ვერტიგო</w:t>
      </w:r>
    </w:p>
    <w:p w14:paraId="4E05E780" w14:textId="77777777" w:rsidR="00451755" w:rsidRPr="0093315F" w:rsidRDefault="00451755" w:rsidP="00401989">
      <w:pPr>
        <w:spacing w:after="0" w:line="276" w:lineRule="auto"/>
        <w:jc w:val="both"/>
        <w:rPr>
          <w:b/>
          <w:bCs/>
        </w:rPr>
      </w:pPr>
      <w:r w:rsidRPr="0093315F">
        <w:rPr>
          <w:b/>
          <w:bCs/>
        </w:rPr>
        <w:t>სასუნთქი გზების, გულმკერდის და შუასაყრის დარღვევები</w:t>
      </w:r>
    </w:p>
    <w:p w14:paraId="538F0971" w14:textId="77777777" w:rsidR="00451755" w:rsidRDefault="00451755" w:rsidP="00401989">
      <w:pPr>
        <w:spacing w:after="0" w:line="276" w:lineRule="auto"/>
        <w:jc w:val="both"/>
      </w:pPr>
      <w:r>
        <w:t>იშვიათი: ბრონქოსპაზმი</w:t>
      </w:r>
    </w:p>
    <w:p w14:paraId="316A1C21" w14:textId="0E78505D" w:rsidR="00451755" w:rsidRDefault="00451755" w:rsidP="00401989">
      <w:pPr>
        <w:spacing w:after="0" w:line="276" w:lineRule="auto"/>
        <w:jc w:val="both"/>
      </w:pPr>
    </w:p>
    <w:p w14:paraId="4EC5DCED" w14:textId="77777777" w:rsidR="00451755" w:rsidRPr="0093315F" w:rsidRDefault="00451755" w:rsidP="00401989">
      <w:pPr>
        <w:spacing w:after="0" w:line="276" w:lineRule="auto"/>
        <w:jc w:val="both"/>
        <w:rPr>
          <w:b/>
          <w:bCs/>
        </w:rPr>
      </w:pPr>
      <w:r w:rsidRPr="0093315F">
        <w:rPr>
          <w:b/>
          <w:bCs/>
        </w:rPr>
        <w:t>კუჭ-ნაწლავის დარღვევები</w:t>
      </w:r>
    </w:p>
    <w:p w14:paraId="17B9601E" w14:textId="77777777" w:rsidR="00451755" w:rsidRDefault="00451755" w:rsidP="00401989">
      <w:pPr>
        <w:spacing w:after="0" w:line="276" w:lineRule="auto"/>
        <w:jc w:val="both"/>
      </w:pPr>
      <w:r>
        <w:t>ხშირი: მუცლის ტკივილი, ყაბზობა, დიარეა , მეტეორიზმი, გულისრევა/ღებინება; არახშირი: პირის სიმშრალე.</w:t>
      </w:r>
    </w:p>
    <w:p w14:paraId="45DEF5A2" w14:textId="77777777" w:rsidR="0093315F" w:rsidRDefault="00451755" w:rsidP="00401989">
      <w:pPr>
        <w:spacing w:after="0" w:line="276" w:lineRule="auto"/>
        <w:jc w:val="both"/>
      </w:pPr>
      <w:r>
        <w:t xml:space="preserve">იშვიათი: სტომატიტი, კუჭ-ნაწლავის კანდიდოზი. </w:t>
      </w:r>
    </w:p>
    <w:p w14:paraId="3DA92794" w14:textId="38AFA879" w:rsidR="00451755" w:rsidRPr="0093315F" w:rsidRDefault="00451755" w:rsidP="00401989">
      <w:pPr>
        <w:spacing w:after="0" w:line="276" w:lineRule="auto"/>
        <w:jc w:val="both"/>
      </w:pPr>
      <w:r>
        <w:t xml:space="preserve">ძალიან იშვიათი: მიკროსკოპული </w:t>
      </w:r>
      <w:r w:rsidRPr="0093315F">
        <w:t>კოლიტი.</w:t>
      </w:r>
    </w:p>
    <w:p w14:paraId="1D6039F3" w14:textId="77777777" w:rsidR="00451755" w:rsidRPr="0093315F" w:rsidRDefault="00451755" w:rsidP="00401989">
      <w:pPr>
        <w:spacing w:after="0" w:line="276" w:lineRule="auto"/>
        <w:jc w:val="both"/>
        <w:rPr>
          <w:b/>
          <w:bCs/>
        </w:rPr>
      </w:pPr>
      <w:r w:rsidRPr="0093315F">
        <w:rPr>
          <w:b/>
          <w:bCs/>
        </w:rPr>
        <w:t>ჰეპატობილიარული დარღვევები</w:t>
      </w:r>
    </w:p>
    <w:p w14:paraId="3EF3F6B6" w14:textId="77777777" w:rsidR="0093315F" w:rsidRDefault="00451755" w:rsidP="00401989">
      <w:pPr>
        <w:spacing w:after="0" w:line="276" w:lineRule="auto"/>
        <w:jc w:val="both"/>
      </w:pPr>
      <w:r>
        <w:t xml:space="preserve">არახშირი: ღვიძლის ფერმენტების მომატება. </w:t>
      </w:r>
    </w:p>
    <w:p w14:paraId="0F9BE94F" w14:textId="1582333A" w:rsidR="00451755" w:rsidRDefault="00451755" w:rsidP="00401989">
      <w:pPr>
        <w:spacing w:after="0" w:line="276" w:lineRule="auto"/>
        <w:jc w:val="both"/>
      </w:pPr>
      <w:r>
        <w:t>იშვიათი: ჰეპატიტი სიყვითლით ან მის გარეშე.</w:t>
      </w:r>
    </w:p>
    <w:p w14:paraId="6B5240DB" w14:textId="77777777" w:rsidR="00451755" w:rsidRDefault="00451755" w:rsidP="00401989">
      <w:pPr>
        <w:spacing w:after="0" w:line="276" w:lineRule="auto"/>
        <w:jc w:val="both"/>
      </w:pPr>
      <w:r>
        <w:t>ძალიან იშვიათი: ღვიძლის უკმარისობა, ენცეფალოპათია პაციენტებში, რომლებსაც აქვთ ღვიძლის დაავადება.</w:t>
      </w:r>
    </w:p>
    <w:p w14:paraId="4D8F0480" w14:textId="77777777" w:rsidR="00451755" w:rsidRPr="0093315F" w:rsidRDefault="00451755" w:rsidP="00401989">
      <w:pPr>
        <w:spacing w:after="0" w:line="276" w:lineRule="auto"/>
        <w:jc w:val="both"/>
        <w:rPr>
          <w:b/>
          <w:bCs/>
        </w:rPr>
      </w:pPr>
      <w:r w:rsidRPr="0093315F">
        <w:rPr>
          <w:b/>
          <w:bCs/>
        </w:rPr>
        <w:t>კანისა და კანქვეშა ქსოვილის დარღვევები</w:t>
      </w:r>
    </w:p>
    <w:p w14:paraId="02AC6E8E" w14:textId="77777777" w:rsidR="00451755" w:rsidRDefault="00451755" w:rsidP="00401989">
      <w:pPr>
        <w:spacing w:after="0" w:line="276" w:lineRule="auto"/>
        <w:jc w:val="both"/>
      </w:pPr>
      <w:r>
        <w:t>ხშირი: რეაქციები შეყვანის ადგილას*</w:t>
      </w:r>
    </w:p>
    <w:p w14:paraId="2C19FF13" w14:textId="77777777" w:rsidR="00451755" w:rsidRDefault="00451755" w:rsidP="00401989">
      <w:pPr>
        <w:spacing w:after="0" w:line="276" w:lineRule="auto"/>
        <w:jc w:val="both"/>
      </w:pPr>
      <w:r>
        <w:lastRenderedPageBreak/>
        <w:t>*შეყვანის ადგილას რეაქციები ძირითადად დაფიქსირდა კვლევაში, სადაც მაღალი დოზები 3 დღის (72 საათის) განმავლობაში იყო გამოყენებული. ეზომეპრაზოლის ინტრავენური ფორმის არაკლინიკურ პროგრამაში არ დაფიქსირებულა სისხლძარღვების გაღიზიანების ნიშნები, თუმცა კანქვეშა ( პარავენური ) ინექციის შემდეგ ინექციის ადგილას აღინიშნა ქსოვილების მსუბუქი ანთებითი რეაქცია. არაკლინიკური მონაცემები გარკვეულწილად მიუთითებს, რომ კლინიკური ქსოვილების გაღიზიანება კონცენტრაციასთან იყო დაკავშირებული.</w:t>
      </w:r>
    </w:p>
    <w:p w14:paraId="7C5B4C4D" w14:textId="77777777" w:rsidR="00451755" w:rsidRDefault="00451755" w:rsidP="00401989">
      <w:pPr>
        <w:spacing w:after="0" w:line="276" w:lineRule="auto"/>
        <w:jc w:val="both"/>
      </w:pPr>
      <w:r>
        <w:t>არახშირი: დერმატიტი, ქავილი, გამონაყარი, ჭინჭრის ციება. იშვიათი: ალოპეცია, ფოტომგრძნობელობა.</w:t>
      </w:r>
    </w:p>
    <w:p w14:paraId="558B12FE" w14:textId="77777777" w:rsidR="00451755" w:rsidRDefault="00451755" w:rsidP="00401989">
      <w:pPr>
        <w:spacing w:after="0" w:line="276" w:lineRule="auto"/>
        <w:jc w:val="both"/>
      </w:pPr>
      <w:r>
        <w:t>ძალიან იშვიათი: მულტიფორმული ერითემა, სტივენს-ჯონსონის სინდრომი, ტოქსიკური ეპიდერმული ნეკროლიზი (TEN)</w:t>
      </w:r>
    </w:p>
    <w:p w14:paraId="00AE7B82" w14:textId="77777777" w:rsidR="0093315F" w:rsidRDefault="00451755" w:rsidP="00401989">
      <w:pPr>
        <w:spacing w:after="0" w:line="276" w:lineRule="auto"/>
        <w:jc w:val="both"/>
      </w:pPr>
      <w:r w:rsidRPr="0093315F">
        <w:rPr>
          <w:b/>
          <w:bCs/>
        </w:rPr>
        <w:t>კუნთოვანი, შემაერთებელი ქსოვილის და ძვლების დარღვევები</w:t>
      </w:r>
      <w:r>
        <w:t xml:space="preserve"> </w:t>
      </w:r>
    </w:p>
    <w:p w14:paraId="5C5A49FA" w14:textId="77777777" w:rsidR="0093315F" w:rsidRDefault="00451755" w:rsidP="00401989">
      <w:pPr>
        <w:spacing w:after="0" w:line="276" w:lineRule="auto"/>
        <w:jc w:val="both"/>
      </w:pPr>
      <w:r>
        <w:t>არახშირი: ბარძაყის, მაჯის ან ხერხემლის მოტეხილობა (იხ. ნაწილი 4.4)</w:t>
      </w:r>
    </w:p>
    <w:p w14:paraId="53647F33" w14:textId="40C4E38C" w:rsidR="00451755" w:rsidRDefault="00451755" w:rsidP="00401989">
      <w:pPr>
        <w:spacing w:after="0" w:line="276" w:lineRule="auto"/>
        <w:jc w:val="both"/>
      </w:pPr>
      <w:r>
        <w:t xml:space="preserve"> იშვიათი: ართრალგია, მიალგია</w:t>
      </w:r>
    </w:p>
    <w:p w14:paraId="5170BB11" w14:textId="77777777" w:rsidR="00451755" w:rsidRDefault="00451755" w:rsidP="00401989">
      <w:pPr>
        <w:spacing w:after="0" w:line="276" w:lineRule="auto"/>
        <w:jc w:val="both"/>
      </w:pPr>
      <w:r>
        <w:t>ძალიან იშვიათი: კუნთების სისუსტე</w:t>
      </w:r>
    </w:p>
    <w:p w14:paraId="6CC55876" w14:textId="77777777" w:rsidR="00451755" w:rsidRPr="0093315F" w:rsidRDefault="00451755" w:rsidP="00401989">
      <w:pPr>
        <w:spacing w:after="0" w:line="276" w:lineRule="auto"/>
        <w:jc w:val="both"/>
        <w:rPr>
          <w:b/>
          <w:bCs/>
        </w:rPr>
      </w:pPr>
      <w:r w:rsidRPr="0093315F">
        <w:rPr>
          <w:b/>
          <w:bCs/>
        </w:rPr>
        <w:t>თირკმლის და შარდსასქესო სისტემის დარღვევები</w:t>
      </w:r>
    </w:p>
    <w:p w14:paraId="69DF862C" w14:textId="77777777" w:rsidR="00451755" w:rsidRDefault="00451755" w:rsidP="00401989">
      <w:pPr>
        <w:spacing w:after="0" w:line="276" w:lineRule="auto"/>
        <w:jc w:val="both"/>
      </w:pPr>
      <w:r>
        <w:t>ძალიან იშვიათი: ინტერსტიციული ნეფრიტი</w:t>
      </w:r>
    </w:p>
    <w:p w14:paraId="3F2B47FC" w14:textId="77777777" w:rsidR="00451755" w:rsidRPr="0093315F" w:rsidRDefault="00451755" w:rsidP="00401989">
      <w:pPr>
        <w:spacing w:after="0" w:line="276" w:lineRule="auto"/>
        <w:jc w:val="both"/>
        <w:rPr>
          <w:b/>
          <w:bCs/>
        </w:rPr>
      </w:pPr>
      <w:r w:rsidRPr="0093315F">
        <w:rPr>
          <w:b/>
          <w:bCs/>
        </w:rPr>
        <w:t>რეპროდუქციული სისტემის და სარძევე ჯირკვლის დარღვევები</w:t>
      </w:r>
    </w:p>
    <w:p w14:paraId="7A756E01" w14:textId="77777777" w:rsidR="00451755" w:rsidRDefault="00451755" w:rsidP="00401989">
      <w:pPr>
        <w:spacing w:after="0" w:line="276" w:lineRule="auto"/>
        <w:jc w:val="both"/>
      </w:pPr>
      <w:r>
        <w:t>ძალიან იშვიათი: გინეკომასტია</w:t>
      </w:r>
    </w:p>
    <w:p w14:paraId="060A05F1" w14:textId="77777777" w:rsidR="00451755" w:rsidRDefault="00451755" w:rsidP="00401989">
      <w:pPr>
        <w:spacing w:after="0" w:line="276" w:lineRule="auto"/>
        <w:jc w:val="both"/>
      </w:pPr>
      <w:r>
        <w:t>ზოგადი დარღვევები</w:t>
      </w:r>
    </w:p>
    <w:p w14:paraId="49929F7B" w14:textId="77777777" w:rsidR="00451755" w:rsidRDefault="00451755" w:rsidP="00401989">
      <w:pPr>
        <w:spacing w:after="0" w:line="276" w:lineRule="auto"/>
        <w:jc w:val="both"/>
      </w:pPr>
      <w:r>
        <w:t>იშვიათი: სისუსტე, გაძლიერებული ოფლიანობა</w:t>
      </w:r>
    </w:p>
    <w:p w14:paraId="18FCFC9D" w14:textId="77777777" w:rsidR="00451755" w:rsidRPr="0093315F" w:rsidRDefault="00451755" w:rsidP="00401989">
      <w:pPr>
        <w:spacing w:after="0" w:line="276" w:lineRule="auto"/>
        <w:jc w:val="both"/>
        <w:rPr>
          <w:b/>
          <w:bCs/>
        </w:rPr>
      </w:pPr>
      <w:r w:rsidRPr="0093315F">
        <w:rPr>
          <w:b/>
          <w:bCs/>
        </w:rPr>
        <w:t>დამატებითი ინფორმაცია სპეციალური პოპულაციების შესახებ:</w:t>
      </w:r>
    </w:p>
    <w:p w14:paraId="3C73DF17" w14:textId="77777777" w:rsidR="00451755" w:rsidRPr="0093315F" w:rsidRDefault="00451755" w:rsidP="00401989">
      <w:pPr>
        <w:spacing w:after="0" w:line="276" w:lineRule="auto"/>
        <w:jc w:val="both"/>
        <w:rPr>
          <w:b/>
          <w:bCs/>
        </w:rPr>
      </w:pPr>
      <w:r w:rsidRPr="0093315F">
        <w:rPr>
          <w:b/>
          <w:bCs/>
        </w:rPr>
        <w:t>პედიატრიული პოპულაცია</w:t>
      </w:r>
    </w:p>
    <w:p w14:paraId="444236D8" w14:textId="77777777" w:rsidR="00451755" w:rsidRDefault="00451755" w:rsidP="00401989">
      <w:pPr>
        <w:spacing w:after="0" w:line="276" w:lineRule="auto"/>
        <w:jc w:val="both"/>
      </w:pPr>
      <w:r>
        <w:t>ეზომეპრაზოლის დღეში ერთხელ განმეორებითი ინტრავენური დოზების ფარმაკოკინეტიკის შესაფასებლად ჩატარებულ რანდომიზებულ, ღია, მრავალეროვნულ კვლევაში, ეზომეპრაზოლი კარგად აიტანებოდა 0-დან 18 წლამდე ასაკის პედიატრიულ პაციენტებში (იხ. ნაწილი 5.2). უსაფრთხოების შედეგები</w:t>
      </w:r>
    </w:p>
    <w:p w14:paraId="3B3ECCDE" w14:textId="158E6C26" w:rsidR="00451755" w:rsidRDefault="00451755" w:rsidP="00401989">
      <w:pPr>
        <w:spacing w:after="0" w:line="276" w:lineRule="auto"/>
        <w:jc w:val="both"/>
      </w:pPr>
    </w:p>
    <w:p w14:paraId="734636AA" w14:textId="77777777" w:rsidR="00451755" w:rsidRDefault="00451755" w:rsidP="00401989">
      <w:pPr>
        <w:spacing w:after="0" w:line="276" w:lineRule="auto"/>
        <w:jc w:val="both"/>
      </w:pPr>
      <w:r>
        <w:t>შეესაბამება ეზომეპრაზოლის ცნობილ უსაფრთხოების პროფილს და უსაფრთხოების ახალი სიგნალები არ გამოვლენილა.</w:t>
      </w:r>
    </w:p>
    <w:p w14:paraId="67AC05AD" w14:textId="77777777" w:rsidR="00451755" w:rsidRPr="0093315F" w:rsidRDefault="00451755" w:rsidP="00401989">
      <w:pPr>
        <w:spacing w:after="0" w:line="276" w:lineRule="auto"/>
        <w:jc w:val="both"/>
        <w:rPr>
          <w:u w:val="single"/>
        </w:rPr>
      </w:pPr>
      <w:r w:rsidRPr="0093315F">
        <w:rPr>
          <w:u w:val="single"/>
        </w:rPr>
        <w:t>საეჭვო გვერდითი რეაქციების შესახებ შეტყობინება</w:t>
      </w:r>
    </w:p>
    <w:p w14:paraId="4D62A9AB" w14:textId="66CE9303" w:rsidR="00451755" w:rsidRDefault="00451755" w:rsidP="00401989">
      <w:pPr>
        <w:spacing w:after="0" w:line="276" w:lineRule="auto"/>
        <w:jc w:val="both"/>
      </w:pPr>
      <w:r>
        <w:t xml:space="preserve">საეჭვო გვერდითი რეაქციების შესახებ შეტყობინება სამკურნალო პროდუქტის ავტორიზაციის შემდეგ მნიშვნელოვანია. ეს </w:t>
      </w:r>
      <w:r w:rsidR="0093315F">
        <w:t xml:space="preserve">იძლევა პროდუქტის სარგებლისა და რისკის ბალანსის მუდმივი მონიტორინგის საშუალებას. </w:t>
      </w:r>
      <w:r>
        <w:t xml:space="preserve">  სამკურნალო ჯანდაცვის სპეციალისტებს მოეთხოვებათ ნებისმიერი საეჭვო გვერდითი რეაქციის შესახებ შეტყობინება თურქეთის ფარმაკოზედამხედველობის ცენტრის (TÜFAM) მეშვეობით. (www.titck.gov.tr; ელ. ფოსტა: tufam@titck.gov.tr; ტელ.: 800 314 00 08; ფაქსი: 0 312 218 35 99).</w:t>
      </w:r>
    </w:p>
    <w:p w14:paraId="5D13ED92" w14:textId="77777777" w:rsidR="00451755" w:rsidRPr="0093315F" w:rsidRDefault="00451755" w:rsidP="00401989">
      <w:pPr>
        <w:spacing w:after="0" w:line="276" w:lineRule="auto"/>
        <w:jc w:val="both"/>
        <w:rPr>
          <w:b/>
          <w:bCs/>
        </w:rPr>
      </w:pPr>
      <w:r w:rsidRPr="0093315F">
        <w:rPr>
          <w:b/>
          <w:bCs/>
        </w:rPr>
        <w:t>4.9 დოზის გადაჭარბება</w:t>
      </w:r>
    </w:p>
    <w:p w14:paraId="608DDBD2" w14:textId="77777777" w:rsidR="00451755" w:rsidRDefault="00451755" w:rsidP="00401989">
      <w:pPr>
        <w:spacing w:after="0" w:line="276" w:lineRule="auto"/>
        <w:jc w:val="both"/>
      </w:pPr>
      <w:r>
        <w:t xml:space="preserve">დღეისათვის განზრახ დოზის გადაჭარბების ძალიან შეზღუდული გამოცდილება არსებობს. 280 მგ პერორალური დოზის მიღებისას აღწერილი სიმპტომები იყო კუჭ-ნაწლავის სიმპტომები და სისუსტე. 80 მგ ეზომეპრაზოლის ერთჯერადი პერორალური დოზები და 308 მგ ეზომეპრაზოლის ინტრავენური დოზები 24 საათის განმავლობაში </w:t>
      </w:r>
      <w:r>
        <w:lastRenderedPageBreak/>
        <w:t>გართულებების გარეშე მიმდინარეობდა. სპეციფიკური ანტიდოტი ცნობილი არ არის. ეზომეპრაზოლი ფართოდ უკავშირდება პლაზმის ცილებს და შესაბამისად, ადვილად არ ექვემდებარება დიალიზს. როგორც დოზის გადაჭარბების ნებისმიერი შემთხვევის დროს, მკურნალობა უნდა იყოს სიმპტომური და გამოყენებული უნდა იქნას ზოგადი დამხმარე ზომები.</w:t>
      </w:r>
    </w:p>
    <w:p w14:paraId="3D36E2B4" w14:textId="77777777" w:rsidR="00451755" w:rsidRPr="0093315F" w:rsidRDefault="00451755" w:rsidP="00401989">
      <w:pPr>
        <w:spacing w:after="0" w:line="276" w:lineRule="auto"/>
        <w:jc w:val="both"/>
        <w:rPr>
          <w:b/>
          <w:bCs/>
        </w:rPr>
      </w:pPr>
      <w:r w:rsidRPr="0093315F">
        <w:rPr>
          <w:b/>
          <w:bCs/>
        </w:rPr>
        <w:t>5. ფარმაკოლოგიური თვისებები</w:t>
      </w:r>
    </w:p>
    <w:p w14:paraId="1B17E4BF" w14:textId="77777777" w:rsidR="0093315F" w:rsidRDefault="00451755" w:rsidP="00401989">
      <w:pPr>
        <w:spacing w:after="0" w:line="276" w:lineRule="auto"/>
        <w:jc w:val="both"/>
      </w:pPr>
      <w:r w:rsidRPr="0093315F">
        <w:rPr>
          <w:b/>
          <w:bCs/>
        </w:rPr>
        <w:t>5.1.</w:t>
      </w:r>
      <w:r w:rsidR="0093315F">
        <w:rPr>
          <w:b/>
          <w:bCs/>
        </w:rPr>
        <w:t xml:space="preserve"> </w:t>
      </w:r>
      <w:r>
        <w:t>ფარმაკოდინამიკური თვისებები</w:t>
      </w:r>
    </w:p>
    <w:p w14:paraId="12865C7E" w14:textId="27AC6127" w:rsidR="00451755" w:rsidRPr="0093315F" w:rsidRDefault="00451755" w:rsidP="00401989">
      <w:pPr>
        <w:spacing w:after="0" w:line="276" w:lineRule="auto"/>
        <w:jc w:val="both"/>
        <w:rPr>
          <w:b/>
          <w:bCs/>
        </w:rPr>
      </w:pPr>
      <w:r>
        <w:t xml:space="preserve"> ფარმაკოთერაპიული ჯგუფი: პროტონული ტუმბოს ინჰიბიტორი ათქ კოდი: A02BC05</w:t>
      </w:r>
    </w:p>
    <w:p w14:paraId="4796FDA7" w14:textId="77777777" w:rsidR="00451755" w:rsidRDefault="00451755" w:rsidP="00401989">
      <w:pPr>
        <w:spacing w:after="0" w:line="276" w:lineRule="auto"/>
        <w:jc w:val="both"/>
      </w:pPr>
      <w:r>
        <w:t>ეზომეპრაზოლი ომეპრაზოლის S-იზომერია და ამცირებს კუჭის მჟავას სეკრეციას მოქმედების სპეციფიკურად მიზანმიმართული მექანიზმის მეშვეობით. ეზომეპრაზოლი პარიეტალურ უჯრედებში მჟავა ტუმბოს სპეციფიკური ინჰიბიტორია. ომეპრაზოლის როგორც R-, ასევე S-იზომერებს აქვთ მსგავსი ფარმაკოდინამიკური აქტივობა.</w:t>
      </w:r>
    </w:p>
    <w:p w14:paraId="068DCC22" w14:textId="77777777" w:rsidR="00451755" w:rsidRPr="0093315F" w:rsidRDefault="00451755" w:rsidP="00401989">
      <w:pPr>
        <w:spacing w:after="0" w:line="276" w:lineRule="auto"/>
        <w:jc w:val="both"/>
        <w:rPr>
          <w:i/>
          <w:iCs/>
        </w:rPr>
      </w:pPr>
      <w:r w:rsidRPr="0093315F">
        <w:rPr>
          <w:i/>
          <w:iCs/>
        </w:rPr>
        <w:t>მოქმედების ადგილი და მექანიზმი</w:t>
      </w:r>
    </w:p>
    <w:p w14:paraId="08DCED60" w14:textId="77777777" w:rsidR="00451755" w:rsidRDefault="00451755" w:rsidP="00401989">
      <w:pPr>
        <w:spacing w:after="0" w:line="276" w:lineRule="auto"/>
        <w:jc w:val="both"/>
      </w:pPr>
      <w:r>
        <w:t>ეზომეპრაზოლი წარმოადგენს სუსტ ფუძეს და კონცენტრირდება და აქტიურ ფორმად გარდაიქმნება პარიეტალური უჯრედების სეკრეტორული არხების მაღალმჟავე გარემოში, სადაც ის აინჰიბირებს ფერმენტ H+K+-ატფაზას - მჟავა ტუმბოს და აფერხებს როგორც ბაზალურ, ასევე სტიმულირებულ მჟავას სეკრეციას.</w:t>
      </w:r>
    </w:p>
    <w:p w14:paraId="1E8B381F" w14:textId="77777777" w:rsidR="00451755" w:rsidRPr="0093315F" w:rsidRDefault="00451755" w:rsidP="00401989">
      <w:pPr>
        <w:spacing w:after="0" w:line="276" w:lineRule="auto"/>
        <w:jc w:val="both"/>
        <w:rPr>
          <w:i/>
          <w:iCs/>
        </w:rPr>
      </w:pPr>
      <w:r w:rsidRPr="0093315F">
        <w:rPr>
          <w:i/>
          <w:iCs/>
        </w:rPr>
        <w:t>კუჭის მჟავას სეკრეციაზე გავლენა</w:t>
      </w:r>
    </w:p>
    <w:p w14:paraId="5DF4B23C" w14:textId="77777777" w:rsidR="00451755" w:rsidRDefault="00451755" w:rsidP="00401989">
      <w:pPr>
        <w:spacing w:after="0" w:line="276" w:lineRule="auto"/>
        <w:jc w:val="both"/>
      </w:pPr>
      <w:r>
        <w:t>ეზომეპრაზოლის 20 მგ და 40 მგ პერორალური დოზირების 5-დღიანი შეყვანის შემდეგ, სიმპტომური გასტროეზოფაგური რეფლუქსური დაავადების მქონე პაციენტებში კუჭის pH 4-ზე მაღალი დონე შენარჩუნდა საშუალოდ 13 და 17 საათის განმავლობაში, შესაბამისად, 24 საათის განმავლობაში. ეფექტი მსგავსია იმის მიუხედავად, ეზომეპრაზოლი მიიღება პერორალურად თუ ინტრავენურად.</w:t>
      </w:r>
    </w:p>
    <w:p w14:paraId="0F6691C0" w14:textId="1FE3046D" w:rsidR="00451755" w:rsidRDefault="00451755" w:rsidP="00401989">
      <w:pPr>
        <w:spacing w:after="0" w:line="276" w:lineRule="auto"/>
        <w:jc w:val="both"/>
      </w:pPr>
    </w:p>
    <w:p w14:paraId="6CF22014" w14:textId="77777777" w:rsidR="00451755" w:rsidRDefault="00451755" w:rsidP="00401989">
      <w:pPr>
        <w:spacing w:after="0" w:line="276" w:lineRule="auto"/>
        <w:jc w:val="both"/>
      </w:pPr>
      <w:r>
        <w:t>პლაზმური კონცენტრაციის სუროგატ პარამეტრად AUC-ის გამოყენებით, ეზომეპრაზოლის პერორალური მიღების შემდეგ ნაჩვენებია კავშირი მჟავას სეკრეციის ინჰიბირებასა და ზემოქმედებას შორის.</w:t>
      </w:r>
    </w:p>
    <w:p w14:paraId="1FC59B59" w14:textId="77777777" w:rsidR="00451755" w:rsidRDefault="00451755" w:rsidP="00401989">
      <w:pPr>
        <w:spacing w:after="0" w:line="276" w:lineRule="auto"/>
        <w:jc w:val="both"/>
      </w:pPr>
      <w:r>
        <w:t>ჯანმრთელ სუბიექტებში 80 მგ ეზომეპრაზოლის ინტრავენური შეყვანისას ბოლუსური ინფუზიის სახით 30 წუთის განმავლობაში, რასაც მოჰყვებოდა 8 მგ/სთ უწყვეტი ინტრავენური ინფუზია 23.5 საათის განმავლობაში, კუჭის pH 4-ზე მეტი და pH 6-ზე მეტი შენარჩუნებული იყო საშუალოდ 21 საათის და 11-13 საათის განმავლობაში, შესაბამისად, 24 საათის განმავლობაში.</w:t>
      </w:r>
    </w:p>
    <w:p w14:paraId="7AE57760" w14:textId="77777777" w:rsidR="00451755" w:rsidRPr="0093315F" w:rsidRDefault="00451755" w:rsidP="00401989">
      <w:pPr>
        <w:spacing w:after="0" w:line="276" w:lineRule="auto"/>
        <w:jc w:val="both"/>
        <w:rPr>
          <w:i/>
          <w:iCs/>
        </w:rPr>
      </w:pPr>
      <w:r w:rsidRPr="0093315F">
        <w:rPr>
          <w:i/>
          <w:iCs/>
        </w:rPr>
        <w:t>მჟავა ინჰიბირების თერაპიული ეფექტები</w:t>
      </w:r>
    </w:p>
    <w:p w14:paraId="50219A1B" w14:textId="77777777" w:rsidR="00451755" w:rsidRDefault="00451755" w:rsidP="00401989">
      <w:pPr>
        <w:spacing w:after="0" w:line="276" w:lineRule="auto"/>
        <w:jc w:val="both"/>
      </w:pPr>
      <w:r>
        <w:t>რეფლუქს-ეზოფაგიტის მქონე პაციენტების გამოჯანმრთელების მაჩვენებელი ეზომეპრაზოლის 40 მგ დოზით მიღებისას აღენიშნებათ პაციენტების დაახლოებით 78%-ს 4 კვირის შემდეგ, ხოლო პერორალური მკურნალობის 8 კვირის შემდეგ - 93%-ს.</w:t>
      </w:r>
    </w:p>
    <w:p w14:paraId="6534FBC7" w14:textId="77777777" w:rsidR="0093315F" w:rsidRDefault="0093315F" w:rsidP="00401989">
      <w:pPr>
        <w:spacing w:after="0" w:line="276" w:lineRule="auto"/>
        <w:jc w:val="both"/>
      </w:pPr>
    </w:p>
    <w:p w14:paraId="3421DDF1" w14:textId="77777777" w:rsidR="00451755" w:rsidRDefault="00451755" w:rsidP="00401989">
      <w:pPr>
        <w:spacing w:after="0" w:line="276" w:lineRule="auto"/>
        <w:jc w:val="both"/>
      </w:pPr>
      <w:r>
        <w:t xml:space="preserve">რანდომიზებულ, ორმაგად ბრმა, პლაცებო-კონტროლირებად კლინიკურ კვლევაში, ენდოსკოპიურად დადასტურებული პეპტიური წყლულისგან სისხლდენის მქონე 764 პაციენტი რანდომიზებულად შეირჩა ეზომეპრაზოლის საინფუზიო ხსნარის (n=375) ან პლაცებოს (n=389) მისაღებად. ენდოსკოპიური ჰემოსტაზის შემდეგ , პაციენტებმა მიიღეს ან 80 მგ ეზომეპრაზოლი ინტრავენური ინფუზიის სახით 30 წუთის განმავლობაში, რასაც </w:t>
      </w:r>
      <w:r>
        <w:lastRenderedPageBreak/>
        <w:t>მოჰყვა უწყვეტი ინფუზია 8 მგ საათში, ან პლაცებო 72 საათის განმავლობაში. საწყისი 72-საათიანი პერიოდის შემდეგ, ყველა პაციენტმა მიიღო 40 მგ პერორალური ეზომეპრაზოლი 27 დღის განმავლობაში მჟავას დათრგუნვის მიზნით. 3 დღის განმავლობაში ხელახალი სისხლდენის შემთხვევები ეზომეპრაზოლით ნამკურნალებ ჯგუფში 5.9% იყო, პლაცებოს ჯგუფის 10.3%-თან შედარებით (p = 0.0256). მკურნალობიდან 7 და 30 დღის შემდეგ, ეზომეპრაზოლით ნამკურნალებ ჯგუფში პლაცებოთი ნამკურნალებ ჯგუფთან შედარებით, განმეორებითი სისხლდენის შემთხვევები შესაბამისად 7.2% 12.9%-ის წინააღმდეგ (p=0.0096) და 7.7% 13.6%-ის წინააღმდეგ (p=0.0092) იყო.</w:t>
      </w:r>
    </w:p>
    <w:p w14:paraId="294A2A48" w14:textId="77777777" w:rsidR="0093315F" w:rsidRDefault="0093315F" w:rsidP="00401989">
      <w:pPr>
        <w:spacing w:after="0" w:line="276" w:lineRule="auto"/>
        <w:jc w:val="both"/>
      </w:pPr>
    </w:p>
    <w:p w14:paraId="124C421E" w14:textId="77777777" w:rsidR="00451755" w:rsidRPr="0093315F" w:rsidRDefault="00451755" w:rsidP="00401989">
      <w:pPr>
        <w:spacing w:after="0" w:line="276" w:lineRule="auto"/>
        <w:jc w:val="both"/>
        <w:rPr>
          <w:i/>
          <w:iCs/>
        </w:rPr>
      </w:pPr>
      <w:r w:rsidRPr="0093315F">
        <w:rPr>
          <w:i/>
          <w:iCs/>
        </w:rPr>
        <w:t>მჟავას ინჰიბირებასთან დაკავშირებული სხვა ეფექტები</w:t>
      </w:r>
    </w:p>
    <w:p w14:paraId="12912B07" w14:textId="77777777" w:rsidR="00451755" w:rsidRDefault="00451755" w:rsidP="00401989">
      <w:pPr>
        <w:spacing w:after="0" w:line="276" w:lineRule="auto"/>
        <w:jc w:val="both"/>
      </w:pPr>
      <w:r>
        <w:t>ანტისეკრეტორული პრეპარატებით მკურნალობის დროს, მჟავას სეკრეციის შემცირების საპასუხოდ, შრატის გასტრინის დონე იზრდება. ქრომოგრანინ A-ს ( CgA ) დონეც იზრდება კუჭის მჟავიანობის შემცირების გამო. CgA-ს მომატებულმა დონემ შესაძლოა ხელი შეუშალოს ნეიროენდოკრინული სიმსივნეების კვლევას . ამ პრევენციის თავიდან ასაცილებლად, ეზომეპრაზოლით მკურნალობა დროებით უნდა შეწყდეს CgA-ს გაზომვამდე 5 დღით ადრე .</w:t>
      </w:r>
    </w:p>
    <w:p w14:paraId="75BCCA60" w14:textId="77777777" w:rsidR="0093315F" w:rsidRDefault="0093315F" w:rsidP="00401989">
      <w:pPr>
        <w:spacing w:after="0" w:line="276" w:lineRule="auto"/>
        <w:jc w:val="both"/>
      </w:pPr>
    </w:p>
    <w:p w14:paraId="662C72DF" w14:textId="77777777" w:rsidR="00451755" w:rsidRDefault="00451755" w:rsidP="00401989">
      <w:pPr>
        <w:spacing w:after="0" w:line="276" w:lineRule="auto"/>
        <w:jc w:val="both"/>
      </w:pPr>
      <w:r>
        <w:t>ზოგიერთ პაციენტში პერორალურად მიღებული ეზომეპრაზოლით ხანგრძლივი მკურნალობის დროს დაფიქსირდა ენტეროქრომაფინის მსგავსი (ECL) უჯრედების რაოდენობის მომატება, რაც შესაძლოა დაკავშირებული იყოს შრატში გასტრინის დონის მატებასთან.</w:t>
      </w:r>
    </w:p>
    <w:p w14:paraId="0E0896E5" w14:textId="77777777" w:rsidR="0093315F" w:rsidRDefault="0093315F" w:rsidP="00401989">
      <w:pPr>
        <w:spacing w:after="0" w:line="276" w:lineRule="auto"/>
        <w:jc w:val="both"/>
      </w:pPr>
    </w:p>
    <w:p w14:paraId="523FD237" w14:textId="77777777" w:rsidR="00451755" w:rsidRDefault="00451755" w:rsidP="00401989">
      <w:pPr>
        <w:spacing w:after="0" w:line="276" w:lineRule="auto"/>
        <w:jc w:val="both"/>
      </w:pPr>
      <w:r>
        <w:t>ანტისეკრეტორული პრეპარატებით ხანგრძლივი პერორალური მკურნალობის დროს, კუჭის ჯირკვლოვანი კისტების წარმოქმნის შემთხვევები შედარებით მომატებულია. ეს ცვლილებები მჟავას სეკრეციის გამოხატული ინჰიბირების ფიზიოლოგიური შედეგია, კეთილთვისებიანია და შექცევადი ჩანს.</w:t>
      </w:r>
    </w:p>
    <w:p w14:paraId="1C67D5A4" w14:textId="2C9F49B7" w:rsidR="00451755" w:rsidRDefault="00451755" w:rsidP="00401989">
      <w:pPr>
        <w:spacing w:after="0" w:line="276" w:lineRule="auto"/>
        <w:jc w:val="both"/>
      </w:pPr>
      <w:r>
        <w:t>კუჭის მჟავიანობის შემცირება, რომელიც გამოწვეულია ნებისმიერი საშუალებით, მათ შორის პროტონული ტუმბოს ინჰიბიტორებით, ზრდის კუჭში ბაქტერიების რაოდენობას, რომლებიც ჩვეულებრივ გვხვდება კუჭ-ნაწლავის ტრაქტში. პროტონული ტუმბოს ინჰიბიტორებით მკურნალობამ შეიძლება გამოიწვიოს კუჭ-ნაწლავის ინფექციების რისკის უმნიშვნელო ზრდა, როგორიცაა</w:t>
      </w:r>
      <w:r w:rsidR="0093315F">
        <w:t xml:space="preserve"> </w:t>
      </w:r>
      <w:r>
        <w:t>სალმონელა და კამპილობაქტერი და, ჰოსპიტალიზებული პაციენტებში, შესაძლოა, ასევე Clostridium difficile.</w:t>
      </w:r>
    </w:p>
    <w:p w14:paraId="0A92ABCB" w14:textId="77777777" w:rsidR="0093315F" w:rsidRDefault="0093315F" w:rsidP="00401989">
      <w:pPr>
        <w:spacing w:after="0" w:line="276" w:lineRule="auto"/>
        <w:jc w:val="both"/>
        <w:rPr>
          <w:i/>
          <w:iCs/>
        </w:rPr>
      </w:pPr>
    </w:p>
    <w:p w14:paraId="567BBAC9" w14:textId="75DBC147" w:rsidR="00451755" w:rsidRPr="0093315F" w:rsidRDefault="00451755" w:rsidP="00401989">
      <w:pPr>
        <w:spacing w:after="0" w:line="276" w:lineRule="auto"/>
        <w:jc w:val="both"/>
        <w:rPr>
          <w:i/>
          <w:iCs/>
        </w:rPr>
      </w:pPr>
      <w:r w:rsidRPr="0093315F">
        <w:rPr>
          <w:i/>
          <w:iCs/>
        </w:rPr>
        <w:t>შედარებითი კლინიკური კვლევები</w:t>
      </w:r>
    </w:p>
    <w:p w14:paraId="63B9926D" w14:textId="77777777" w:rsidR="00451755" w:rsidRDefault="00451755" w:rsidP="00401989">
      <w:pPr>
        <w:spacing w:after="0" w:line="276" w:lineRule="auto"/>
        <w:jc w:val="both"/>
      </w:pPr>
      <w:r>
        <w:t xml:space="preserve">ხუთმხრივი ჯვარედინი კვლევის ფარგლებში, 24 სიმპტომურ გასტროეზოფაგური რეფლუქსური დაავადების მქონე პაციენტში შეფასდა დღეში ერთხელ მიღებული ეზომეპრაზოლის 40 მგ, ლანსოპრაზოლის 30 მგ, ომეპრაზოლის 20 მგ, პანტოპრაზოლის 40 მგ და რაბეპრაზოლის 20 მგ 24-საათიანი კუჭის pH პროფილი. მე-5 დღეს, კუჭის pH შენარჩუნებული იყო 4.0-ზე მაღალი საშუალოდ 15.3 საათის განმავლობაში ეზომეპრაზოლის შემთხვევაში, 13.3 საათის განმავლობაში რაბეპრაზოლის შემთხვევაში, 12.9 საათის განმავლობაში ომეპრაზოლის შემთხვევაში, 12.7 საათის განმავლობაში ლანსოპრაზოლის შემთხვევაში და 11.2 საათის განმავლობაში პანტოპრაზოლის </w:t>
      </w:r>
      <w:r>
        <w:lastRenderedPageBreak/>
        <w:t>შემთხვევაში (&lt; 0.001 ეზომეპრაზოლსა და ყველა სხვა შედარების პრეპარატს შორის განსხვავებებისთვის). ეზომეპრაზოლმა ასევე უზრუნველყო პაციენტების მნიშვნელოვნად მაღალი პროცენტული მაჩვენებელი, რომელთა კუჭის pH 4.0-ზე მეტი იყო 12 საათზე მეტი ხნის განმავლობაში, სხვა პროტონული ტუმბოს ინჰიბიტორებთან შედარებით (p &lt; 0.05).</w:t>
      </w:r>
    </w:p>
    <w:p w14:paraId="61333E88" w14:textId="77777777" w:rsidR="00451755" w:rsidRPr="0093315F" w:rsidRDefault="00451755" w:rsidP="00401989">
      <w:pPr>
        <w:spacing w:after="0" w:line="276" w:lineRule="auto"/>
        <w:jc w:val="both"/>
        <w:rPr>
          <w:b/>
          <w:bCs/>
        </w:rPr>
      </w:pPr>
      <w:r w:rsidRPr="0093315F">
        <w:rPr>
          <w:b/>
          <w:bCs/>
        </w:rPr>
        <w:t>პედიატრიული პოპულაცია</w:t>
      </w:r>
    </w:p>
    <w:p w14:paraId="05F2C692" w14:textId="77777777" w:rsidR="00451755" w:rsidRDefault="00451755" w:rsidP="00401989">
      <w:pPr>
        <w:spacing w:after="0" w:line="276" w:lineRule="auto"/>
        <w:jc w:val="both"/>
      </w:pPr>
      <w:r>
        <w:t>1 თვეზე ნაკლები ასაკის და 1-დან 11 თვემდე ასაკის ჩვილებში, 0.5 მგ/კგ და 1.0 მგ/კგ ეზომეპრაზოლის განმეორებითი პერორალური მიღების შემდეგ, კუჭის pH-ზე ზემოქმედება, რომელიც გამოიხატება pH-ის საწყისი დონის &gt;4 დონის დროის პროცენტული ცვლილებით, მსგავსია მოზრდილებში 20 მგ ეზომეპრაზოლის მიღების შემდეგ დაფიქსირებული ეფექტისა. გარდა ამისა, 1 თვეზე ნაკლები ასაკის და 1-დან 11 თვემდე ასაკის ჩვილებში 0.5 მგ/კგ და 1.0 მგ/კგ ეზომეპრაზოლი იწვევს საყლაპავის მჟავას ზემოქმედების მნიშვნელოვან შემცირებას .</w:t>
      </w:r>
    </w:p>
    <w:p w14:paraId="4DB87660" w14:textId="77777777" w:rsidR="00451755" w:rsidRDefault="00451755" w:rsidP="00401989">
      <w:pPr>
        <w:spacing w:after="0" w:line="276" w:lineRule="auto"/>
        <w:jc w:val="both"/>
      </w:pPr>
      <w:r>
        <w:t>უსაფრთხოების პროფილი, როგორც ჩანს, მსგავსი იყო მოზრდილებში დაფიქსირებული პროფილისა.</w:t>
      </w:r>
    </w:p>
    <w:p w14:paraId="38A22894" w14:textId="77777777" w:rsidR="00451755" w:rsidRDefault="00451755" w:rsidP="00401989">
      <w:pPr>
        <w:spacing w:after="0" w:line="276" w:lineRule="auto"/>
        <w:jc w:val="both"/>
      </w:pPr>
      <w:r>
        <w:t>კვლევაში, რომელშიც მონაწილეობდნენ პედიატრიული გასტროეზოფაგური რეფლუქსური დაავადების მქონე პაციენტები (1-დან 17 წლამდე ასაკის), რომლებიც ხანგრძლივად იღებდნენ პროტონული ტუმბოს ინჰიბიტორებს, ბავშვების 61%-ს განუვითარდა ECL უჯრედების მცირე ხარისხის ჰიპერპლაზია ცნობილი კლინიკური მნიშვნელობის გარეშე და ატროფიული გასტრიტის ან კარცინოიდული სიმსივნეების განვითარების გარეშე .</w:t>
      </w:r>
    </w:p>
    <w:p w14:paraId="3FFB783A" w14:textId="77777777" w:rsidR="00451755" w:rsidRPr="0093315F" w:rsidRDefault="00451755" w:rsidP="00401989">
      <w:pPr>
        <w:spacing w:after="0" w:line="276" w:lineRule="auto"/>
        <w:jc w:val="both"/>
        <w:rPr>
          <w:b/>
          <w:bCs/>
        </w:rPr>
      </w:pPr>
      <w:r w:rsidRPr="0093315F">
        <w:rPr>
          <w:b/>
          <w:bCs/>
        </w:rPr>
        <w:t>5.2 ფარმაკოკინეტიკური თვისებები</w:t>
      </w:r>
    </w:p>
    <w:p w14:paraId="2D402755" w14:textId="77777777" w:rsidR="00451755" w:rsidRPr="0093315F" w:rsidRDefault="00451755" w:rsidP="00401989">
      <w:pPr>
        <w:spacing w:after="0" w:line="276" w:lineRule="auto"/>
        <w:jc w:val="both"/>
        <w:rPr>
          <w:u w:val="single"/>
        </w:rPr>
      </w:pPr>
      <w:r w:rsidRPr="0093315F">
        <w:rPr>
          <w:u w:val="single"/>
        </w:rPr>
        <w:t>შეწოვა</w:t>
      </w:r>
    </w:p>
    <w:p w14:paraId="1131AEB0" w14:textId="77777777" w:rsidR="00451755" w:rsidRDefault="00451755" w:rsidP="00401989">
      <w:pPr>
        <w:spacing w:after="0" w:line="276" w:lineRule="auto"/>
        <w:jc w:val="both"/>
      </w:pPr>
      <w:r>
        <w:t>ინტრავენური ინექციის/ინფუზიის შემდეგ შეწოვა 100%-ია.</w:t>
      </w:r>
    </w:p>
    <w:p w14:paraId="3A07625D" w14:textId="77777777" w:rsidR="00451755" w:rsidRPr="0093315F" w:rsidRDefault="00451755" w:rsidP="00401989">
      <w:pPr>
        <w:spacing w:after="0" w:line="276" w:lineRule="auto"/>
        <w:jc w:val="both"/>
        <w:rPr>
          <w:u w:val="single"/>
        </w:rPr>
      </w:pPr>
      <w:r w:rsidRPr="0093315F">
        <w:rPr>
          <w:u w:val="single"/>
        </w:rPr>
        <w:t>განაწილება</w:t>
      </w:r>
    </w:p>
    <w:p w14:paraId="48556E1D" w14:textId="77777777" w:rsidR="00451755" w:rsidRPr="0093315F" w:rsidRDefault="00451755" w:rsidP="00401989">
      <w:pPr>
        <w:spacing w:after="0" w:line="276" w:lineRule="auto"/>
        <w:jc w:val="both"/>
        <w:rPr>
          <w:u w:val="single"/>
        </w:rPr>
      </w:pPr>
      <w:r>
        <w:t>ჯანმრთელ სუბიექტებში წონასწორობის მდგომარეობაში განაწილების აშკარა მოცულობა დაახლოებით 0.22 ლ/კგ სხეულის წონაა. ეზომეპრაზოლი პლაზმის ცილებს 97%-ით უკავშირდება.</w:t>
      </w:r>
    </w:p>
    <w:p w14:paraId="106E30B2" w14:textId="77777777" w:rsidR="00451755" w:rsidRPr="0093315F" w:rsidRDefault="00451755" w:rsidP="00401989">
      <w:pPr>
        <w:spacing w:after="0" w:line="276" w:lineRule="auto"/>
        <w:jc w:val="both"/>
        <w:rPr>
          <w:u w:val="single"/>
        </w:rPr>
      </w:pPr>
      <w:r w:rsidRPr="0093315F">
        <w:rPr>
          <w:u w:val="single"/>
        </w:rPr>
        <w:t>მეტაბოლიზმი და გამოყოფა</w:t>
      </w:r>
    </w:p>
    <w:p w14:paraId="6E4ECE30" w14:textId="77777777" w:rsidR="00451755" w:rsidRDefault="00451755" w:rsidP="00401989">
      <w:pPr>
        <w:spacing w:after="0" w:line="276" w:lineRule="auto"/>
        <w:jc w:val="both"/>
      </w:pPr>
      <w:r>
        <w:t>ეზომეპრაზოლი მთლიანად მეტაბოლიზდება ციტოქრომ P450 სისტემის (CYP) მეშვეობით. ეზომეპრაზოლის მეტაბოლიზმის ძირითადი ნაწილი დამოკიდებულია პოლიმორფულ CYP2C19-ზე, რომელიც პასუხისმგებელია ეზომეპრაზოლის ჰიდროქსი- და დესმეთილის მეტაბოლიტების წარმოქმნაზე. დარჩენილი ნაწილი დამოკიდებულია სხვა სპეციფიკურ იზოფორმზე, CYP3A4-ზე, რომელიც პასუხისმგებელია ეზომეპრაზოლის სულფონის, პლაზმაში მთავარი მეტაბოლიტის წარმოქმნაზე.</w:t>
      </w:r>
    </w:p>
    <w:p w14:paraId="60490A1C" w14:textId="77777777" w:rsidR="00451755" w:rsidRDefault="00451755" w:rsidP="00401989">
      <w:pPr>
        <w:spacing w:after="0" w:line="276" w:lineRule="auto"/>
        <w:jc w:val="both"/>
      </w:pPr>
      <w:r>
        <w:t>ქვემოთ მოცემული პარამეტრები ძირითადად ასახავს ფარმაკოკინეტიკას ფუნქციური CYP2C19 ფერმენტის მქონე პირებში (ფართო მეტაბოლიზატორები).</w:t>
      </w:r>
    </w:p>
    <w:p w14:paraId="6D15CBFB" w14:textId="617E6425" w:rsidR="00451755" w:rsidRDefault="00451755" w:rsidP="00401989">
      <w:pPr>
        <w:spacing w:after="0" w:line="276" w:lineRule="auto"/>
        <w:jc w:val="both"/>
      </w:pPr>
    </w:p>
    <w:p w14:paraId="783F4707" w14:textId="77777777" w:rsidR="00451755" w:rsidRDefault="00451755" w:rsidP="00401989">
      <w:pPr>
        <w:spacing w:after="0" w:line="276" w:lineRule="auto"/>
        <w:jc w:val="both"/>
      </w:pPr>
      <w:r>
        <w:t xml:space="preserve">პლაზმური კლირენსი ერთჯერადი დოზის მიღების შემდეგ დაახლოებით 17 ლ/სთ-ია, ხოლო განმეორებითი მიღების შემდეგ დაახლოებით 9 ლ/სთ. პლაზმური ნახევარგამოყოფის პერიოდი დღეში ერთხელ განმეორებითი დოზის მიღების შემდეგ დაახლოებით 1.3 საათს შეადგენს. ეზომეპრაზოლის განმეორებითი მიღებისას საერთო ექსპოზიცია (AUC) იზრდება. ეს ზრდა დოზაზეა დამოკიდებული და განმეორებითი </w:t>
      </w:r>
      <w:r>
        <w:lastRenderedPageBreak/>
        <w:t>მიღების შემდეგ დოზა-AUC-ის არაწრფივ კავშირს იწვევს. ეს დროითი და დოზადამოკიდებულება შეიძლება გამოწვეული იყოს პირველი გავლის მეტაბოლიზმის და სისტემური კლირენსის შემცირებით, რაც გამოწვეულია CYP2C19 ფერმენტის ეზომეპრაზოლით და/ან მისი სულფონური მეტაბოლიტის ინჰიბირებით.</w:t>
      </w:r>
    </w:p>
    <w:p w14:paraId="2E94D8A5" w14:textId="77777777" w:rsidR="00451755" w:rsidRDefault="00451755" w:rsidP="00401989">
      <w:pPr>
        <w:spacing w:after="0" w:line="276" w:lineRule="auto"/>
        <w:jc w:val="both"/>
      </w:pPr>
      <w:r>
        <w:t>ეზომეპრაზოლი გამოიყოფა პლაზმიდან დოზებს შორის, დღეში ერთხელ მიღებისას დაგროვების ტენდენციის გარეშე.</w:t>
      </w:r>
    </w:p>
    <w:p w14:paraId="1F480A95" w14:textId="77777777" w:rsidR="00451755" w:rsidRDefault="00451755" w:rsidP="00401989">
      <w:pPr>
        <w:spacing w:after="0" w:line="276" w:lineRule="auto"/>
        <w:jc w:val="both"/>
      </w:pPr>
      <w:r>
        <w:t>ეზომეპრაზოლის ძირითადი მეტაბოლიტები გავლენას არ ახდენენ კუჭის წვენის სეკრეციაზე. ეზომეპრაზოლის პერორალური დოზის თითქმის 80% გამოიყოფა მეტაბოლიტების სახით შარდში, დანარჩენი კი განავალში . შარდში გვხვდება საწყისი პრეპარატის 1%-ზე ნაკლები.</w:t>
      </w:r>
    </w:p>
    <w:p w14:paraId="736A0B2C" w14:textId="77777777" w:rsidR="00827659" w:rsidRDefault="00827659" w:rsidP="00401989">
      <w:pPr>
        <w:spacing w:after="0" w:line="276" w:lineRule="auto"/>
        <w:jc w:val="both"/>
        <w:rPr>
          <w:b/>
          <w:bCs/>
        </w:rPr>
      </w:pPr>
    </w:p>
    <w:p w14:paraId="29CACB66" w14:textId="7A824A51" w:rsidR="00451755" w:rsidRPr="00827659" w:rsidRDefault="00451755" w:rsidP="00401989">
      <w:pPr>
        <w:spacing w:after="0" w:line="276" w:lineRule="auto"/>
        <w:jc w:val="both"/>
        <w:rPr>
          <w:b/>
          <w:bCs/>
        </w:rPr>
      </w:pPr>
      <w:r w:rsidRPr="00827659">
        <w:rPr>
          <w:b/>
          <w:bCs/>
        </w:rPr>
        <w:t>პაციენტების მახასიათებლები</w:t>
      </w:r>
    </w:p>
    <w:p w14:paraId="63E9D6A7" w14:textId="77777777" w:rsidR="00451755" w:rsidRDefault="00451755" w:rsidP="00401989">
      <w:pPr>
        <w:spacing w:after="0" w:line="276" w:lineRule="auto"/>
        <w:jc w:val="both"/>
      </w:pPr>
      <w:r>
        <w:t>პოპულაციის დაახლოებით 3%-ს არ გააჩნია ფუნქციური CYP2C19 ფერმენტი და მათ „სუსტი მეტაბოლიზატორები“ ეწოდებათ. ამ პირებში ეზომეპრაზოლის მეტაბოლიზმი, სავარაუდოდ, ძირითადად CYP3A4-ით კატალიზდება . 40 მგ ეზომეპრაზოლის დღეში ერთხელ განმეორებითი მიღების შემდეგ, საშუალო საერთო ექსპოზიცია დაახლოებით 100%-ით მაღალი იყო სუსტ მეტაბოლიზატორებში, ვიდრე ფუნქციური CYP2C19 ფერმენტის მქონე სუბიექტებში (ფართო მეტაბოლიზატორები). საშუალო პიკური პლაზმური კონცენტრაციები დაახლოებით 60%-ით გაიზარდა. მსგავსი განსხვავებები დაფიქსირდა ეზომეპრაზოლის ინტრავენური მიღებისას. ამ მონაცემებს არანაირი გავლენა არ აქვს ეზომეპრაზოლის დოზირებაზე.</w:t>
      </w:r>
    </w:p>
    <w:p w14:paraId="72B75123" w14:textId="77777777" w:rsidR="00827659" w:rsidRDefault="00827659" w:rsidP="00401989">
      <w:pPr>
        <w:spacing w:after="0" w:line="276" w:lineRule="auto"/>
        <w:jc w:val="both"/>
      </w:pPr>
    </w:p>
    <w:p w14:paraId="1CDCB344" w14:textId="463B79AA" w:rsidR="00451755" w:rsidRDefault="00451755" w:rsidP="00401989">
      <w:pPr>
        <w:spacing w:after="0" w:line="276" w:lineRule="auto"/>
        <w:jc w:val="both"/>
      </w:pPr>
      <w:r>
        <w:t>ეზომეპრაზოლის მეტაბოლიზმი მნიშვნელოვნად არ იცვლება ხანდაზმულ პაციენტებში (71-80 წლის).</w:t>
      </w:r>
    </w:p>
    <w:p w14:paraId="7AD7A989" w14:textId="77777777" w:rsidR="00827659" w:rsidRDefault="00827659" w:rsidP="00401989">
      <w:pPr>
        <w:spacing w:after="0" w:line="276" w:lineRule="auto"/>
        <w:jc w:val="both"/>
      </w:pPr>
    </w:p>
    <w:p w14:paraId="59D5EF13" w14:textId="7DB09882" w:rsidR="00451755" w:rsidRDefault="00451755" w:rsidP="00401989">
      <w:pPr>
        <w:spacing w:after="0" w:line="276" w:lineRule="auto"/>
        <w:jc w:val="both"/>
      </w:pPr>
      <w:r>
        <w:t>40 მგ ეზომეპრაზოლის ერთჯერადი პერორალური დოზის შემდეგ, AUC დაახლოებით 30%-ით მეტია ქალებში, ვიდრე მამაკაცებში. დღეში ერთხელ განმეორებითი მიღების შემდეგ სქესთა შორის განსხვავება არ შეინიშნება. მსგავსი განსხვავებები დაფიქსირდა ეზომეპრაზოლის ინტრავენური მიღებისას. ამ მონაცემებს გავლენა არ აქვს ეზომეპრაზოლის დოზირებაზე.</w:t>
      </w:r>
    </w:p>
    <w:p w14:paraId="316EEA9F" w14:textId="77777777" w:rsidR="00827659" w:rsidRDefault="00827659" w:rsidP="00401989">
      <w:pPr>
        <w:spacing w:after="0" w:line="276" w:lineRule="auto"/>
        <w:jc w:val="both"/>
      </w:pPr>
    </w:p>
    <w:p w14:paraId="7F418EA7" w14:textId="3E8FE5C7" w:rsidR="00451755" w:rsidRDefault="00451755" w:rsidP="00401989">
      <w:pPr>
        <w:spacing w:after="0" w:line="276" w:lineRule="auto"/>
        <w:jc w:val="both"/>
      </w:pPr>
      <w:r>
        <w:t>თირკმლის ფუნქციის დაქვეითების მქონე პაციენტებში კვლევები არ ჩატარებულა. ვინაიდან თირკმელი პასუხისმგებელია ეზომეპრაზოლის მეტაბოლიტების გამოყოფაზე, მაგრამ არა საწყისი ნაერთის გამოყოფაზე, ეზომეპრაზოლის მეტაბოლიზმის ცვლილება თირკმლის ფუნქციის დარღვევის მქონე პაციენტებში არ არის მოსალოდნელი.</w:t>
      </w:r>
    </w:p>
    <w:p w14:paraId="110AAC4F" w14:textId="77777777" w:rsidR="00451755" w:rsidRDefault="00451755" w:rsidP="00401989">
      <w:pPr>
        <w:spacing w:after="0" w:line="276" w:lineRule="auto"/>
        <w:jc w:val="both"/>
      </w:pPr>
      <w:r>
        <w:t xml:space="preserve">ღვიძლის მსუბუქი და საშუალო სიმძიმის დისფუნქციის მქონე პაციენტებში ეზომეპრაზოლის მეტაბოლიზმი შეიძლება დაქვეითებული იყოს. ღვიძლის მძიმე დისფუნქციის მქონე პაციენტებში მეტაბოლური სიჩქარე შემცირებულია, რაც იწვევს ეზომეპრაზოლის საერთო ექსპოზიციის გაორმაგებას. ამიტომ, GORD-ის მძიმე დისფუნქციის მქონე პაციენტებში მაქსიმალური დოზა არ უნდა გადააჭარბოს 20 მგ-ს. სისხლდენის მქონე წყლულების და ღვიძლის მძიმე უკმარისობის მქონე პაციენტებისთვის, </w:t>
      </w:r>
      <w:r>
        <w:lastRenderedPageBreak/>
        <w:t>80 მგ საწყისი ბოლუსური დოზის შემდეგ, ინტრავენური ინფუზიის მაქსიმალური დოზა 4 მგ/სთ 71.5 საათის განმავლობაში შეიძლება საკმარისი იყოს.</w:t>
      </w:r>
    </w:p>
    <w:p w14:paraId="61810E1E" w14:textId="2F02BAE4" w:rsidR="00451755" w:rsidRDefault="00451755" w:rsidP="00401989">
      <w:pPr>
        <w:spacing w:after="0" w:line="276" w:lineRule="auto"/>
        <w:jc w:val="both"/>
      </w:pPr>
    </w:p>
    <w:p w14:paraId="2F077050" w14:textId="77777777" w:rsidR="00451755" w:rsidRDefault="00451755" w:rsidP="00401989">
      <w:pPr>
        <w:spacing w:after="0" w:line="276" w:lineRule="auto"/>
        <w:jc w:val="both"/>
      </w:pPr>
      <w:r>
        <w:t>ეზომეპრაზოლი ან მისი ძირითადი მეტაბოლიტები არ ავლენენ დაგროვების ტენდენციას დღეში ერთხელ მიღებისას.</w:t>
      </w:r>
    </w:p>
    <w:p w14:paraId="2526F3E0" w14:textId="77777777" w:rsidR="00827659" w:rsidRDefault="00827659" w:rsidP="00401989">
      <w:pPr>
        <w:spacing w:after="0" w:line="276" w:lineRule="auto"/>
        <w:jc w:val="both"/>
      </w:pPr>
    </w:p>
    <w:p w14:paraId="4B6C779E" w14:textId="16C881C4" w:rsidR="00451755" w:rsidRPr="00827659" w:rsidRDefault="00451755" w:rsidP="00401989">
      <w:pPr>
        <w:spacing w:after="0" w:line="276" w:lineRule="auto"/>
        <w:jc w:val="both"/>
        <w:rPr>
          <w:i/>
          <w:iCs/>
        </w:rPr>
      </w:pPr>
      <w:r w:rsidRPr="00827659">
        <w:rPr>
          <w:i/>
          <w:iCs/>
        </w:rPr>
        <w:t>პედიატრიული პოპულაცია</w:t>
      </w:r>
    </w:p>
    <w:p w14:paraId="1B35B7FA" w14:textId="77777777" w:rsidR="00451755" w:rsidRDefault="00451755" w:rsidP="00401989">
      <w:pPr>
        <w:spacing w:after="0" w:line="276" w:lineRule="auto"/>
        <w:jc w:val="both"/>
      </w:pPr>
      <w:r>
        <w:t>რანდომიზებულ, ღია, მრავალეროვნულ, განმეორებითი დოზის კვლევაში, რომელშიც მონაწილეობდა 0-დან 50 წლამდე ასაკის პედიატრიული პაციენტი.</w:t>
      </w:r>
    </w:p>
    <w:p w14:paraId="76DFA18C" w14:textId="77777777" w:rsidR="00451755" w:rsidRDefault="00451755" w:rsidP="00401989">
      <w:pPr>
        <w:spacing w:after="0" w:line="276" w:lineRule="auto"/>
        <w:jc w:val="both"/>
      </w:pPr>
      <w:r>
        <w:t>18 წლის ბავშვებს ეზომეპრაზოლი დღეში ერთხელ, 3-წუთიანი ინექციის სახით ეზომეპრაზოლის ფარმაკოკინეტიკის შესაფასებლად ეზომეპრაზოლი ენიშნებოდათ.</w:t>
      </w:r>
    </w:p>
    <w:p w14:paraId="2F7C1A6B" w14:textId="77777777" w:rsidR="00827659" w:rsidRDefault="00827659" w:rsidP="00401989">
      <w:pPr>
        <w:spacing w:after="0" w:line="276" w:lineRule="auto"/>
        <w:jc w:val="both"/>
      </w:pPr>
    </w:p>
    <w:p w14:paraId="0E69C304" w14:textId="18935C5F" w:rsidR="00451755" w:rsidRDefault="00451755" w:rsidP="00401989">
      <w:pPr>
        <w:spacing w:after="0" w:line="276" w:lineRule="auto"/>
        <w:jc w:val="both"/>
      </w:pPr>
      <w:r>
        <w:t>ეზომეპრაზოლის ინტრავენური შეყვანის შემდეგ დაფიქსირებული ეზომეპრაზოლის ზემოქმედება</w:t>
      </w:r>
      <w:r w:rsidR="00827659">
        <w:t xml:space="preserve"> </w:t>
      </w:r>
      <w:r>
        <w:t>0-დან 1 თვემდე ასაკის ჩვილებში* 0.5 მგ/კგ უფრო დაბალია, ვიდრე 1-დან 11 თვემდე ასაკის ჩვილებში 1.0 მგ/კგ-ის მიღებისას დაფიქსირებული მაჩვენებელი. თუმცა, ის მსგავსია 1-დან 5 წლამდე ასაკის ბავშვებში 10 მგ-ის, 6-დან 11 წლამდე ასაკის ბავშვებში 10 მგ-ის და 12-დან 18 წლამდე ასაკის ბავშვებში 20 მგ-ის მიღებისას დაფიქსირებული მაჩვენებლისა. ამ დოზებით ზემოქმედების დონეები უფრო მაღალია, ვიდრე მოზრდილებში 20 მგ-ის მიღებისას დაფიქსირებული მაჩვენებელი, მაგრამ უფრო დაბალია, ვიდრე 40 მგ ეზომეპრაზოლის ინტრავენური შეყვანისას დაფიქსირებული მაჩვენებელი. ეზომეპრაზოლის 1.0 მგ/კგ ეზომეპრაზოლის 1-დან 11 თვემდე ასაკის ბავშვებში, 20 მგ 6-დან 11 წლამდე ასაკის ბავშვებში, 20 მგ 12-დან 18 წლამდე ასაკის მოზარდებში 40 მგ-ის მიღების შემდეგ დაფიქსირებული ეზომეპრაზოლის ექსპოზიცია მსგავსი აღმოჩნდა მოზრდილებში 40 მგ ეზომეპრაზოლის მიღების შემდეგ დაფიქსირებული მაჩვენებლისა.</w:t>
      </w:r>
    </w:p>
    <w:p w14:paraId="094DD8E4" w14:textId="77777777" w:rsidR="00827659" w:rsidRDefault="00827659" w:rsidP="00401989">
      <w:pPr>
        <w:spacing w:after="0" w:line="276" w:lineRule="auto"/>
        <w:jc w:val="both"/>
      </w:pPr>
    </w:p>
    <w:p w14:paraId="0A6B2C06" w14:textId="77777777" w:rsidR="00451755" w:rsidRDefault="00451755" w:rsidP="00401989">
      <w:pPr>
        <w:spacing w:after="0" w:line="276" w:lineRule="auto"/>
        <w:jc w:val="both"/>
      </w:pPr>
      <w:r>
        <w:t>მოდელზე დაფუძნებული პროგნოზები მიუთითებს, რომ ეზომეპრაზოლის 10-წუთიანი, 20-წუთიანი და 30-წუთიანი ინფუზიების სახით ინტრავენური შეყვანის შემდეგ Css -max შემცირდება საშუალოდ 37%-დან 49%-მდე, 54%-დან 66%-მდე და 61%-დან 72%-მდე, შესაბამისად, ყველა ასაკობრივ და დოზირების ჯგუფში, იმ შემთხვევასთან შედარებით, როდესაც დოზა შეჰყავთ 3-წუთიანი ინექციის სახით.</w:t>
      </w:r>
    </w:p>
    <w:p w14:paraId="5F929588" w14:textId="77777777" w:rsidR="00827659" w:rsidRDefault="00827659" w:rsidP="00401989">
      <w:pPr>
        <w:spacing w:after="0" w:line="276" w:lineRule="auto"/>
        <w:jc w:val="both"/>
      </w:pPr>
    </w:p>
    <w:p w14:paraId="4C84A52A" w14:textId="77777777" w:rsidR="00451755" w:rsidRDefault="00451755" w:rsidP="00401989">
      <w:pPr>
        <w:spacing w:after="0" w:line="276" w:lineRule="auto"/>
        <w:jc w:val="both"/>
      </w:pPr>
      <w:r>
        <w:t>* 0-დან 1 თვემდე ასაკობრივი ჯგუფის პაციენტი განისაზღვრა, როგორც პაციენტი, რომლის ასაკი კორექტირებულია</w:t>
      </w:r>
    </w:p>
    <w:p w14:paraId="17C124EF" w14:textId="77777777" w:rsidR="00451755" w:rsidRDefault="00451755" w:rsidP="00401989">
      <w:pPr>
        <w:spacing w:after="0" w:line="276" w:lineRule="auto"/>
        <w:jc w:val="both"/>
      </w:pPr>
      <w:r>
        <w:t>32 სრული კვირა და &lt;44 სრული კვირა, სადაც კორექტირებული ასაკი წარმოადგენდა გესტაციური ასაკისა და დაბადების შემდგომი ასაკის ჯამს სრულ კვირებში. 1-დან 11 თვემდე ასაკობრივ ჯგუფში მყოფ პაციენტს კორექტირებული ასაკი 44 სრული კვირაზე მეტი ჰქონდა.</w:t>
      </w:r>
    </w:p>
    <w:p w14:paraId="67B2B525" w14:textId="77777777" w:rsidR="00451755" w:rsidRPr="00827659" w:rsidRDefault="00451755" w:rsidP="00401989">
      <w:pPr>
        <w:spacing w:after="0" w:line="276" w:lineRule="auto"/>
        <w:jc w:val="both"/>
        <w:rPr>
          <w:b/>
          <w:bCs/>
        </w:rPr>
      </w:pPr>
      <w:r w:rsidRPr="00827659">
        <w:rPr>
          <w:b/>
          <w:bCs/>
        </w:rPr>
        <w:t>5.3 პრეკლინიკური უსაფრთხოების მონაცემები</w:t>
      </w:r>
    </w:p>
    <w:p w14:paraId="4DDC41DB" w14:textId="77777777" w:rsidR="00451755" w:rsidRDefault="00451755" w:rsidP="00401989">
      <w:pPr>
        <w:spacing w:after="0" w:line="276" w:lineRule="auto"/>
        <w:jc w:val="both"/>
      </w:pPr>
      <w:r>
        <w:t>პრეკლინიკური კვლევები არ ავლენს განსაკუთრებულ საფრთხეს ადამიანისთვის, ერთჯერადი და განმეორებითი დოზის ტოქსიკურობის, ემბრიონ- ფეტალური ტოქსიკურობისა და მუტაგენურობის ტრადიციულ კვლევებზე დაყრდნობით.</w:t>
      </w:r>
    </w:p>
    <w:p w14:paraId="15D73A3D" w14:textId="77777777" w:rsidR="00451755" w:rsidRDefault="00451755" w:rsidP="00401989">
      <w:pPr>
        <w:spacing w:after="0" w:line="276" w:lineRule="auto"/>
        <w:jc w:val="both"/>
      </w:pPr>
      <w:r>
        <w:lastRenderedPageBreak/>
        <w:t>ვირთხებში რაცემიული ნარევის გამოყენებით ჩატარებულმა ორალურმა კანცეროგენულობამ აჩვენა კუჭის ECL-უჯრედების ჰიპერპლაზია და კარცინოიდები. ვირთხებში დაფიქსირებული კუჭის ეს ეფექტები კუჭის მჟავას გამომუშავების შემცირების შედეგად გამოწვეული მდგრადი, გამოხატული ჰიპერგასტრინემიის შედეგია და შეინიშნება ვირთხებში კუჭის მჟავას სეკრეციის ინჰიბიტორებით ხანგრძლივი მკურნალობის შემდეგ. ეზომეპრაზოლის ინტრავენური ფორმულირების არაკლინიკურ პროგრამაში არ დაფიქსირებულა ვაზო - გაღიზიანების ნიშნები, მაგრამ კანქვეშა ( პარავენური ) ინექციის შემდეგ ინექციის ადგილას აღინიშნა ქსოვილების მსუბუქი ანთებითი რეაქცია. (იხილეთ ნაწილი 4.8).</w:t>
      </w:r>
    </w:p>
    <w:p w14:paraId="10ACDC6F" w14:textId="77777777" w:rsidR="008C0DDB" w:rsidRDefault="008C0DDB" w:rsidP="00401989">
      <w:pPr>
        <w:spacing w:after="0" w:line="276" w:lineRule="auto"/>
        <w:jc w:val="both"/>
        <w:rPr>
          <w:b/>
          <w:bCs/>
        </w:rPr>
      </w:pPr>
    </w:p>
    <w:p w14:paraId="7CE1FB2A" w14:textId="23F88902" w:rsidR="00451755" w:rsidRPr="008C0DDB" w:rsidRDefault="00451755" w:rsidP="00401989">
      <w:pPr>
        <w:spacing w:after="0" w:line="276" w:lineRule="auto"/>
        <w:jc w:val="both"/>
        <w:rPr>
          <w:b/>
          <w:bCs/>
        </w:rPr>
      </w:pPr>
      <w:r w:rsidRPr="008C0DDB">
        <w:rPr>
          <w:b/>
          <w:bCs/>
        </w:rPr>
        <w:t>6 ფარმაცევტული მახასიათებლები</w:t>
      </w:r>
    </w:p>
    <w:p w14:paraId="7C2B4B66" w14:textId="77777777" w:rsidR="008C0DDB" w:rsidRPr="008C0DDB" w:rsidRDefault="00451755" w:rsidP="00401989">
      <w:pPr>
        <w:spacing w:after="0" w:line="276" w:lineRule="auto"/>
        <w:jc w:val="both"/>
        <w:rPr>
          <w:b/>
          <w:bCs/>
        </w:rPr>
      </w:pPr>
      <w:r w:rsidRPr="008C0DDB">
        <w:rPr>
          <w:b/>
          <w:bCs/>
        </w:rPr>
        <w:t>6.</w:t>
      </w:r>
      <w:r w:rsidR="008C0DDB" w:rsidRPr="008C0DDB">
        <w:rPr>
          <w:b/>
          <w:bCs/>
        </w:rPr>
        <w:t>1.</w:t>
      </w:r>
      <w:r w:rsidRPr="008C0DDB">
        <w:rPr>
          <w:b/>
          <w:bCs/>
        </w:rPr>
        <w:t>დამხმარე ნივთიერებების სია</w:t>
      </w:r>
    </w:p>
    <w:p w14:paraId="78AC1F44" w14:textId="123AFDE7" w:rsidR="00451755" w:rsidRDefault="00451755" w:rsidP="00401989">
      <w:pPr>
        <w:spacing w:after="0" w:line="276" w:lineRule="auto"/>
        <w:jc w:val="both"/>
      </w:pPr>
      <w:r>
        <w:t xml:space="preserve"> დინატრიუმის ედეტატი ნატრიუმის ჰიდროქსიდი</w:t>
      </w:r>
    </w:p>
    <w:p w14:paraId="7E38733A" w14:textId="1984AF04" w:rsidR="00451755" w:rsidRDefault="00451755" w:rsidP="00401989">
      <w:pPr>
        <w:spacing w:after="0" w:line="276" w:lineRule="auto"/>
        <w:jc w:val="both"/>
      </w:pPr>
    </w:p>
    <w:p w14:paraId="56A97E44" w14:textId="77777777" w:rsidR="00451755" w:rsidRPr="008C0DDB" w:rsidRDefault="00451755" w:rsidP="00401989">
      <w:pPr>
        <w:spacing w:after="0" w:line="276" w:lineRule="auto"/>
        <w:jc w:val="both"/>
        <w:rPr>
          <w:b/>
          <w:bCs/>
        </w:rPr>
      </w:pPr>
      <w:r w:rsidRPr="008C0DDB">
        <w:rPr>
          <w:b/>
          <w:bCs/>
        </w:rPr>
        <w:t>6.2 შეუთავსებლობა</w:t>
      </w:r>
    </w:p>
    <w:p w14:paraId="3F5DDCD5" w14:textId="77777777" w:rsidR="00451755" w:rsidRDefault="00451755" w:rsidP="00401989">
      <w:pPr>
        <w:spacing w:after="0" w:line="276" w:lineRule="auto"/>
        <w:jc w:val="both"/>
      </w:pPr>
      <w:r>
        <w:t>გახსნილი ხსნარის დაშლა მნიშვნელოვნად არის დამოკიდებული pH-ზე და შესაბამისად, პროდუქტი უნდა გაიხსნას მხოლოდ 0.9%-იანი ნატრიუმის ქლორიდით ინტრავენური გამოყენებისთვის, ინსტრუქციის „დოზირება და მიღების წესი“ ნაწილის შესაბამისად. გახსნილი ხსნარი არ უნდა შეერიოს ან ერთდროულად არ უნდა იქნას შეყვანილი იმავე საინფუზიო კომპლექტში სხვა პრეპარატებთან ერთად.</w:t>
      </w:r>
    </w:p>
    <w:p w14:paraId="0EEDA0F6" w14:textId="77777777" w:rsidR="00451755" w:rsidRPr="008C0DDB" w:rsidRDefault="00451755" w:rsidP="00401989">
      <w:pPr>
        <w:spacing w:after="0" w:line="276" w:lineRule="auto"/>
        <w:jc w:val="both"/>
        <w:rPr>
          <w:b/>
          <w:bCs/>
        </w:rPr>
      </w:pPr>
      <w:r w:rsidRPr="008C0DDB">
        <w:rPr>
          <w:b/>
          <w:bCs/>
        </w:rPr>
        <w:t>6.3 შენახვის ვადა</w:t>
      </w:r>
    </w:p>
    <w:p w14:paraId="4D44BF14" w14:textId="77777777" w:rsidR="00451755" w:rsidRDefault="00451755" w:rsidP="00401989">
      <w:pPr>
        <w:spacing w:after="0" w:line="276" w:lineRule="auto"/>
        <w:jc w:val="both"/>
      </w:pPr>
      <w:r>
        <w:t>24 თვე.</w:t>
      </w:r>
    </w:p>
    <w:p w14:paraId="61634791" w14:textId="77777777" w:rsidR="00451755" w:rsidRDefault="00451755" w:rsidP="00401989">
      <w:pPr>
        <w:spacing w:after="0" w:line="276" w:lineRule="auto"/>
        <w:jc w:val="both"/>
      </w:pPr>
      <w:r>
        <w:t>შენახვის ვადა გახსნის შემდეგ</w:t>
      </w:r>
    </w:p>
    <w:p w14:paraId="38BD75B2" w14:textId="77777777" w:rsidR="00451755" w:rsidRDefault="00451755" w:rsidP="00401989">
      <w:pPr>
        <w:spacing w:after="0" w:line="276" w:lineRule="auto"/>
        <w:jc w:val="both"/>
      </w:pPr>
      <w:r>
        <w:t>გახსნილი ხსნარი ქიმიურად და ფიზიკურად სტაბილურია 12 საათის განმავლობაში 25°C ტემპერატურაზე. მიკრობიოლოგიური თვალსაზრისით, პროდუქტი დაუყოვნებლივ უნდა იქნას გამოყენებული.</w:t>
      </w:r>
    </w:p>
    <w:p w14:paraId="5758F658" w14:textId="77777777" w:rsidR="00451755" w:rsidRPr="008C0DDB" w:rsidRDefault="00451755" w:rsidP="00401989">
      <w:pPr>
        <w:spacing w:after="0" w:line="276" w:lineRule="auto"/>
        <w:jc w:val="both"/>
        <w:rPr>
          <w:b/>
          <w:bCs/>
        </w:rPr>
      </w:pPr>
      <w:r w:rsidRPr="008C0DDB">
        <w:rPr>
          <w:b/>
          <w:bCs/>
        </w:rPr>
        <w:t>6.4 შენახვის განსაკუთრებული ზომები</w:t>
      </w:r>
    </w:p>
    <w:p w14:paraId="0AEF6F28" w14:textId="77777777" w:rsidR="00451755" w:rsidRDefault="00451755" w:rsidP="00401989">
      <w:pPr>
        <w:spacing w:after="0" w:line="276" w:lineRule="auto"/>
        <w:jc w:val="both"/>
      </w:pPr>
      <w:r>
        <w:t>შეინახეთ 25°C-ზე დაბალ ოთახის ტემპერატურაზე. სინათლისგან დასაცავად შეინახეთ ორიგინალ შეფუთვაში.</w:t>
      </w:r>
    </w:p>
    <w:p w14:paraId="1E87F533" w14:textId="77777777" w:rsidR="00451755" w:rsidRDefault="00451755" w:rsidP="00401989">
      <w:pPr>
        <w:spacing w:after="0" w:line="276" w:lineRule="auto"/>
        <w:jc w:val="both"/>
      </w:pPr>
      <w:r>
        <w:t>პროდუქტი გამოსაყენებლად მზადდება 5 მლ 0.9%-იანი NaCl ხსნარისა და 100 მლ-მდე 0.9%-იანი NaCl ხსნარის დამატებით. გახსნილი ხსნარი ქიმიურად და ფიზიკურად სტაბილურია 12 საათის განმავლობაში 25°C ტემპერატურაზე. მიკრობიოლოგიური თვალსაზრისით, პროდუქტი დაუყოვნებლივ უნდა იქნას გამოყენებული.</w:t>
      </w:r>
    </w:p>
    <w:p w14:paraId="60D66AAF" w14:textId="77777777" w:rsidR="00451755" w:rsidRPr="008C0DDB" w:rsidRDefault="00451755" w:rsidP="00401989">
      <w:pPr>
        <w:spacing w:after="0" w:line="276" w:lineRule="auto"/>
        <w:jc w:val="both"/>
        <w:rPr>
          <w:b/>
          <w:bCs/>
        </w:rPr>
      </w:pPr>
      <w:r w:rsidRPr="008C0DDB">
        <w:rPr>
          <w:b/>
          <w:bCs/>
        </w:rPr>
        <w:t>6.5 კონტეინერის ბუნება და შიგთავსი</w:t>
      </w:r>
    </w:p>
    <w:p w14:paraId="1CC7AE84" w14:textId="77777777" w:rsidR="00451755" w:rsidRDefault="00451755" w:rsidP="00401989">
      <w:pPr>
        <w:spacing w:after="0" w:line="276" w:lineRule="auto"/>
        <w:jc w:val="both"/>
      </w:pPr>
      <w:r>
        <w:t>6R უფერო I ტიპის შუშის ფლაკონი, დახურული 20 მმ-იანი ლიო- საკეტით და 20 მმ-იანი იასამნისფერი გამოსახსნელი თავსახურით.</w:t>
      </w:r>
    </w:p>
    <w:p w14:paraId="337EC9DB" w14:textId="77777777" w:rsidR="00451755" w:rsidRPr="008C0DDB" w:rsidRDefault="00451755" w:rsidP="00401989">
      <w:pPr>
        <w:spacing w:after="0" w:line="276" w:lineRule="auto"/>
        <w:jc w:val="both"/>
        <w:rPr>
          <w:b/>
          <w:bCs/>
        </w:rPr>
      </w:pPr>
      <w:r w:rsidRPr="008C0DDB">
        <w:rPr>
          <w:b/>
          <w:bCs/>
        </w:rPr>
        <w:t>6.6 განადგურების განსაკუთრებული სიფრთხილის ზომები</w:t>
      </w:r>
    </w:p>
    <w:p w14:paraId="2212B07A" w14:textId="77777777" w:rsidR="00451755" w:rsidRDefault="00451755" w:rsidP="00401989">
      <w:pPr>
        <w:spacing w:after="0" w:line="276" w:lineRule="auto"/>
        <w:jc w:val="both"/>
      </w:pPr>
      <w:r>
        <w:t>გახსნილი ხსნარი გამოყენებამდე ვიზუალურად უნდა შემოწმდეს ნაწილაკებისა და ფერის შეცვლის არსებობაზე. გამოიყენება მხოლოდ გამჭვირვალე ხსნარი. მხოლოდ ერთჯერადი გამოყენებისთვის. გახსნილი ხსნარის ნახევარი გამოიყენება 20 მგ დოზის მისაღებად. გამოუყენებელი ხსნარი უნდა გადაიღვაროს.</w:t>
      </w:r>
    </w:p>
    <w:p w14:paraId="4208EA99" w14:textId="77777777" w:rsidR="00451755" w:rsidRPr="008C0DDB" w:rsidRDefault="00451755" w:rsidP="00401989">
      <w:pPr>
        <w:spacing w:after="0" w:line="276" w:lineRule="auto"/>
        <w:jc w:val="both"/>
        <w:rPr>
          <w:i/>
          <w:iCs/>
        </w:rPr>
      </w:pPr>
      <w:r w:rsidRPr="008C0DDB">
        <w:rPr>
          <w:i/>
          <w:iCs/>
        </w:rPr>
        <w:t>ინექცია 40 მგ</w:t>
      </w:r>
    </w:p>
    <w:p w14:paraId="6B1CC4D9" w14:textId="77777777" w:rsidR="00451755" w:rsidRDefault="00451755" w:rsidP="00401989">
      <w:pPr>
        <w:spacing w:after="0" w:line="276" w:lineRule="auto"/>
        <w:jc w:val="both"/>
      </w:pPr>
      <w:r>
        <w:lastRenderedPageBreak/>
        <w:t>საინექციო ხსნარი (8 მგ/მლ) მზადდება ეზომეპრაზოლის 40 მგ ფლაკონში 5 მლ 0.9%-იანი (9 მგ/მლ) ნატრიუმის ქლორიდის (ინტრავენური გამოყენებისთვის) დამატებით.</w:t>
      </w:r>
    </w:p>
    <w:p w14:paraId="49B8ADCB" w14:textId="77777777" w:rsidR="00451755" w:rsidRDefault="00451755" w:rsidP="00401989">
      <w:pPr>
        <w:spacing w:after="0" w:line="276" w:lineRule="auto"/>
        <w:jc w:val="both"/>
      </w:pPr>
      <w:r>
        <w:t>გახსნილი საინექციო ხსნარი არის გამჭვირვალე და უფერო ან ძალიან ოდნავ მოყვითალო ფერის.</w:t>
      </w:r>
    </w:p>
    <w:p w14:paraId="4CF0336A" w14:textId="77777777" w:rsidR="00451755" w:rsidRPr="008C0DDB" w:rsidRDefault="00451755" w:rsidP="00401989">
      <w:pPr>
        <w:spacing w:after="0" w:line="276" w:lineRule="auto"/>
        <w:jc w:val="both"/>
        <w:rPr>
          <w:i/>
          <w:iCs/>
        </w:rPr>
      </w:pPr>
      <w:r w:rsidRPr="008C0DDB">
        <w:rPr>
          <w:i/>
          <w:iCs/>
        </w:rPr>
        <w:t>ინფუზია 40 მგ</w:t>
      </w:r>
    </w:p>
    <w:p w14:paraId="35F14E36" w14:textId="77777777" w:rsidR="00451755" w:rsidRDefault="00451755" w:rsidP="00401989">
      <w:pPr>
        <w:spacing w:after="0" w:line="276" w:lineRule="auto"/>
        <w:jc w:val="both"/>
      </w:pPr>
      <w:r>
        <w:t>საინფუზიო ხსნარი მზადდება ერთი ფლაკონის შიგთავსის 40 მგ ეზომეპრაზოლის შემცველობით 100 მლ-მდე 0.9%-იან ნატრიუმის ქლორიდში (ინტრავენური გამოყენებისთვის).</w:t>
      </w:r>
    </w:p>
    <w:p w14:paraId="05524C41" w14:textId="77777777" w:rsidR="00451755" w:rsidRDefault="00451755" w:rsidP="00401989">
      <w:pPr>
        <w:spacing w:after="0" w:line="276" w:lineRule="auto"/>
        <w:jc w:val="both"/>
      </w:pPr>
      <w:r>
        <w:t>ინფუზიისთვის მომზადებული ხსნარი არის გამჭვირვალე და უფერო ან ძალიან ოდნავ მოყვითალო ფერის.</w:t>
      </w:r>
    </w:p>
    <w:p w14:paraId="41441CE6" w14:textId="77777777" w:rsidR="00451755" w:rsidRDefault="00451755" w:rsidP="00401989">
      <w:pPr>
        <w:spacing w:after="0" w:line="276" w:lineRule="auto"/>
        <w:jc w:val="both"/>
      </w:pPr>
      <w:r>
        <w:t>ნებისმიერი გამოუყენებელი პროდუქტი ან ნარჩენი მასალა უნდა განადგურდეს „სამედიცინო ნარჩენების კონტროლის შესახებ დირექტივის“ და „შეფუთვისა და შესაფუთი ნარჩენების კონტროლის შესახებ დირექტივის“ შესაბამისად.</w:t>
      </w:r>
    </w:p>
    <w:p w14:paraId="6D1581BD" w14:textId="2A2300CF" w:rsidR="00451755" w:rsidRDefault="00451755" w:rsidP="00401989">
      <w:pPr>
        <w:spacing w:after="0" w:line="276" w:lineRule="auto"/>
        <w:jc w:val="both"/>
      </w:pPr>
    </w:p>
    <w:p w14:paraId="6D1F15DC" w14:textId="77777777" w:rsidR="00451755" w:rsidRDefault="00451755" w:rsidP="00401989">
      <w:pPr>
        <w:spacing w:after="0" w:line="276" w:lineRule="auto"/>
        <w:jc w:val="both"/>
      </w:pPr>
      <w:r>
        <w:t>შეფუთვაზე მითითებული ვარგისიანობის ვადის გასვლის შემდეგ, პრეპარატი არ უნდა იქნას გამოყენებული.</w:t>
      </w:r>
    </w:p>
    <w:p w14:paraId="180C547E" w14:textId="3FBC07ED" w:rsidR="00287A29" w:rsidRDefault="00287A29" w:rsidP="00401989">
      <w:pPr>
        <w:spacing w:after="0" w:line="276" w:lineRule="auto"/>
        <w:jc w:val="both"/>
      </w:pPr>
      <w:r w:rsidRPr="00287A29">
        <w:rPr>
          <w:rFonts w:ascii="Sylfaen" w:eastAsia="SimSun" w:hAnsi="Sylfaen"/>
          <w:b/>
          <w:lang w:val="ka-GE"/>
        </w:rPr>
        <w:t>გაცემის წესი -</w:t>
      </w:r>
      <w:r>
        <w:rPr>
          <w:rFonts w:ascii="Sylfaen" w:eastAsia="SimSun" w:hAnsi="Sylfaen"/>
          <w:bCs/>
          <w:lang w:val="ka-GE"/>
        </w:rPr>
        <w:t xml:space="preserve"> </w:t>
      </w:r>
      <w:r w:rsidRPr="00D90755">
        <w:rPr>
          <w:rFonts w:ascii="Sylfaen" w:eastAsia="SimSun" w:hAnsi="Sylfaen"/>
          <w:bCs/>
          <w:lang w:val="ka-GE"/>
        </w:rPr>
        <w:t>ფ</w:t>
      </w:r>
      <w:r w:rsidRPr="00187B7A">
        <w:rPr>
          <w:rFonts w:ascii="Sylfaen" w:eastAsia="SimSun" w:hAnsi="Sylfaen" w:cs="Sylfaen"/>
          <w:bCs/>
          <w:lang w:val="ka-GE"/>
        </w:rPr>
        <w:t>არმაცევტული</w:t>
      </w:r>
      <w:r w:rsidRPr="00187B7A">
        <w:rPr>
          <w:rFonts w:ascii="AcadNusx" w:eastAsia="SimSun" w:hAnsi="AcadNusx"/>
          <w:bCs/>
          <w:lang w:val="ka-GE"/>
        </w:rPr>
        <w:t xml:space="preserve"> </w:t>
      </w:r>
      <w:r w:rsidRPr="00187B7A">
        <w:rPr>
          <w:rFonts w:ascii="Sylfaen" w:eastAsia="SimSun" w:hAnsi="Sylfaen" w:cs="Sylfaen"/>
          <w:bCs/>
          <w:lang w:val="ka-GE"/>
        </w:rPr>
        <w:t>პროდუქტის</w:t>
      </w:r>
      <w:r w:rsidRPr="00187B7A">
        <w:rPr>
          <w:rFonts w:ascii="AcadNusx" w:eastAsia="SimSun" w:hAnsi="AcadNusx"/>
          <w:bCs/>
          <w:lang w:val="ka-GE"/>
        </w:rPr>
        <w:t xml:space="preserve"> </w:t>
      </w:r>
      <w:r w:rsidRPr="00187B7A">
        <w:rPr>
          <w:rFonts w:ascii="Sylfaen" w:eastAsia="SimSun" w:hAnsi="Sylfaen" w:cs="Sylfaen"/>
          <w:bCs/>
          <w:lang w:val="ka-GE"/>
        </w:rPr>
        <w:t>ჯგუფი</w:t>
      </w:r>
      <w:r w:rsidRPr="00187B7A">
        <w:rPr>
          <w:rFonts w:ascii="AcadNusx" w:eastAsia="SimSun" w:hAnsi="AcadNusx"/>
          <w:bCs/>
          <w:lang w:val="ka-GE"/>
        </w:rPr>
        <w:t xml:space="preserve"> I</w:t>
      </w:r>
      <w:r w:rsidRPr="00187B7A">
        <w:rPr>
          <w:rFonts w:ascii="Sylfaen" w:eastAsia="SimSun" w:hAnsi="Sylfaen"/>
          <w:bCs/>
          <w:lang w:val="ka-GE"/>
        </w:rPr>
        <w:t>I</w:t>
      </w:r>
      <w:r w:rsidRPr="00187B7A">
        <w:rPr>
          <w:rFonts w:ascii="AcadNusx" w:eastAsia="SimSun" w:hAnsi="AcadNusx"/>
          <w:bCs/>
          <w:lang w:val="ka-GE"/>
        </w:rPr>
        <w:t>I</w:t>
      </w:r>
      <w:r w:rsidRPr="00D90755">
        <w:rPr>
          <w:rFonts w:ascii="Sylfaen" w:eastAsia="SimSun" w:hAnsi="Sylfaen"/>
          <w:bCs/>
          <w:lang w:val="ka-GE"/>
        </w:rPr>
        <w:t xml:space="preserve">, გაიცემა </w:t>
      </w:r>
      <w:r>
        <w:rPr>
          <w:rFonts w:ascii="Sylfaen" w:eastAsia="SimSun" w:hAnsi="Sylfaen"/>
          <w:bCs/>
          <w:lang w:val="ka-GE"/>
        </w:rPr>
        <w:t>რეცეპტის გარეშე</w:t>
      </w:r>
      <w:r w:rsidRPr="00D90755">
        <w:rPr>
          <w:rFonts w:ascii="Sylfaen" w:eastAsia="SimSun" w:hAnsi="Sylfaen"/>
          <w:bCs/>
          <w:lang w:val="ka-GE"/>
        </w:rPr>
        <w:t>.</w:t>
      </w:r>
    </w:p>
    <w:p w14:paraId="5C968FD5" w14:textId="77777777" w:rsidR="00451755" w:rsidRPr="008C0DDB" w:rsidRDefault="00451755" w:rsidP="00401989">
      <w:pPr>
        <w:spacing w:after="0" w:line="276" w:lineRule="auto"/>
        <w:jc w:val="both"/>
        <w:rPr>
          <w:b/>
          <w:bCs/>
        </w:rPr>
      </w:pPr>
      <w:r w:rsidRPr="008C0DDB">
        <w:rPr>
          <w:b/>
          <w:bCs/>
        </w:rPr>
        <w:t>7. მარკეტინგული ავტორიზაციის მფლობელი</w:t>
      </w:r>
    </w:p>
    <w:p w14:paraId="1718C269" w14:textId="77777777" w:rsidR="00451755" w:rsidRDefault="00451755" w:rsidP="00401989">
      <w:pPr>
        <w:spacing w:after="0" w:line="276" w:lineRule="auto"/>
        <w:jc w:val="both"/>
      </w:pPr>
      <w:r>
        <w:t>ცენტურიონი ილაჩ სანაი ვე Ticaret A.Ş. სარიერი /სტამბული</w:t>
      </w:r>
    </w:p>
    <w:p w14:paraId="2BE6FC6E" w14:textId="77777777" w:rsidR="00451755" w:rsidRDefault="00451755" w:rsidP="00401989">
      <w:pPr>
        <w:spacing w:after="0" w:line="276" w:lineRule="auto"/>
        <w:jc w:val="both"/>
      </w:pPr>
      <w:r>
        <w:t>8. მარკეტინგული ავტორიზაციის ნომერი(ები)</w:t>
      </w:r>
    </w:p>
    <w:p w14:paraId="576EC9F9" w14:textId="77777777" w:rsidR="00451755" w:rsidRDefault="00451755" w:rsidP="00401989">
      <w:pPr>
        <w:spacing w:after="0" w:line="276" w:lineRule="auto"/>
        <w:jc w:val="both"/>
      </w:pPr>
      <w:r>
        <w:t>2017/176</w:t>
      </w:r>
    </w:p>
    <w:p w14:paraId="5613A699" w14:textId="67FE068A" w:rsidR="00451755" w:rsidRDefault="00451755" w:rsidP="00401989">
      <w:pPr>
        <w:spacing w:after="0" w:line="276" w:lineRule="auto"/>
        <w:jc w:val="both"/>
      </w:pPr>
      <w:r>
        <w:t>9.</w:t>
      </w:r>
      <w:r w:rsidR="008C0DDB">
        <w:t xml:space="preserve"> </w:t>
      </w:r>
      <w:r>
        <w:t>პირველი ავტორიზაციის/ავტორიზაციის განახლების თარიღი</w:t>
      </w:r>
    </w:p>
    <w:p w14:paraId="4AEB2C20" w14:textId="77777777" w:rsidR="00451755" w:rsidRDefault="00451755" w:rsidP="00401989">
      <w:pPr>
        <w:spacing w:after="0" w:line="276" w:lineRule="auto"/>
        <w:jc w:val="both"/>
      </w:pPr>
      <w:r>
        <w:t>პირველი ავტორიზაციის თარიღი: 29.03.2017</w:t>
      </w:r>
    </w:p>
    <w:p w14:paraId="3B089AB9" w14:textId="77777777" w:rsidR="00451755" w:rsidRDefault="00451755" w:rsidP="00401989">
      <w:pPr>
        <w:spacing w:after="0" w:line="276" w:lineRule="auto"/>
        <w:jc w:val="both"/>
      </w:pPr>
      <w:r>
        <w:t>ბოლო განახლების თარიღი:</w:t>
      </w:r>
    </w:p>
    <w:p w14:paraId="54246F8A" w14:textId="77777777" w:rsidR="00451755" w:rsidRDefault="00451755" w:rsidP="00401989">
      <w:pPr>
        <w:spacing w:after="0" w:line="276" w:lineRule="auto"/>
        <w:jc w:val="both"/>
      </w:pPr>
      <w:r>
        <w:t>10. ტექსტის გადახედვის თარიღი</w:t>
      </w:r>
    </w:p>
    <w:p w14:paraId="2CF63477" w14:textId="14D7F427" w:rsidR="00ED3102" w:rsidRDefault="00451755" w:rsidP="00401989">
      <w:pPr>
        <w:spacing w:after="0" w:line="276" w:lineRule="auto"/>
        <w:jc w:val="both"/>
      </w:pPr>
      <w:r>
        <w:t>12.04.2023</w:t>
      </w:r>
    </w:p>
    <w:sectPr w:rsidR="00ED3102">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7ED9C" w14:textId="77777777" w:rsidR="00771508" w:rsidRDefault="00771508" w:rsidP="00F55AD0">
      <w:pPr>
        <w:spacing w:after="0" w:line="240" w:lineRule="auto"/>
      </w:pPr>
      <w:r>
        <w:separator/>
      </w:r>
    </w:p>
  </w:endnote>
  <w:endnote w:type="continuationSeparator" w:id="0">
    <w:p w14:paraId="4171940E" w14:textId="77777777" w:rsidR="00771508" w:rsidRDefault="00771508" w:rsidP="00F55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9665377"/>
      <w:docPartObj>
        <w:docPartGallery w:val="Page Numbers (Bottom of Page)"/>
        <w:docPartUnique/>
      </w:docPartObj>
    </w:sdtPr>
    <w:sdtEndPr>
      <w:rPr>
        <w:noProof/>
      </w:rPr>
    </w:sdtEndPr>
    <w:sdtContent>
      <w:p w14:paraId="0D718AE8" w14:textId="5CEC97B9" w:rsidR="00F55AD0" w:rsidRDefault="00F55A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87AA0A" w14:textId="77777777" w:rsidR="00F55AD0" w:rsidRDefault="00F55A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AA260C" w14:textId="77777777" w:rsidR="00771508" w:rsidRDefault="00771508" w:rsidP="00F55AD0">
      <w:pPr>
        <w:spacing w:after="0" w:line="240" w:lineRule="auto"/>
      </w:pPr>
      <w:r>
        <w:separator/>
      </w:r>
    </w:p>
  </w:footnote>
  <w:footnote w:type="continuationSeparator" w:id="0">
    <w:p w14:paraId="3A4F359E" w14:textId="77777777" w:rsidR="00771508" w:rsidRDefault="00771508" w:rsidP="00F55A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5F40FD"/>
    <w:multiLevelType w:val="hybridMultilevel"/>
    <w:tmpl w:val="77AA3C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2595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ED8"/>
    <w:rsid w:val="0001388C"/>
    <w:rsid w:val="0002523A"/>
    <w:rsid w:val="000E6BB5"/>
    <w:rsid w:val="001B714C"/>
    <w:rsid w:val="001C01B0"/>
    <w:rsid w:val="00224A6A"/>
    <w:rsid w:val="00287A29"/>
    <w:rsid w:val="0030242D"/>
    <w:rsid w:val="00325239"/>
    <w:rsid w:val="00385730"/>
    <w:rsid w:val="003A728F"/>
    <w:rsid w:val="00401989"/>
    <w:rsid w:val="00451755"/>
    <w:rsid w:val="00465ED8"/>
    <w:rsid w:val="00495E64"/>
    <w:rsid w:val="00547996"/>
    <w:rsid w:val="006121C7"/>
    <w:rsid w:val="00771508"/>
    <w:rsid w:val="00802C20"/>
    <w:rsid w:val="00827659"/>
    <w:rsid w:val="00850D32"/>
    <w:rsid w:val="00882659"/>
    <w:rsid w:val="008C0DDB"/>
    <w:rsid w:val="0093315F"/>
    <w:rsid w:val="009B3772"/>
    <w:rsid w:val="00AF15FA"/>
    <w:rsid w:val="00AF713A"/>
    <w:rsid w:val="00B008E9"/>
    <w:rsid w:val="00BD56DA"/>
    <w:rsid w:val="00C37613"/>
    <w:rsid w:val="00C962BA"/>
    <w:rsid w:val="00DB3470"/>
    <w:rsid w:val="00ED3102"/>
    <w:rsid w:val="00F55A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65606"/>
  <w15:chartTrackingRefBased/>
  <w15:docId w15:val="{86FE8F81-DD2B-4E27-8707-DB9C29657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k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5E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5E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5E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5E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5E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5E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5E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5E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5E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5E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5E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5E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5E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5E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5E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5E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5E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5ED8"/>
    <w:rPr>
      <w:rFonts w:eastAsiaTheme="majorEastAsia" w:cstheme="majorBidi"/>
      <w:color w:val="272727" w:themeColor="text1" w:themeTint="D8"/>
    </w:rPr>
  </w:style>
  <w:style w:type="paragraph" w:styleId="Title">
    <w:name w:val="Title"/>
    <w:basedOn w:val="Normal"/>
    <w:next w:val="Normal"/>
    <w:link w:val="TitleChar"/>
    <w:uiPriority w:val="10"/>
    <w:qFormat/>
    <w:rsid w:val="00465E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5E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5E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5E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5ED8"/>
    <w:pPr>
      <w:spacing w:before="160"/>
      <w:jc w:val="center"/>
    </w:pPr>
    <w:rPr>
      <w:i/>
      <w:iCs/>
      <w:color w:val="404040" w:themeColor="text1" w:themeTint="BF"/>
    </w:rPr>
  </w:style>
  <w:style w:type="character" w:customStyle="1" w:styleId="QuoteChar">
    <w:name w:val="Quote Char"/>
    <w:basedOn w:val="DefaultParagraphFont"/>
    <w:link w:val="Quote"/>
    <w:uiPriority w:val="29"/>
    <w:rsid w:val="00465ED8"/>
    <w:rPr>
      <w:i/>
      <w:iCs/>
      <w:color w:val="404040" w:themeColor="text1" w:themeTint="BF"/>
    </w:rPr>
  </w:style>
  <w:style w:type="paragraph" w:styleId="ListParagraph">
    <w:name w:val="List Paragraph"/>
    <w:basedOn w:val="Normal"/>
    <w:uiPriority w:val="34"/>
    <w:qFormat/>
    <w:rsid w:val="00465ED8"/>
    <w:pPr>
      <w:ind w:left="720"/>
      <w:contextualSpacing/>
    </w:pPr>
  </w:style>
  <w:style w:type="character" w:styleId="IntenseEmphasis">
    <w:name w:val="Intense Emphasis"/>
    <w:basedOn w:val="DefaultParagraphFont"/>
    <w:uiPriority w:val="21"/>
    <w:qFormat/>
    <w:rsid w:val="00465ED8"/>
    <w:rPr>
      <w:i/>
      <w:iCs/>
      <w:color w:val="0F4761" w:themeColor="accent1" w:themeShade="BF"/>
    </w:rPr>
  </w:style>
  <w:style w:type="paragraph" w:styleId="IntenseQuote">
    <w:name w:val="Intense Quote"/>
    <w:basedOn w:val="Normal"/>
    <w:next w:val="Normal"/>
    <w:link w:val="IntenseQuoteChar"/>
    <w:uiPriority w:val="30"/>
    <w:qFormat/>
    <w:rsid w:val="00465E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5ED8"/>
    <w:rPr>
      <w:i/>
      <w:iCs/>
      <w:color w:val="0F4761" w:themeColor="accent1" w:themeShade="BF"/>
    </w:rPr>
  </w:style>
  <w:style w:type="character" w:styleId="IntenseReference">
    <w:name w:val="Intense Reference"/>
    <w:basedOn w:val="DefaultParagraphFont"/>
    <w:uiPriority w:val="32"/>
    <w:qFormat/>
    <w:rsid w:val="00465ED8"/>
    <w:rPr>
      <w:b/>
      <w:bCs/>
      <w:smallCaps/>
      <w:color w:val="0F4761" w:themeColor="accent1" w:themeShade="BF"/>
      <w:spacing w:val="5"/>
    </w:rPr>
  </w:style>
  <w:style w:type="paragraph" w:styleId="Header">
    <w:name w:val="header"/>
    <w:basedOn w:val="Normal"/>
    <w:link w:val="HeaderChar"/>
    <w:uiPriority w:val="99"/>
    <w:unhideWhenUsed/>
    <w:rsid w:val="00F55A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5AD0"/>
  </w:style>
  <w:style w:type="paragraph" w:styleId="Footer">
    <w:name w:val="footer"/>
    <w:basedOn w:val="Normal"/>
    <w:link w:val="FooterChar"/>
    <w:uiPriority w:val="99"/>
    <w:unhideWhenUsed/>
    <w:rsid w:val="00F55A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5AD0"/>
  </w:style>
  <w:style w:type="table" w:styleId="TableGrid">
    <w:name w:val="Table Grid"/>
    <w:basedOn w:val="TableNormal"/>
    <w:uiPriority w:val="39"/>
    <w:rsid w:val="000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18</Pages>
  <Words>5794</Words>
  <Characters>33032</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Gigauri</dc:creator>
  <cp:keywords/>
  <dc:description/>
  <cp:lastModifiedBy>Eteri Chokheli</cp:lastModifiedBy>
  <cp:revision>22</cp:revision>
  <cp:lastPrinted>2025-10-08T21:34:00Z</cp:lastPrinted>
  <dcterms:created xsi:type="dcterms:W3CDTF">2025-10-03T20:18:00Z</dcterms:created>
  <dcterms:modified xsi:type="dcterms:W3CDTF">2025-11-04T06:43:00Z</dcterms:modified>
</cp:coreProperties>
</file>