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DB6ED" w14:textId="77777777" w:rsidR="0020522B" w:rsidRPr="000E31E7" w:rsidRDefault="0020522B" w:rsidP="0020522B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E31E7">
        <w:rPr>
          <w:rFonts w:ascii="Sylfaen" w:hAnsi="Sylfaen" w:cs="Sylfaen"/>
          <w:b/>
          <w:sz w:val="24"/>
          <w:szCs w:val="24"/>
          <w:lang w:val="ka-GE"/>
        </w:rPr>
        <w:t>მოქსიტენზი /MOXITENS/ 0.2 (მოქსონიდინი /</w:t>
      </w:r>
      <w:r w:rsidRPr="000E31E7">
        <w:rPr>
          <w:b/>
        </w:rPr>
        <w:t xml:space="preserve"> </w:t>
      </w:r>
      <w:r w:rsidRPr="000E31E7">
        <w:rPr>
          <w:rFonts w:ascii="Sylfaen" w:hAnsi="Sylfaen" w:cs="Sylfaen"/>
          <w:b/>
          <w:sz w:val="24"/>
          <w:szCs w:val="24"/>
          <w:lang w:val="ka-GE"/>
        </w:rPr>
        <w:t>MOXONIDINE / BP 0.2 მგ ტაბლეტები)</w:t>
      </w:r>
    </w:p>
    <w:p w14:paraId="6BAF6D66" w14:textId="77777777" w:rsidR="0020522B" w:rsidRPr="000E31E7" w:rsidRDefault="0020522B" w:rsidP="0020522B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E31E7">
        <w:rPr>
          <w:rFonts w:ascii="Sylfaen" w:hAnsi="Sylfaen" w:cs="Sylfaen"/>
          <w:b/>
          <w:sz w:val="24"/>
          <w:szCs w:val="24"/>
          <w:lang w:val="ka-GE"/>
        </w:rPr>
        <w:t>მოქსიტენზი /MOXITENS/ 0.</w:t>
      </w:r>
      <w:r w:rsidRPr="000E31E7">
        <w:rPr>
          <w:rFonts w:ascii="Sylfaen" w:hAnsi="Sylfaen" w:cs="Sylfaen"/>
          <w:b/>
          <w:sz w:val="24"/>
          <w:szCs w:val="24"/>
        </w:rPr>
        <w:t>4</w:t>
      </w:r>
      <w:r w:rsidRPr="000E31E7">
        <w:rPr>
          <w:rFonts w:ascii="Sylfaen" w:hAnsi="Sylfaen" w:cs="Sylfaen"/>
          <w:b/>
          <w:sz w:val="24"/>
          <w:szCs w:val="24"/>
          <w:lang w:val="ka-GE"/>
        </w:rPr>
        <w:t xml:space="preserve"> (მოქსონიდინი /</w:t>
      </w:r>
      <w:r w:rsidRPr="000E31E7">
        <w:rPr>
          <w:b/>
        </w:rPr>
        <w:t xml:space="preserve"> </w:t>
      </w:r>
      <w:r w:rsidRPr="000E31E7">
        <w:rPr>
          <w:rFonts w:ascii="Sylfaen" w:hAnsi="Sylfaen" w:cs="Sylfaen"/>
          <w:b/>
          <w:sz w:val="24"/>
          <w:szCs w:val="24"/>
          <w:lang w:val="ka-GE"/>
        </w:rPr>
        <w:t>MOXONIDINE / BP 0.</w:t>
      </w:r>
      <w:r w:rsidRPr="000E31E7">
        <w:rPr>
          <w:rFonts w:ascii="Sylfaen" w:hAnsi="Sylfaen" w:cs="Sylfaen"/>
          <w:b/>
          <w:sz w:val="24"/>
          <w:szCs w:val="24"/>
        </w:rPr>
        <w:t>4</w:t>
      </w:r>
      <w:r w:rsidRPr="000E31E7">
        <w:rPr>
          <w:rFonts w:ascii="Sylfaen" w:hAnsi="Sylfaen" w:cs="Sylfaen"/>
          <w:b/>
          <w:sz w:val="24"/>
          <w:szCs w:val="24"/>
          <w:lang w:val="ka-GE"/>
        </w:rPr>
        <w:t xml:space="preserve"> მგ ტაბლეტები)</w:t>
      </w:r>
    </w:p>
    <w:p w14:paraId="3762825F" w14:textId="7EAB9875" w:rsidR="00FF7268" w:rsidRPr="00C5705F" w:rsidRDefault="00FF7268" w:rsidP="00C5705F">
      <w:pPr>
        <w:spacing w:after="0"/>
        <w:ind w:left="-900" w:right="-96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შემადგენლობა</w:t>
      </w:r>
    </w:p>
    <w:p w14:paraId="02046C49" w14:textId="4E51D1F7" w:rsidR="005020AC" w:rsidRDefault="005020AC" w:rsidP="005020AC">
      <w:pPr>
        <w:spacing w:after="0"/>
        <w:ind w:left="-900" w:right="-186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  <w:lang w:val="ka-GE"/>
        </w:rPr>
        <w:t>მოქსონიდინი</w:t>
      </w:r>
      <w:proofErr w:type="spellEnd"/>
      <w:r w:rsidRPr="00591A6B">
        <w:rPr>
          <w:rFonts w:ascii="Sylfaen" w:hAnsi="Sylfaen"/>
          <w:b/>
          <w:sz w:val="24"/>
          <w:szCs w:val="24"/>
          <w:lang w:val="ka-GE"/>
        </w:rPr>
        <w:t xml:space="preserve"> BP </w:t>
      </w:r>
      <w:r>
        <w:rPr>
          <w:rFonts w:ascii="Sylfaen" w:hAnsi="Sylfaen"/>
          <w:b/>
          <w:sz w:val="24"/>
          <w:szCs w:val="24"/>
          <w:lang w:val="ka-GE"/>
        </w:rPr>
        <w:t>0.2</w:t>
      </w:r>
      <w:r w:rsidRPr="005020AC">
        <w:rPr>
          <w:rFonts w:ascii="Sylfaen" w:hAnsi="Sylfaen"/>
          <w:b/>
          <w:sz w:val="24"/>
          <w:szCs w:val="24"/>
          <w:lang w:val="ka-GE"/>
        </w:rPr>
        <w:t>მგ</w:t>
      </w:r>
      <w:r w:rsidRPr="00591A6B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020AC">
        <w:rPr>
          <w:rFonts w:ascii="Sylfaen" w:hAnsi="Sylfaen"/>
          <w:b/>
          <w:sz w:val="24"/>
          <w:szCs w:val="24"/>
          <w:lang w:val="ka-GE"/>
        </w:rPr>
        <w:t>ტაბლეტები</w:t>
      </w:r>
    </w:p>
    <w:p w14:paraId="156FEDE1" w14:textId="77777777" w:rsidR="00B12829" w:rsidRPr="00C5705F" w:rsidRDefault="00B12829" w:rsidP="00C5705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თითო შემოგარსული ტაბლეტის შემადგენლობაში შედის:</w:t>
      </w:r>
    </w:p>
    <w:p w14:paraId="4B655FC1" w14:textId="3111528F" w:rsidR="00CC4A3F" w:rsidRPr="00CC4A3F" w:rsidRDefault="005020AC" w:rsidP="00CC4A3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591A6B">
        <w:rPr>
          <w:rFonts w:ascii="Sylfaen" w:hAnsi="Sylfaen"/>
          <w:sz w:val="24"/>
          <w:szCs w:val="24"/>
          <w:lang w:val="ka-GE"/>
        </w:rPr>
        <w:t xml:space="preserve"> BP</w:t>
      </w:r>
      <w:r w:rsidRPr="00591A6B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…………………….…..</w:t>
      </w:r>
      <w:r w:rsidRPr="00591A6B">
        <w:rPr>
          <w:rFonts w:ascii="Sylfaen" w:hAnsi="Sylfaen"/>
          <w:sz w:val="24"/>
          <w:szCs w:val="24"/>
          <w:lang w:val="ka-GE"/>
        </w:rPr>
        <w:t>0.2</w:t>
      </w:r>
      <w:r w:rsidR="00CC4A3F" w:rsidRPr="00CC4A3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C4A3F" w:rsidRPr="00CC4A3F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164296BB" w14:textId="2BBC69B4" w:rsidR="00CC4A3F" w:rsidRPr="00CC4A3F" w:rsidRDefault="00CC4A3F" w:rsidP="00CC4A3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შემავსებლები……………………………. </w:t>
      </w:r>
      <w:proofErr w:type="spellStart"/>
      <w:r w:rsidR="005020AC" w:rsidRPr="00591A6B">
        <w:rPr>
          <w:rFonts w:ascii="Sylfaen" w:hAnsi="Sylfaen"/>
          <w:sz w:val="24"/>
          <w:szCs w:val="24"/>
          <w:lang w:val="ka-GE"/>
        </w:rPr>
        <w:t>q</w:t>
      </w:r>
      <w:r w:rsidRPr="00CC4A3F">
        <w:rPr>
          <w:rFonts w:ascii="Sylfaen" w:hAnsi="Sylfaen"/>
          <w:sz w:val="24"/>
          <w:szCs w:val="24"/>
          <w:lang w:val="ka-GE"/>
        </w:rPr>
        <w:t>.</w:t>
      </w:r>
      <w:r w:rsidR="005020AC" w:rsidRPr="00591A6B">
        <w:rPr>
          <w:rFonts w:ascii="Sylfaen" w:hAnsi="Sylfaen"/>
          <w:sz w:val="24"/>
          <w:szCs w:val="24"/>
          <w:lang w:val="ka-GE"/>
        </w:rPr>
        <w:t>s</w:t>
      </w:r>
      <w:proofErr w:type="spellEnd"/>
      <w:r w:rsidRPr="00CC4A3F">
        <w:rPr>
          <w:rFonts w:ascii="Sylfaen" w:hAnsi="Sylfaen"/>
          <w:sz w:val="24"/>
          <w:szCs w:val="24"/>
          <w:lang w:val="ka-GE"/>
        </w:rPr>
        <w:t>.</w:t>
      </w:r>
    </w:p>
    <w:p w14:paraId="08E0467B" w14:textId="2AC15701" w:rsidR="00CC4A3F" w:rsidRDefault="00CC4A3F" w:rsidP="00CC4A3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ფერი: </w:t>
      </w:r>
      <w:r w:rsidR="005020AC" w:rsidRPr="00CC4A3F">
        <w:rPr>
          <w:rFonts w:ascii="Sylfaen" w:hAnsi="Sylfaen"/>
          <w:sz w:val="24"/>
          <w:szCs w:val="24"/>
          <w:lang w:val="ka-GE"/>
        </w:rPr>
        <w:t xml:space="preserve">ტიტანის </w:t>
      </w:r>
      <w:proofErr w:type="spellStart"/>
      <w:r w:rsidR="005020AC" w:rsidRPr="00CC4A3F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="005020AC" w:rsidRPr="00591A6B">
        <w:rPr>
          <w:rFonts w:ascii="Sylfaen" w:hAnsi="Sylfaen"/>
          <w:sz w:val="24"/>
          <w:szCs w:val="24"/>
          <w:lang w:val="ka-GE"/>
        </w:rPr>
        <w:t xml:space="preserve">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ყვითელი  </w:t>
      </w:r>
    </w:p>
    <w:p w14:paraId="4F4599D1" w14:textId="34F7FBE9" w:rsidR="005020AC" w:rsidRDefault="005020AC" w:rsidP="005020AC">
      <w:pPr>
        <w:spacing w:after="0"/>
        <w:ind w:left="-900" w:right="-186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  <w:lang w:val="ka-GE"/>
        </w:rPr>
        <w:t>მოქსონიდინი</w:t>
      </w:r>
      <w:proofErr w:type="spellEnd"/>
      <w:r w:rsidRPr="00591A6B">
        <w:rPr>
          <w:rFonts w:ascii="Sylfaen" w:hAnsi="Sylfaen"/>
          <w:b/>
          <w:sz w:val="24"/>
          <w:szCs w:val="24"/>
          <w:lang w:val="ka-GE"/>
        </w:rPr>
        <w:t xml:space="preserve"> BP </w:t>
      </w:r>
      <w:r>
        <w:rPr>
          <w:rFonts w:ascii="Sylfaen" w:hAnsi="Sylfaen"/>
          <w:b/>
          <w:sz w:val="24"/>
          <w:szCs w:val="24"/>
          <w:lang w:val="ka-GE"/>
        </w:rPr>
        <w:t>0.4</w:t>
      </w:r>
      <w:r w:rsidRPr="005020AC">
        <w:rPr>
          <w:rFonts w:ascii="Sylfaen" w:hAnsi="Sylfaen"/>
          <w:b/>
          <w:sz w:val="24"/>
          <w:szCs w:val="24"/>
          <w:lang w:val="ka-GE"/>
        </w:rPr>
        <w:t>მგ</w:t>
      </w:r>
      <w:r w:rsidRPr="00591A6B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020AC">
        <w:rPr>
          <w:rFonts w:ascii="Sylfaen" w:hAnsi="Sylfaen"/>
          <w:b/>
          <w:sz w:val="24"/>
          <w:szCs w:val="24"/>
          <w:lang w:val="ka-GE"/>
        </w:rPr>
        <w:t>ტაბლეტები</w:t>
      </w:r>
    </w:p>
    <w:p w14:paraId="40861B4C" w14:textId="77777777" w:rsidR="005020AC" w:rsidRPr="00C5705F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თითო შემოგარსული ტაბლეტის შემადგენლობაში შედის:</w:t>
      </w:r>
    </w:p>
    <w:p w14:paraId="73D2155D" w14:textId="44BD4463" w:rsidR="005020AC" w:rsidRPr="00CC4A3F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591A6B">
        <w:rPr>
          <w:rFonts w:ascii="Sylfaen" w:hAnsi="Sylfaen"/>
          <w:sz w:val="24"/>
          <w:szCs w:val="24"/>
          <w:lang w:val="ka-GE"/>
        </w:rPr>
        <w:t xml:space="preserve"> BP</w:t>
      </w:r>
      <w:r w:rsidRPr="00591A6B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…………………….…..</w:t>
      </w:r>
      <w:r w:rsidRPr="00591A6B">
        <w:rPr>
          <w:rFonts w:ascii="Sylfaen" w:hAnsi="Sylfaen"/>
          <w:sz w:val="24"/>
          <w:szCs w:val="24"/>
          <w:lang w:val="ka-GE"/>
        </w:rPr>
        <w:t>0.4</w:t>
      </w:r>
      <w:r w:rsidRPr="00CC4A3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C4A3F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5D8A7A0F" w14:textId="77777777" w:rsidR="005020AC" w:rsidRPr="00CC4A3F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შემავსებლები……………………………. </w:t>
      </w:r>
      <w:r>
        <w:rPr>
          <w:rFonts w:ascii="Sylfaen" w:hAnsi="Sylfaen"/>
          <w:sz w:val="24"/>
          <w:szCs w:val="24"/>
        </w:rPr>
        <w:t>q</w:t>
      </w:r>
      <w:r w:rsidRPr="00CC4A3F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</w:rPr>
        <w:t>s</w:t>
      </w:r>
      <w:r w:rsidRPr="00CC4A3F">
        <w:rPr>
          <w:rFonts w:ascii="Sylfaen" w:hAnsi="Sylfaen"/>
          <w:sz w:val="24"/>
          <w:szCs w:val="24"/>
          <w:lang w:val="ka-GE"/>
        </w:rPr>
        <w:t>.</w:t>
      </w:r>
    </w:p>
    <w:p w14:paraId="02D8B933" w14:textId="2495DB68" w:rsidR="005020AC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>ფერი: ტიტანის დიოქსიდი</w:t>
      </w:r>
      <w:r>
        <w:rPr>
          <w:rFonts w:ascii="Sylfaen" w:hAnsi="Sylfaen"/>
          <w:sz w:val="24"/>
          <w:szCs w:val="24"/>
        </w:rPr>
        <w:t xml:space="preserve">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</w:t>
      </w:r>
      <w:r>
        <w:rPr>
          <w:rFonts w:ascii="Sylfaen" w:hAnsi="Sylfaen"/>
          <w:sz w:val="24"/>
          <w:szCs w:val="24"/>
          <w:lang w:val="ka-GE"/>
        </w:rPr>
        <w:t xml:space="preserve">წითელი,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</w:t>
      </w:r>
      <w:r>
        <w:rPr>
          <w:rFonts w:ascii="Sylfaen" w:hAnsi="Sylfaen"/>
          <w:sz w:val="24"/>
          <w:szCs w:val="24"/>
          <w:lang w:val="ka-GE"/>
        </w:rPr>
        <w:t xml:space="preserve">შავი </w:t>
      </w:r>
      <w:r w:rsidRPr="00CC4A3F">
        <w:rPr>
          <w:rFonts w:ascii="Sylfaen" w:hAnsi="Sylfaen"/>
          <w:sz w:val="24"/>
          <w:szCs w:val="24"/>
          <w:lang w:val="ka-GE"/>
        </w:rPr>
        <w:t xml:space="preserve">  </w:t>
      </w:r>
    </w:p>
    <w:p w14:paraId="7F70703E" w14:textId="77777777" w:rsidR="00FF32CD" w:rsidRPr="00C5705F" w:rsidRDefault="00FF32CD" w:rsidP="00C5705F">
      <w:pPr>
        <w:spacing w:after="0"/>
        <w:ind w:left="-900" w:right="-96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წამლის ფორმა</w:t>
      </w:r>
    </w:p>
    <w:p w14:paraId="4FA47143" w14:textId="67257B75" w:rsidR="00FF32CD" w:rsidRPr="00C5705F" w:rsidRDefault="00FF32CD" w:rsidP="00C5705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ტაბლეტი</w:t>
      </w:r>
    </w:p>
    <w:p w14:paraId="4DEB20B6" w14:textId="78106B62" w:rsidR="00DC0306" w:rsidRPr="00C5705F" w:rsidRDefault="005435B7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კლინიკური თავისებურებები</w:t>
      </w:r>
    </w:p>
    <w:p w14:paraId="1D812BE1" w14:textId="2A59B114" w:rsidR="003519FF" w:rsidRPr="00C5705F" w:rsidRDefault="003519FF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თერაპიული ჩვენებები</w:t>
      </w:r>
    </w:p>
    <w:p w14:paraId="423D7FB1" w14:textId="7C973BC8" w:rsidR="006C0A33" w:rsidRDefault="006C0A33" w:rsidP="006C0A33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r w:rsidRPr="005020AC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ინიშნება </w:t>
      </w:r>
      <w:r w:rsidRPr="006C0A33">
        <w:rPr>
          <w:rFonts w:ascii="Sylfaen" w:hAnsi="Sylfaen" w:cs="Sylfaen"/>
          <w:sz w:val="24"/>
          <w:szCs w:val="24"/>
          <w:lang w:val="ka-GE"/>
        </w:rPr>
        <w:t xml:space="preserve">მსუბუქი და საშუალო სიმძიმის ესენციური ჰიპერტენზიის </w:t>
      </w:r>
      <w:r>
        <w:rPr>
          <w:rFonts w:ascii="Sylfaen" w:hAnsi="Sylfaen" w:cs="Sylfaen"/>
          <w:sz w:val="24"/>
          <w:szCs w:val="24"/>
          <w:lang w:val="ka-GE"/>
        </w:rPr>
        <w:t>დროს</w:t>
      </w:r>
      <w:r w:rsidRPr="006C0A33">
        <w:rPr>
          <w:rFonts w:ascii="Sylfaen" w:hAnsi="Sylfaen" w:cs="Sylfaen"/>
          <w:sz w:val="24"/>
          <w:szCs w:val="24"/>
          <w:lang w:val="ka-GE"/>
        </w:rPr>
        <w:t>.</w:t>
      </w:r>
    </w:p>
    <w:p w14:paraId="423E33D7" w14:textId="23ACE6F9" w:rsidR="003519FF" w:rsidRPr="00C5705F" w:rsidRDefault="003519FF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</w:t>
      </w:r>
    </w:p>
    <w:p w14:paraId="22D89C58" w14:textId="77777777" w:rsidR="00E8463E" w:rsidRPr="00C5705F" w:rsidRDefault="003519FF" w:rsidP="00C5705F">
      <w:pPr>
        <w:spacing w:after="0"/>
        <w:ind w:left="-90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sz w:val="24"/>
          <w:szCs w:val="24"/>
          <w:u w:val="single"/>
          <w:lang w:val="ka-GE"/>
        </w:rPr>
        <w:t xml:space="preserve">დოზირება  </w:t>
      </w:r>
    </w:p>
    <w:p w14:paraId="572B8895" w14:textId="77777777" w:rsidR="006C0A33" w:rsidRDefault="009E159E" w:rsidP="00B9590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E159E">
        <w:rPr>
          <w:rFonts w:ascii="Sylfaen" w:hAnsi="Sylfaen" w:cs="Sylfaen"/>
          <w:sz w:val="24"/>
          <w:szCs w:val="24"/>
          <w:u w:val="single"/>
          <w:lang w:val="ka-GE"/>
        </w:rPr>
        <w:t>მოზრდილები</w:t>
      </w:r>
    </w:p>
    <w:p w14:paraId="58568AA0" w14:textId="6948DC40" w:rsidR="00AA1BA5" w:rsidRDefault="006C0A33" w:rsidP="00B9590F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6C0A33">
        <w:rPr>
          <w:rFonts w:ascii="Sylfaen" w:hAnsi="Sylfaen" w:cs="Sylfaen"/>
          <w:sz w:val="24"/>
          <w:szCs w:val="24"/>
          <w:lang w:val="ka-GE"/>
        </w:rPr>
        <w:t>მკურნალობა უნდა დაიწყოს მოქსონიდინის ყველაზე დაბალი დოზით.</w:t>
      </w:r>
      <w:r w:rsidR="00E5693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5693B" w:rsidRPr="00E5693B">
        <w:rPr>
          <w:rFonts w:ascii="Sylfaen" w:hAnsi="Sylfaen" w:cs="Sylfaen"/>
          <w:sz w:val="24"/>
          <w:szCs w:val="24"/>
          <w:lang w:val="ka-GE"/>
        </w:rPr>
        <w:t>ეს ნიშნავს, რომ მოქსონიდინის დღიური დოზაა 0.2 მგ დილით.</w:t>
      </w:r>
      <w:r w:rsidR="00E5693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5693B" w:rsidRPr="00E5693B">
        <w:rPr>
          <w:rFonts w:ascii="Sylfaen" w:hAnsi="Sylfaen" w:cs="Sylfaen"/>
          <w:sz w:val="24"/>
          <w:szCs w:val="24"/>
          <w:lang w:val="ka-GE"/>
        </w:rPr>
        <w:t>თუ თერაპიული ეფექტი არასაკმარისია, დოზა შეიძლება გაიზარდოს 0.4 მგ-მდე სამი კვირის შემდეგ.</w:t>
      </w:r>
      <w:r w:rsidR="00E5693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5693B" w:rsidRPr="00E5693B">
        <w:rPr>
          <w:rFonts w:ascii="Sylfaen" w:hAnsi="Sylfaen" w:cs="Sylfaen"/>
          <w:sz w:val="24"/>
          <w:szCs w:val="24"/>
          <w:lang w:val="ka-GE"/>
        </w:rPr>
        <w:t>აღნიშნული დოზის მიღება შეიძლება ერთჯერადად (დილით) ან თანაბრად გაყოფილი დოზის (დილით და საღამოს) სახით.</w:t>
      </w:r>
      <w:r w:rsid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A1BA5" w:rsidRPr="00AA1BA5">
        <w:rPr>
          <w:rFonts w:ascii="Sylfaen" w:hAnsi="Sylfaen" w:cs="Sylfaen"/>
          <w:sz w:val="24"/>
          <w:szCs w:val="24"/>
          <w:lang w:val="ka-GE"/>
        </w:rPr>
        <w:t>თუ შემდგომი სამკვირიანი მკურნალობის შემდეგაც თერაპიული ეფექტი ვერ მიიღწევა, დოზა შეიძლება გაიზარდოს მაქსიმუმ 0.6 მგ-მდე</w:t>
      </w:r>
      <w:r w:rsidR="00AA1BA5">
        <w:rPr>
          <w:rFonts w:ascii="Sylfaen" w:hAnsi="Sylfaen" w:cs="Sylfaen"/>
          <w:sz w:val="24"/>
          <w:szCs w:val="24"/>
          <w:lang w:val="ka-GE"/>
        </w:rPr>
        <w:t>, რომლის მი</w:t>
      </w:r>
      <w:r w:rsidR="007B2784">
        <w:rPr>
          <w:rFonts w:ascii="Sylfaen" w:hAnsi="Sylfaen" w:cs="Sylfaen"/>
          <w:sz w:val="24"/>
          <w:szCs w:val="24"/>
          <w:lang w:val="ka-GE"/>
        </w:rPr>
        <w:t>ღ</w:t>
      </w:r>
      <w:r w:rsidR="00AA1BA5">
        <w:rPr>
          <w:rFonts w:ascii="Sylfaen" w:hAnsi="Sylfaen" w:cs="Sylfaen"/>
          <w:sz w:val="24"/>
          <w:szCs w:val="24"/>
          <w:lang w:val="ka-GE"/>
        </w:rPr>
        <w:t>ებაც უნდა მოხდეს</w:t>
      </w:r>
      <w:r w:rsidR="00AA1BA5" w:rsidRP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A1BA5" w:rsidRPr="00E5693B">
        <w:rPr>
          <w:rFonts w:ascii="Sylfaen" w:hAnsi="Sylfaen" w:cs="Sylfaen"/>
          <w:sz w:val="24"/>
          <w:szCs w:val="24"/>
          <w:lang w:val="ka-GE"/>
        </w:rPr>
        <w:t>გაყოფილი დოზის (დილით და საღამოს) სახით.</w:t>
      </w:r>
      <w:r w:rsid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78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784" w:rsidRPr="007B2784">
        <w:rPr>
          <w:rFonts w:ascii="Sylfaen" w:hAnsi="Sylfaen" w:cs="Sylfaen"/>
          <w:sz w:val="24"/>
          <w:szCs w:val="24"/>
          <w:lang w:val="ka-GE"/>
        </w:rPr>
        <w:t>დაუშვებელია მოქსონიდინის 0.4 მგ ერთჯერადი დოზის და მოქსონიდინის 0.6 მგ დღიური დოზის გადაჭარბება</w:t>
      </w:r>
      <w:r w:rsidR="007B2784">
        <w:rPr>
          <w:rFonts w:ascii="Sylfaen" w:hAnsi="Sylfaen" w:cs="Sylfaen"/>
          <w:sz w:val="24"/>
          <w:szCs w:val="24"/>
          <w:lang w:val="ka-GE"/>
        </w:rPr>
        <w:t>.</w:t>
      </w:r>
    </w:p>
    <w:p w14:paraId="0B0C7D04" w14:textId="0DDF541C" w:rsidR="00B9590F" w:rsidRPr="00B30399" w:rsidRDefault="007B2784" w:rsidP="00327F15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7B2784">
        <w:rPr>
          <w:rFonts w:ascii="Sylfaen" w:hAnsi="Sylfaen" w:cs="Sylfaen"/>
          <w:sz w:val="24"/>
          <w:szCs w:val="24"/>
          <w:lang w:val="ka-GE"/>
        </w:rPr>
        <w:t>მკურნალობა არ უნდა შეწყდეს ერთბაშად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B2784">
        <w:rPr>
          <w:rFonts w:ascii="Sylfaen" w:hAnsi="Sylfaen" w:cs="Sylfaen"/>
          <w:sz w:val="24"/>
          <w:szCs w:val="24"/>
          <w:lang w:val="ka-GE"/>
        </w:rPr>
        <w:t>არამედ უნდა შეწყდეს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2784">
        <w:rPr>
          <w:rFonts w:ascii="Sylfaen" w:hAnsi="Sylfaen" w:cs="Sylfaen"/>
          <w:sz w:val="24"/>
          <w:szCs w:val="24"/>
          <w:lang w:val="ka-GE"/>
        </w:rPr>
        <w:t>დოზის თანდათანობით შემცირებით, ორ</w:t>
      </w:r>
      <w:r w:rsidR="00327F15">
        <w:rPr>
          <w:rFonts w:ascii="Sylfaen" w:hAnsi="Sylfaen" w:cs="Sylfaen"/>
          <w:sz w:val="24"/>
          <w:szCs w:val="24"/>
          <w:lang w:val="ka-GE"/>
        </w:rPr>
        <w:t>ი</w:t>
      </w:r>
      <w:r w:rsidRPr="007B2784">
        <w:rPr>
          <w:rFonts w:ascii="Sylfaen" w:hAnsi="Sylfaen" w:cs="Sylfaen"/>
          <w:sz w:val="24"/>
          <w:szCs w:val="24"/>
          <w:lang w:val="ka-GE"/>
        </w:rPr>
        <w:t xml:space="preserve"> კვირის განმავლობაში.</w:t>
      </w:r>
    </w:p>
    <w:p w14:paraId="7A5D4662" w14:textId="77777777" w:rsidR="00327F15" w:rsidRDefault="001F32B1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5705F">
        <w:rPr>
          <w:rFonts w:ascii="Sylfaen" w:hAnsi="Sylfaen" w:cs="Sylfaen"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794A0EFF" w14:textId="77777777" w:rsidR="00327F15" w:rsidRDefault="00327F15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>
        <w:rPr>
          <w:rFonts w:ascii="Sylfaen" w:hAnsi="Sylfaen" w:cs="Sylfaen"/>
          <w:sz w:val="24"/>
          <w:szCs w:val="24"/>
          <w:u w:val="single"/>
          <w:lang w:val="ka-GE"/>
        </w:rPr>
        <w:t>ხანდაზმულები</w:t>
      </w:r>
    </w:p>
    <w:p w14:paraId="6F54E325" w14:textId="269AF5E8" w:rsidR="00327F15" w:rsidRDefault="00327F15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იმ შემთხვევაში, თუ თირკმლის ფუნქცია დარღვეული არ არის, დოზირების რეკომენდაცია იგივეა, რაც მოზრდილებში.</w:t>
      </w:r>
    </w:p>
    <w:p w14:paraId="21D89BAD" w14:textId="7674B0F1" w:rsidR="00327F15" w:rsidRPr="00327F15" w:rsidRDefault="00327F15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27F15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</w:p>
    <w:p w14:paraId="574FF8AC" w14:textId="5694EDA2" w:rsidR="00B30399" w:rsidRPr="00246C8A" w:rsidRDefault="00327F15" w:rsidP="00246C8A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 არ ინიშნება 1</w:t>
      </w:r>
      <w:r w:rsidR="00D62EEF">
        <w:rPr>
          <w:rFonts w:ascii="Sylfaen" w:hAnsi="Sylfaen" w:cs="Sylfaen"/>
          <w:sz w:val="24"/>
          <w:szCs w:val="24"/>
          <w:lang w:val="ka-GE"/>
        </w:rPr>
        <w:t>8</w:t>
      </w:r>
      <w:r w:rsidRPr="00327F15">
        <w:rPr>
          <w:rFonts w:ascii="Sylfaen" w:hAnsi="Sylfaen" w:cs="Sylfaen"/>
          <w:sz w:val="24"/>
          <w:szCs w:val="24"/>
          <w:lang w:val="ka-GE"/>
        </w:rPr>
        <w:t xml:space="preserve"> წლამდე ასაკის ბავშვებსა და მოზარდებში, რადგან აღნიშნულ ჯგუფში გამოყენების შესახებ თერაპიული მონაცემები არასაკმარისია.</w:t>
      </w:r>
    </w:p>
    <w:p w14:paraId="2FF9FCD7" w14:textId="07AAA805" w:rsidR="00244B04" w:rsidRPr="0045534C" w:rsidRDefault="00244B04" w:rsidP="00C5705F">
      <w:pPr>
        <w:spacing w:after="0"/>
        <w:ind w:left="-900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45534C">
        <w:rPr>
          <w:rFonts w:ascii="Sylfaen" w:hAnsi="Sylfaen"/>
          <w:b/>
          <w:bCs/>
          <w:sz w:val="24"/>
          <w:szCs w:val="24"/>
          <w:u w:val="single"/>
          <w:lang w:val="ka-GE"/>
        </w:rPr>
        <w:t>მიღების წესი</w:t>
      </w:r>
    </w:p>
    <w:p w14:paraId="38FC6A36" w14:textId="5C2C8EFA" w:rsidR="00244B04" w:rsidRPr="00C5705F" w:rsidRDefault="00244B04" w:rsidP="00C5705F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>მიიღება პერორალურად.</w:t>
      </w:r>
    </w:p>
    <w:p w14:paraId="387BAF45" w14:textId="6BCA4240" w:rsidR="00B5317B" w:rsidRPr="00C5705F" w:rsidRDefault="00244B04" w:rsidP="00C5705F">
      <w:pPr>
        <w:spacing w:after="0"/>
        <w:ind w:left="-90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5705F">
        <w:rPr>
          <w:rFonts w:ascii="Sylfaen" w:hAnsi="Sylfaen"/>
          <w:b/>
          <w:bCs/>
          <w:sz w:val="24"/>
          <w:szCs w:val="24"/>
          <w:lang w:val="ka-GE"/>
        </w:rPr>
        <w:t>უკუჩვენებები</w:t>
      </w:r>
    </w:p>
    <w:p w14:paraId="686D9DBE" w14:textId="5E4A2598" w:rsidR="00D756A8" w:rsidRDefault="00D756A8" w:rsidP="00D756A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მოქსონიდინი უკუნაჩვენებია პაციენტებში</w:t>
      </w:r>
      <w:r>
        <w:rPr>
          <w:rFonts w:ascii="Sylfaen" w:hAnsi="Sylfaen" w:cs="Sylfaen"/>
          <w:sz w:val="24"/>
          <w:szCs w:val="24"/>
          <w:lang w:val="ka-GE"/>
        </w:rPr>
        <w:t>, რომელთაც აღენიშნებათ</w:t>
      </w:r>
      <w:r w:rsidRPr="00D756A8">
        <w:rPr>
          <w:rFonts w:ascii="Sylfaen" w:hAnsi="Sylfaen" w:cs="Sylfaen"/>
          <w:sz w:val="24"/>
          <w:szCs w:val="24"/>
          <w:lang w:val="ka-GE"/>
        </w:rPr>
        <w:t>:</w:t>
      </w:r>
    </w:p>
    <w:p w14:paraId="4BA837C2" w14:textId="7910DEEE" w:rsidR="009943CE" w:rsidRDefault="00B5317B" w:rsidP="00D756A8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lastRenderedPageBreak/>
        <w:t>მომატებული მგრძნობელობა აქტიური ნივთიერების</w:t>
      </w:r>
      <w:r w:rsidR="006801CF" w:rsidRPr="00D756A8">
        <w:rPr>
          <w:rFonts w:ascii="Sylfaen" w:hAnsi="Sylfaen" w:cs="Sylfaen"/>
          <w:sz w:val="24"/>
          <w:szCs w:val="24"/>
          <w:lang w:val="ka-GE"/>
        </w:rPr>
        <w:t xml:space="preserve"> ან</w:t>
      </w:r>
      <w:r w:rsidR="00FD66BE" w:rsidRPr="00D756A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756A8">
        <w:rPr>
          <w:rFonts w:ascii="Sylfaen" w:hAnsi="Sylfaen" w:cs="Sylfaen"/>
          <w:sz w:val="24"/>
          <w:szCs w:val="24"/>
          <w:lang w:val="ka-GE"/>
        </w:rPr>
        <w:t>რომელიმე შემავსებლის მიმართ.</w:t>
      </w:r>
    </w:p>
    <w:p w14:paraId="174559E2" w14:textId="5738E1A8" w:rsidR="00D756A8" w:rsidRDefault="00D756A8" w:rsidP="00D756A8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სინუსური კვანძის სისუსტის სინდრომი</w:t>
      </w:r>
    </w:p>
    <w:p w14:paraId="3C35D734" w14:textId="6ACC049F" w:rsidR="00D756A8" w:rsidRDefault="00E42F8F" w:rsidP="00E42F8F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ბრადიკარდია (</w:t>
      </w:r>
      <w:r>
        <w:rPr>
          <w:rFonts w:ascii="Sylfaen" w:hAnsi="Sylfaen" w:cs="Sylfaen"/>
          <w:sz w:val="24"/>
          <w:szCs w:val="24"/>
          <w:lang w:val="ka-GE"/>
        </w:rPr>
        <w:t>მ</w:t>
      </w:r>
      <w:r w:rsidRPr="00E42F8F">
        <w:rPr>
          <w:rFonts w:ascii="Sylfaen" w:hAnsi="Sylfaen" w:cs="Sylfaen"/>
          <w:sz w:val="24"/>
          <w:szCs w:val="24"/>
          <w:lang w:val="ka-GE"/>
        </w:rPr>
        <w:t>ოსვენებულ მდგომარეობაში &lt;50 დარტყმა/წუთში)</w:t>
      </w:r>
    </w:p>
    <w:p w14:paraId="671816AF" w14:textId="77DC0BBA" w:rsidR="00D756A8" w:rsidRDefault="00E42F8F" w:rsidP="00E42F8F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მე-2 და მე-3 ხარისხის ატრიოვენტრიკულური ბლოკადა</w:t>
      </w:r>
    </w:p>
    <w:p w14:paraId="4FBAD3C2" w14:textId="633E37A9" w:rsidR="00D756A8" w:rsidRPr="00D756A8" w:rsidRDefault="00E42F8F" w:rsidP="00E42F8F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გულის უკმარისობა</w:t>
      </w:r>
    </w:p>
    <w:p w14:paraId="3656F736" w14:textId="2E05FAAB" w:rsidR="0028605B" w:rsidRDefault="0028605B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366E4179" w14:textId="7DD673C6" w:rsidR="00070E03" w:rsidRDefault="00070E03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070E03">
        <w:rPr>
          <w:rFonts w:ascii="Sylfaen" w:hAnsi="Sylfaen"/>
          <w:sz w:val="24"/>
          <w:szCs w:val="24"/>
          <w:lang w:val="ka-GE"/>
        </w:rPr>
        <w:t>პოსტმარკეტინგული გამოცდილების მიხედვით, პაციენტებში, რომლებიც ღებულობდნენ მოქსონიდინის,  აღინიშნა AV ბლოკადის სხვადასხვა ხარისხის შემთხვევები.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70E03">
        <w:rPr>
          <w:rFonts w:ascii="Sylfaen" w:hAnsi="Sylfaen"/>
          <w:sz w:val="24"/>
          <w:szCs w:val="24"/>
          <w:lang w:val="ka-GE"/>
        </w:rPr>
        <w:t>ამ შემთხვევების გათვალისწინებით, მოქსონიდინის როლი ატრიოვენტრიკულური გამტარობის შენელებაში სრულად არ შეიძლება გამოირიცხოს.</w:t>
      </w:r>
      <w:r w:rsidR="00886AE2">
        <w:rPr>
          <w:rFonts w:ascii="Sylfaen" w:hAnsi="Sylfaen"/>
          <w:sz w:val="24"/>
          <w:szCs w:val="24"/>
          <w:lang w:val="ka-GE"/>
        </w:rPr>
        <w:t xml:space="preserve"> </w:t>
      </w:r>
      <w:r w:rsidR="00D62EEF">
        <w:rPr>
          <w:rFonts w:ascii="Sylfaen" w:hAnsi="Sylfaen"/>
          <w:sz w:val="24"/>
          <w:szCs w:val="24"/>
          <w:lang w:val="ka-GE"/>
        </w:rPr>
        <w:t>შესაბამისად</w:t>
      </w:r>
      <w:r w:rsidR="00886AE2" w:rsidRPr="00886AE2">
        <w:rPr>
          <w:rFonts w:ascii="Sylfaen" w:hAnsi="Sylfaen"/>
          <w:sz w:val="24"/>
          <w:szCs w:val="24"/>
          <w:lang w:val="ka-GE"/>
        </w:rPr>
        <w:t>, სიფრთხილეა რეკომენდებული ატრიოვენტრიკულური ბლოკადის განვითარების შესაძლო წინასწარგანწყობის მქონე პაციენტების მკურნალობისას.</w:t>
      </w:r>
    </w:p>
    <w:p w14:paraId="46633568" w14:textId="230FA1B1" w:rsidR="004B127E" w:rsidRDefault="004B127E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4B127E">
        <w:rPr>
          <w:rFonts w:ascii="Sylfaen" w:hAnsi="Sylfaen"/>
          <w:sz w:val="24"/>
          <w:szCs w:val="24"/>
          <w:lang w:val="ka-GE"/>
        </w:rPr>
        <w:t>პირველი ხარისხის ატრიოვენტრიკულური ბლოკადის მქონე პაციენტებში მოქსონიდინის გამოყენებისას განსაკუთრებული სიფრთხილეა საჭირო ბრადიკარდიის თავიდან ასაცილებლად.</w:t>
      </w:r>
      <w:r w:rsidR="003D1B9C">
        <w:rPr>
          <w:rFonts w:ascii="Sylfaen" w:hAnsi="Sylfaen"/>
          <w:sz w:val="24"/>
          <w:szCs w:val="24"/>
          <w:lang w:val="ka-GE"/>
        </w:rPr>
        <w:t xml:space="preserve"> </w:t>
      </w:r>
      <w:r w:rsidR="00D62EEF">
        <w:rPr>
          <w:rFonts w:ascii="Sylfaen" w:hAnsi="Sylfaen"/>
          <w:sz w:val="24"/>
          <w:szCs w:val="24"/>
          <w:lang w:val="ka-GE"/>
        </w:rPr>
        <w:t xml:space="preserve">დაუშვებელია </w:t>
      </w:r>
      <w:r w:rsidR="003D1B9C" w:rsidRPr="003D1B9C">
        <w:rPr>
          <w:rFonts w:ascii="Sylfaen" w:hAnsi="Sylfaen"/>
          <w:sz w:val="24"/>
          <w:szCs w:val="24"/>
          <w:lang w:val="ka-GE"/>
        </w:rPr>
        <w:t>მოქსონიდინი</w:t>
      </w:r>
      <w:r w:rsidR="00D62EEF">
        <w:rPr>
          <w:rFonts w:ascii="Sylfaen" w:hAnsi="Sylfaen"/>
          <w:sz w:val="24"/>
          <w:szCs w:val="24"/>
          <w:lang w:val="ka-GE"/>
        </w:rPr>
        <w:t>ს</w:t>
      </w:r>
      <w:r w:rsidR="003D1B9C" w:rsidRPr="003D1B9C">
        <w:rPr>
          <w:rFonts w:ascii="Sylfaen" w:hAnsi="Sylfaen"/>
          <w:sz w:val="24"/>
          <w:szCs w:val="24"/>
          <w:lang w:val="ka-GE"/>
        </w:rPr>
        <w:t xml:space="preserve"> </w:t>
      </w:r>
      <w:r w:rsidR="00D62EEF">
        <w:rPr>
          <w:rFonts w:ascii="Sylfaen" w:hAnsi="Sylfaen"/>
          <w:sz w:val="24"/>
          <w:szCs w:val="24"/>
          <w:lang w:val="ka-GE"/>
        </w:rPr>
        <w:t>გამოყენება</w:t>
      </w:r>
      <w:r w:rsidR="003D1B9C" w:rsidRPr="003D1B9C">
        <w:rPr>
          <w:rFonts w:ascii="Sylfaen" w:hAnsi="Sylfaen"/>
          <w:sz w:val="24"/>
          <w:szCs w:val="24"/>
          <w:lang w:val="ka-GE"/>
        </w:rPr>
        <w:t xml:space="preserve"> მაღალი ხარისხის ატრიოვენტრიკულური ბლოკადის დროს (იხ. 4.3 პუნქტი).</w:t>
      </w:r>
    </w:p>
    <w:p w14:paraId="27F4F3A8" w14:textId="7C27F4C5" w:rsidR="00977B6E" w:rsidRDefault="00977B6E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977B6E">
        <w:rPr>
          <w:rFonts w:ascii="Sylfaen" w:hAnsi="Sylfaen"/>
          <w:sz w:val="24"/>
          <w:szCs w:val="24"/>
          <w:lang w:val="ka-GE"/>
        </w:rPr>
        <w:t>მოქსონიდინის გამოყენებისას პაციენტებში, რომლებსაც ა</w:t>
      </w:r>
      <w:r w:rsidR="00D62EEF">
        <w:rPr>
          <w:rFonts w:ascii="Sylfaen" w:hAnsi="Sylfaen"/>
          <w:sz w:val="24"/>
          <w:szCs w:val="24"/>
          <w:lang w:val="ka-GE"/>
        </w:rPr>
        <w:t>ღ</w:t>
      </w:r>
      <w:r w:rsidRPr="00977B6E">
        <w:rPr>
          <w:rFonts w:ascii="Sylfaen" w:hAnsi="Sylfaen"/>
          <w:sz w:val="24"/>
          <w:szCs w:val="24"/>
          <w:lang w:val="ka-GE"/>
        </w:rPr>
        <w:t>ენიშნებათ კორონარული არტერიების დაავადება ან არასტაბილური სტენოკარდია, განსაკუთრებული სიფრთხილეა საჭირო, რადგან ამ კატეგორიის პაციენტებში მოქსონიდინის გამოყენებასთან დაკავშირებით შეზღუდული გამოცდილება არსებობს.</w:t>
      </w:r>
      <w:r w:rsidR="004F0E6E">
        <w:rPr>
          <w:rFonts w:ascii="Sylfaen" w:hAnsi="Sylfaen"/>
          <w:sz w:val="24"/>
          <w:szCs w:val="24"/>
          <w:lang w:val="ka-GE"/>
        </w:rPr>
        <w:t xml:space="preserve"> </w:t>
      </w:r>
    </w:p>
    <w:p w14:paraId="251240C6" w14:textId="14586C02" w:rsidR="004F0E6E" w:rsidRDefault="004F0E6E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4F0E6E">
        <w:rPr>
          <w:rFonts w:ascii="Sylfaen" w:hAnsi="Sylfaen"/>
          <w:sz w:val="24"/>
          <w:szCs w:val="24"/>
          <w:lang w:val="ka-GE"/>
        </w:rPr>
        <w:t>იმ პაციენტებში, რომლებსაც აღენიშნებათ საშუალო სიმძიმის გულის უკმარისობა, პრეპარატის უსაფრთხოების დამადასტურებელი კლინიკური მონაცემების არარსებობის გამო, მოქსონიდინი სიფრთხილით უნდა და</w:t>
      </w:r>
      <w:r>
        <w:rPr>
          <w:rFonts w:ascii="Sylfaen" w:hAnsi="Sylfaen"/>
          <w:sz w:val="24"/>
          <w:szCs w:val="24"/>
          <w:lang w:val="ka-GE"/>
        </w:rPr>
        <w:t>ი</w:t>
      </w:r>
      <w:r w:rsidRPr="004F0E6E">
        <w:rPr>
          <w:rFonts w:ascii="Sylfaen" w:hAnsi="Sylfaen"/>
          <w:sz w:val="24"/>
          <w:szCs w:val="24"/>
          <w:lang w:val="ka-GE"/>
        </w:rPr>
        <w:t>ნიშნოს.</w:t>
      </w:r>
    </w:p>
    <w:p w14:paraId="1F345036" w14:textId="309E5F46" w:rsidR="00510D04" w:rsidRDefault="00510D04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510D04">
        <w:rPr>
          <w:rFonts w:ascii="Sylfaen" w:hAnsi="Sylfaen"/>
          <w:sz w:val="24"/>
          <w:szCs w:val="24"/>
          <w:lang w:val="ka-GE"/>
        </w:rPr>
        <w:t>სიფრთხილეა საჭირო მოქსონიდინის დანიშვნისას თირკმლის ფუნქციის დარღვევის მქონე პაციენტებში, რადგან მოქსონიდინი ძირითადად თირკმელებით გამოიყოფა.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10D04">
        <w:rPr>
          <w:rFonts w:ascii="Sylfaen" w:hAnsi="Sylfaen"/>
          <w:sz w:val="24"/>
          <w:szCs w:val="24"/>
          <w:lang w:val="ka-GE"/>
        </w:rPr>
        <w:t>ასეთ პაციენტებში დოზის ტიტრაცია</w:t>
      </w:r>
      <w:r w:rsidR="006F2377">
        <w:rPr>
          <w:rFonts w:ascii="Sylfaen" w:hAnsi="Sylfaen"/>
          <w:sz w:val="24"/>
          <w:szCs w:val="24"/>
          <w:lang w:val="ka-GE"/>
        </w:rPr>
        <w:t xml:space="preserve"> </w:t>
      </w:r>
      <w:r w:rsidR="006F2377" w:rsidRPr="006F2377">
        <w:rPr>
          <w:rFonts w:ascii="Sylfaen" w:hAnsi="Sylfaen"/>
          <w:sz w:val="24"/>
          <w:szCs w:val="24"/>
          <w:lang w:val="ka-GE"/>
        </w:rPr>
        <w:t>უნდა მოხდეს სიფრთხილით</w:t>
      </w:r>
      <w:r w:rsidRPr="00510D04">
        <w:rPr>
          <w:rFonts w:ascii="Sylfaen" w:hAnsi="Sylfaen"/>
          <w:sz w:val="24"/>
          <w:szCs w:val="24"/>
          <w:lang w:val="ka-GE"/>
        </w:rPr>
        <w:t>, განსაკუთრებით თერაპიის დასაწყისში.</w:t>
      </w:r>
      <w:r w:rsidR="006F2377">
        <w:rPr>
          <w:rFonts w:ascii="Sylfaen" w:hAnsi="Sylfaen"/>
          <w:sz w:val="24"/>
          <w:szCs w:val="24"/>
          <w:lang w:val="ka-GE"/>
        </w:rPr>
        <w:t xml:space="preserve"> </w:t>
      </w:r>
      <w:r w:rsidR="006F2377" w:rsidRPr="006F2377">
        <w:rPr>
          <w:rFonts w:ascii="Sylfaen" w:hAnsi="Sylfaen"/>
          <w:sz w:val="24"/>
          <w:szCs w:val="24"/>
          <w:lang w:val="ka-GE"/>
        </w:rPr>
        <w:t>რეკომენდებული საწყისი დღიური დოზაა</w:t>
      </w:r>
      <w:r w:rsidR="00D62EEF">
        <w:rPr>
          <w:rFonts w:ascii="Sylfaen" w:hAnsi="Sylfaen"/>
          <w:sz w:val="24"/>
          <w:szCs w:val="24"/>
          <w:lang w:val="ka-GE"/>
        </w:rPr>
        <w:t xml:space="preserve"> 0.2</w:t>
      </w:r>
      <w:r w:rsidR="006F2377" w:rsidRPr="006F2377">
        <w:rPr>
          <w:rFonts w:ascii="Sylfaen" w:hAnsi="Sylfaen"/>
          <w:sz w:val="24"/>
          <w:szCs w:val="24"/>
          <w:lang w:val="ka-GE"/>
        </w:rPr>
        <w:t>მგ და შეიძლება გაიზარდოს მაქსიმუმ 0.4 მგ-მდე დღეში თირკმლის ფუნქციის საშუალო სიმძიმის დარღვევის დროს  (</w:t>
      </w:r>
      <w:r w:rsidR="00D62EEF">
        <w:rPr>
          <w:rFonts w:ascii="Sylfaen" w:hAnsi="Sylfaen"/>
          <w:sz w:val="24"/>
          <w:szCs w:val="24"/>
        </w:rPr>
        <w:t>GFR</w:t>
      </w:r>
      <w:r w:rsidR="006F2377" w:rsidRPr="006F2377">
        <w:rPr>
          <w:rFonts w:ascii="Sylfaen" w:hAnsi="Sylfaen"/>
          <w:sz w:val="24"/>
          <w:szCs w:val="24"/>
          <w:lang w:val="ka-GE"/>
        </w:rPr>
        <w:t xml:space="preserve"> &gt; 30 მლ/წთ, მაგრამ &lt; 60 მლ/წთ) და მაქსიმუმ 0.3 მგ-მდე დღეში თირკმლის ფუნქციის მძიმე დარღვევის დროს (</w:t>
      </w:r>
      <w:r w:rsidR="00D62EEF">
        <w:rPr>
          <w:rFonts w:ascii="Sylfaen" w:hAnsi="Sylfaen"/>
          <w:sz w:val="24"/>
          <w:szCs w:val="24"/>
        </w:rPr>
        <w:t>GFR</w:t>
      </w:r>
      <w:r w:rsidR="006F2377" w:rsidRPr="006F2377">
        <w:rPr>
          <w:rFonts w:ascii="Sylfaen" w:hAnsi="Sylfaen"/>
          <w:sz w:val="24"/>
          <w:szCs w:val="24"/>
          <w:lang w:val="ka-GE"/>
        </w:rPr>
        <w:t xml:space="preserve"> &lt; 30 მლ/წთ), </w:t>
      </w:r>
      <w:r w:rsidR="00AB33CD" w:rsidRPr="00AB33CD">
        <w:rPr>
          <w:rFonts w:ascii="Sylfaen" w:hAnsi="Sylfaen"/>
          <w:sz w:val="24"/>
          <w:szCs w:val="24"/>
          <w:lang w:val="ka-GE"/>
        </w:rPr>
        <w:t>თუ არის კლინიკური ჩვენება და კარგად გადაიტანება</w:t>
      </w:r>
      <w:r w:rsidR="00AB33CD">
        <w:rPr>
          <w:rFonts w:ascii="Sylfaen" w:hAnsi="Sylfaen"/>
          <w:sz w:val="24"/>
          <w:szCs w:val="24"/>
          <w:lang w:val="ka-GE"/>
        </w:rPr>
        <w:t>.</w:t>
      </w:r>
    </w:p>
    <w:p w14:paraId="6DBB9691" w14:textId="64853622" w:rsidR="00AB33CD" w:rsidRDefault="00AB33CD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AB33CD">
        <w:rPr>
          <w:rFonts w:ascii="Sylfaen" w:hAnsi="Sylfaen"/>
          <w:sz w:val="24"/>
          <w:szCs w:val="24"/>
          <w:lang w:val="ka-GE"/>
        </w:rPr>
        <w:t>თუ მოქსონიდინი გამოიყენება ბეტა-ბლოკატორთან ერთად და საჭიროა შეწყდეს მკურნალობა ორივე პრეპარატით, ჯერ უნდა შეწყდეს ბეტა-ბლოკატორის მიღება, ხოლო რამდენიმე დღის შემდეგ - მოქსონიდინის.</w:t>
      </w:r>
    </w:p>
    <w:p w14:paraId="657AAD43" w14:textId="02B4E7F5" w:rsidR="001946CD" w:rsidRPr="00DA34BE" w:rsidRDefault="00DA34BE" w:rsidP="00DA34BE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DA34BE">
        <w:rPr>
          <w:rFonts w:ascii="Sylfaen" w:hAnsi="Sylfaen"/>
          <w:sz w:val="24"/>
          <w:szCs w:val="24"/>
          <w:lang w:val="ka-GE"/>
        </w:rPr>
        <w:t>ჯერჯერობით, მოქსონიდინით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მკურნალობის შეწყვეტის შემდეგ არ გამოვლენილა არტერიული წნევის მომატების ეფექტი.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თუმცა, მოქსონიდინით მკურნალობის უეცარი შეწყვეტა არ არის მიზანშეწონილი, დოზა უნდა შემცირდეს თანდათანობით, ორი კვირის განმავლობაში.</w:t>
      </w:r>
    </w:p>
    <w:p w14:paraId="220DAC30" w14:textId="77777777" w:rsidR="00BB5E27" w:rsidRDefault="00BB5E27" w:rsidP="00BB5E27">
      <w:pPr>
        <w:spacing w:after="0"/>
        <w:ind w:left="-900"/>
        <w:jc w:val="both"/>
        <w:rPr>
          <w:rFonts w:ascii="Sylfaen" w:hAnsi="Sylfaen"/>
          <w:sz w:val="24"/>
          <w:szCs w:val="24"/>
        </w:rPr>
      </w:pPr>
      <w:r w:rsidRPr="00BB5E27">
        <w:rPr>
          <w:rFonts w:ascii="Sylfaen" w:hAnsi="Sylfaen"/>
          <w:sz w:val="24"/>
          <w:szCs w:val="24"/>
          <w:lang w:val="ka-GE"/>
        </w:rPr>
        <w:t>ხანდაზმულ პაციენტებში გულ-სისხლძარღვთა გართულებების განვითარების რისკი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შეიძლება გაიზარდოს.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ამიტომ, თერაპია უნდა დაიწყოს ყველაზე დაბალი დოზით და დოზა უნდა გაიზარდოს სიფრთხილით, რათა თავიდან იქნას აცილებული სერიოზული შედეგები, რომლებიც შეიძლება გამოიწვიოს ამ რეაქციებმა.</w:t>
      </w:r>
    </w:p>
    <w:p w14:paraId="5CBBD237" w14:textId="77777777" w:rsidR="005F499D" w:rsidRDefault="00BB5E27" w:rsidP="005F499D">
      <w:pPr>
        <w:spacing w:after="0"/>
        <w:ind w:left="-900"/>
        <w:jc w:val="both"/>
        <w:rPr>
          <w:rFonts w:ascii="Sylfaen" w:hAnsi="Sylfaen"/>
          <w:sz w:val="24"/>
          <w:szCs w:val="24"/>
        </w:rPr>
      </w:pPr>
      <w:r w:rsidRPr="00DA34BE">
        <w:rPr>
          <w:rFonts w:ascii="Sylfaen" w:hAnsi="Sylfaen"/>
          <w:sz w:val="24"/>
          <w:szCs w:val="24"/>
          <w:lang w:val="ka-GE"/>
        </w:rPr>
        <w:lastRenderedPageBreak/>
        <w:t>მოქსონიდინი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B74C0">
        <w:rPr>
          <w:rFonts w:ascii="Sylfaen" w:hAnsi="Sylfaen" w:cs="Sylfaen"/>
          <w:sz w:val="24"/>
          <w:szCs w:val="24"/>
          <w:lang w:val="ka-GE"/>
        </w:rPr>
        <w:t>შეიცავს ლაქტოზას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0B74C0">
        <w:rPr>
          <w:rFonts w:ascii="Sylfaen" w:hAnsi="Sylfaen" w:cs="Sylfaen"/>
          <w:sz w:val="24"/>
          <w:szCs w:val="24"/>
          <w:lang w:val="ka-GE"/>
        </w:rPr>
        <w:t>ეს პრეპარატი არ უნდა და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0B74C0">
        <w:rPr>
          <w:rFonts w:ascii="Sylfaen" w:hAnsi="Sylfaen" w:cs="Sylfaen"/>
          <w:sz w:val="24"/>
          <w:szCs w:val="24"/>
          <w:lang w:val="ka-GE"/>
        </w:rPr>
        <w:t>ნიშნო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0B74C0">
        <w:rPr>
          <w:rFonts w:ascii="Sylfaen" w:hAnsi="Sylfaen" w:cs="Sylfaen"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sz w:val="24"/>
          <w:szCs w:val="24"/>
          <w:lang w:val="ka-GE"/>
        </w:rPr>
        <w:t xml:space="preserve">ში, </w:t>
      </w:r>
      <w:r w:rsidRPr="000B74C0">
        <w:rPr>
          <w:rFonts w:ascii="Sylfaen" w:hAnsi="Sylfaen" w:cs="Sylfaen"/>
          <w:sz w:val="24"/>
          <w:szCs w:val="24"/>
          <w:lang w:val="ka-GE"/>
        </w:rPr>
        <w:t xml:space="preserve">რომელთაც აღენიშნებათ  გალაქტოზის აუტანლობის იშვიათი მემკვიდრეობითი ფორმა, </w:t>
      </w:r>
      <w:r>
        <w:rPr>
          <w:rFonts w:ascii="Sylfaen" w:hAnsi="Sylfaen" w:cs="Sylfaen"/>
          <w:sz w:val="24"/>
          <w:szCs w:val="24"/>
          <w:lang w:val="ka-GE"/>
        </w:rPr>
        <w:t>ლაპ-</w:t>
      </w:r>
      <w:r w:rsidRPr="000B74C0">
        <w:rPr>
          <w:rFonts w:ascii="Sylfaen" w:hAnsi="Sylfaen" w:cs="Sylfaen"/>
          <w:sz w:val="24"/>
          <w:szCs w:val="24"/>
          <w:lang w:val="ka-GE"/>
        </w:rPr>
        <w:t>ლაქტაზას დეფიციტი ან გლუკოზა-გალაქტოზის მალაბსორბცია</w:t>
      </w:r>
      <w:r w:rsidR="005F499D">
        <w:rPr>
          <w:rFonts w:ascii="Sylfaen" w:hAnsi="Sylfaen" w:cs="Sylfaen"/>
          <w:sz w:val="24"/>
          <w:szCs w:val="24"/>
          <w:lang w:val="ka-GE"/>
        </w:rPr>
        <w:t>.</w:t>
      </w:r>
    </w:p>
    <w:p w14:paraId="7F9A4C6B" w14:textId="4F8C8449" w:rsidR="00604287" w:rsidRPr="005F499D" w:rsidRDefault="00497989" w:rsidP="005F499D">
      <w:pPr>
        <w:spacing w:after="0"/>
        <w:ind w:left="-900"/>
        <w:jc w:val="both"/>
        <w:rPr>
          <w:rFonts w:ascii="Sylfaen" w:hAnsi="Sylfaen"/>
          <w:sz w:val="24"/>
          <w:szCs w:val="24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ურთიერთქმედება   სხვა   სამკურნალო   საშუალებებთან   და  ურთიერთქმედების სხვა ფორმები</w:t>
      </w:r>
    </w:p>
    <w:p w14:paraId="3A4E8C22" w14:textId="645C9889" w:rsidR="005F499D" w:rsidRPr="0005448A" w:rsidRDefault="0005448A" w:rsidP="0016750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t>მოქსონიდინისა და სხვა ანტიჰიპერტენზიული საშუალებების ერთდროული გამოყენება ადიტიურ ეფექტს იწვევს.</w:t>
      </w:r>
    </w:p>
    <w:p w14:paraId="4F549DF4" w14:textId="4A96842D" w:rsidR="0005448A" w:rsidRDefault="0005448A" w:rsidP="0016750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t>ვინაიდან</w:t>
      </w:r>
      <w:r w:rsidR="0016725B">
        <w:rPr>
          <w:rFonts w:ascii="Sylfaen" w:hAnsi="Sylfaen" w:cs="Sylfaen"/>
          <w:sz w:val="24"/>
          <w:szCs w:val="24"/>
        </w:rPr>
        <w:t>,</w:t>
      </w:r>
      <w:r w:rsidRPr="0005448A">
        <w:rPr>
          <w:rFonts w:ascii="Sylfaen" w:hAnsi="Sylfaen" w:cs="Sylfaen"/>
          <w:sz w:val="24"/>
          <w:szCs w:val="24"/>
          <w:lang w:val="ka-GE"/>
        </w:rPr>
        <w:t xml:space="preserve"> ტრიციკლურმა ანტიდეპრესანტებმა შეიძლება შეამცირონ ცენტრალური მოქმედების ანტიჰიპერტენზიული საშუალებების ეფექტურობა, ტრიციკლური ანტიდეპრესანტების მოქსონიდინთან ერთად გამოყენება რეკომენდებული არ არის.</w:t>
      </w:r>
    </w:p>
    <w:p w14:paraId="4B370993" w14:textId="3E96BE65" w:rsidR="00F04975" w:rsidRDefault="00F04975" w:rsidP="0016750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F04975">
        <w:rPr>
          <w:rFonts w:ascii="Sylfaen" w:hAnsi="Sylfaen" w:cs="Sylfaen"/>
          <w:sz w:val="24"/>
          <w:szCs w:val="24"/>
          <w:lang w:val="ka-GE"/>
        </w:rPr>
        <w:t>მოქსონიდინმა შეიძლება გააძლიეროს ტრიციკლური ანტიდეპრესანტების (მოერიდეთ ერთდროულ მიღებას), ტრანკვილიზატორების, ალკოჰოლის, სედატიური და საძილე საშუალებების სედატიური ეფექტი.</w:t>
      </w:r>
    </w:p>
    <w:p w14:paraId="6A16EA3F" w14:textId="77777777" w:rsidR="00BB5F88" w:rsidRDefault="00C65940" w:rsidP="00BB5F8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C65940">
        <w:rPr>
          <w:rFonts w:ascii="Sylfaen" w:hAnsi="Sylfaen" w:cs="Sylfaen"/>
          <w:sz w:val="24"/>
          <w:szCs w:val="24"/>
          <w:lang w:val="ka-GE"/>
        </w:rPr>
        <w:t xml:space="preserve">მოქსონიდინმა </w:t>
      </w:r>
      <w:r>
        <w:rPr>
          <w:rFonts w:ascii="Sylfaen" w:hAnsi="Sylfaen" w:cs="Sylfaen"/>
          <w:sz w:val="24"/>
          <w:szCs w:val="24"/>
          <w:lang w:val="ka-GE"/>
        </w:rPr>
        <w:t>გაზარდა</w:t>
      </w:r>
      <w:r w:rsidRPr="00C65940">
        <w:rPr>
          <w:rFonts w:ascii="Sylfaen" w:hAnsi="Sylfaen" w:cs="Sylfaen"/>
          <w:sz w:val="24"/>
          <w:szCs w:val="24"/>
          <w:lang w:val="ka-GE"/>
        </w:rPr>
        <w:t xml:space="preserve"> კოგნიტური დაქვეითება პაციენტებში, რომლებიც იღებ</w:t>
      </w:r>
      <w:r>
        <w:rPr>
          <w:rFonts w:ascii="Sylfaen" w:hAnsi="Sylfaen" w:cs="Sylfaen"/>
          <w:sz w:val="24"/>
          <w:szCs w:val="24"/>
          <w:lang w:val="ka-GE"/>
        </w:rPr>
        <w:t>დნ</w:t>
      </w:r>
      <w:r w:rsidRPr="00C65940">
        <w:rPr>
          <w:rFonts w:ascii="Sylfaen" w:hAnsi="Sylfaen" w:cs="Sylfaen"/>
          <w:sz w:val="24"/>
          <w:szCs w:val="24"/>
          <w:lang w:val="ka-GE"/>
        </w:rPr>
        <w:t>ენ ლორაზეპამს.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65940">
        <w:rPr>
          <w:rFonts w:ascii="Sylfaen" w:hAnsi="Sylfaen" w:cs="Sylfaen"/>
          <w:sz w:val="24"/>
          <w:szCs w:val="24"/>
          <w:lang w:val="ka-GE"/>
        </w:rPr>
        <w:t>მოქსონიდინთან ერთად გამოყენებისას, შესაძლოა გაძლიერდეს ბენზოდიაზეპინების სედატიური ეფექტი.</w:t>
      </w:r>
    </w:p>
    <w:p w14:paraId="0A1ABC09" w14:textId="22D30759" w:rsidR="00BB5F88" w:rsidRDefault="00BB5F88" w:rsidP="00BB5F8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მილაკოვანი სეკრეციის გზით.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არ არის გამორიცხული ურთიერთქმედება სხვა პრეპარატებთან, რომლებიც გამოიყოფა მილაკოვანი სეკრეციის გზით.</w:t>
      </w:r>
    </w:p>
    <w:p w14:paraId="26D15B1C" w14:textId="225BCD30" w:rsidR="0005448A" w:rsidRPr="00BB5F88" w:rsidRDefault="00BB5F88" w:rsidP="00BB5F8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ტოლაზოლინს შეუძლია დოზადამოკიდებულად შეამციროს მოქსონიდინის ეფექტი.</w:t>
      </w:r>
    </w:p>
    <w:p w14:paraId="6BF59FDD" w14:textId="72386862" w:rsidR="00775B41" w:rsidRPr="00C5705F" w:rsidRDefault="00775B41" w:rsidP="00C5705F">
      <w:pPr>
        <w:spacing w:after="0"/>
        <w:ind w:left="-90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ფერტილობა, ორსულობა და ლაქტაცია</w:t>
      </w:r>
    </w:p>
    <w:p w14:paraId="55D8064E" w14:textId="77777777" w:rsidR="00BB5F88" w:rsidRPr="0016725B" w:rsidRDefault="00420896" w:rsidP="0087518D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725B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06EACD86" w14:textId="77777777" w:rsidR="0016725B" w:rsidRDefault="00BB5F88" w:rsidP="0087518D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ორსულ ქალებში მოქსონიდინის გამოყენების შესახებ მონაცემები არასაკმარისი</w:t>
      </w:r>
      <w:r>
        <w:rPr>
          <w:rFonts w:ascii="Sylfaen" w:hAnsi="Sylfaen" w:cs="Sylfaen"/>
          <w:sz w:val="24"/>
          <w:szCs w:val="24"/>
          <w:lang w:val="ka-GE"/>
        </w:rPr>
        <w:t xml:space="preserve">ა. </w:t>
      </w:r>
      <w:r w:rsidRPr="00BB5F88">
        <w:rPr>
          <w:rFonts w:ascii="Sylfaen" w:hAnsi="Sylfaen" w:cs="Sylfaen"/>
          <w:sz w:val="24"/>
          <w:szCs w:val="24"/>
          <w:lang w:val="ka-GE"/>
        </w:rPr>
        <w:t>ცხოველებზე ჩატარებულმა კვლევებმა აჩვენა ემბრიოტოქსიკურობა დიდი დოზებით 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(იხილეთ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5.3</w:t>
      </w:r>
      <w:r>
        <w:rPr>
          <w:rFonts w:ascii="Sylfaen" w:hAnsi="Sylfaen" w:cs="Sylfaen"/>
          <w:sz w:val="24"/>
          <w:szCs w:val="24"/>
          <w:lang w:val="ka-GE"/>
        </w:rPr>
        <w:t xml:space="preserve"> პუნქტი</w:t>
      </w:r>
      <w:r w:rsidRPr="00BB5F88">
        <w:rPr>
          <w:rFonts w:ascii="Sylfaen" w:hAnsi="Sylfaen" w:cs="Sylfaen"/>
          <w:sz w:val="24"/>
          <w:szCs w:val="24"/>
          <w:lang w:val="ka-GE"/>
        </w:rPr>
        <w:t>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D299815" w14:textId="0B599661" w:rsidR="00BB5F88" w:rsidRDefault="00BB5F88" w:rsidP="0087518D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ადამიანებისთვის პოტენციური რისკი უცნობია.</w:t>
      </w:r>
    </w:p>
    <w:p w14:paraId="277907C3" w14:textId="1C4BD9C9" w:rsidR="00FF0EC8" w:rsidRDefault="00BB5F88" w:rsidP="00FF0EC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</w:t>
      </w:r>
      <w:r w:rsidR="0016725B">
        <w:rPr>
          <w:rFonts w:ascii="Sylfaen" w:hAnsi="Sylfaen" w:cs="Sylfaen"/>
          <w:sz w:val="24"/>
          <w:szCs w:val="24"/>
          <w:lang w:val="ka-GE"/>
        </w:rPr>
        <w:t>ს გამოყენება არ არის რეკომენდებული</w:t>
      </w:r>
      <w:r w:rsidRPr="00BB5F88">
        <w:rPr>
          <w:rFonts w:ascii="Sylfaen" w:hAnsi="Sylfaen" w:cs="Sylfaen"/>
          <w:sz w:val="24"/>
          <w:szCs w:val="24"/>
          <w:lang w:val="ka-GE"/>
        </w:rPr>
        <w:t xml:space="preserve"> ორსულობის დროს, თუ ამის აშკარა აუცილებლობა არ არსებობს.</w:t>
      </w:r>
    </w:p>
    <w:p w14:paraId="07CFC749" w14:textId="77777777" w:rsidR="00FF0EC8" w:rsidRPr="0016725B" w:rsidRDefault="00420896" w:rsidP="00FF0EC8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725B">
        <w:rPr>
          <w:rFonts w:ascii="Sylfaen" w:hAnsi="Sylfaen" w:cs="Sylfaen"/>
          <w:b/>
          <w:sz w:val="24"/>
          <w:szCs w:val="24"/>
          <w:lang w:val="ka-GE"/>
        </w:rPr>
        <w:t xml:space="preserve">ლაქტაცია </w:t>
      </w:r>
    </w:p>
    <w:p w14:paraId="739F7A1C" w14:textId="61691B96" w:rsidR="00FF0EC8" w:rsidRDefault="00FF0EC8" w:rsidP="00FF0EC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FF0EC8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დედის რძეში, ამიტომ მისი გამოყენება არ არის რეკომენდებული ძუძუთი კვების პერიოდში.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F0EC8">
        <w:rPr>
          <w:rFonts w:ascii="Sylfaen" w:hAnsi="Sylfaen" w:cs="Sylfaen"/>
          <w:sz w:val="24"/>
          <w:szCs w:val="24"/>
          <w:lang w:val="ka-GE"/>
        </w:rPr>
        <w:t>თუ მკურნალობა მოქსონიდინით აბსოლუტურად აუცილებელია, ძუძუთი კვება უნდა შეწყდეს.</w:t>
      </w:r>
    </w:p>
    <w:p w14:paraId="7F315868" w14:textId="77777777" w:rsidR="00FF0EC8" w:rsidRPr="0016725B" w:rsidRDefault="00A068C0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725B">
        <w:rPr>
          <w:rFonts w:ascii="Sylfaen" w:hAnsi="Sylfaen" w:cs="Sylfaen"/>
          <w:b/>
          <w:sz w:val="24"/>
          <w:szCs w:val="24"/>
          <w:lang w:val="ka-GE"/>
        </w:rPr>
        <w:t xml:space="preserve">ფერტილობა </w:t>
      </w:r>
    </w:p>
    <w:p w14:paraId="23BF8D05" w14:textId="0F314711" w:rsidR="00FF0EC8" w:rsidRDefault="00FF0EC8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FF0EC8">
        <w:rPr>
          <w:rFonts w:ascii="Sylfaen" w:hAnsi="Sylfaen" w:cs="Sylfaen"/>
          <w:sz w:val="24"/>
          <w:szCs w:val="24"/>
          <w:lang w:val="ka-GE"/>
        </w:rPr>
        <w:t>რეპროდუქციული პოტენციალის მქონე ქალებში მოქსონიდინის გამოყენების შესახებ მონაცემები არასაკმარისია.</w:t>
      </w:r>
    </w:p>
    <w:p w14:paraId="5D8BA455" w14:textId="4F7BBEDC" w:rsidR="007D5D06" w:rsidRPr="00C5705F" w:rsidRDefault="00497989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ზეგავლენა   სატრანსპორტო</w:t>
      </w:r>
      <w:r w:rsidR="00F772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C5705F">
        <w:rPr>
          <w:rFonts w:ascii="Sylfaen" w:hAnsi="Sylfaen" w:cs="Sylfaen"/>
          <w:b/>
          <w:sz w:val="24"/>
          <w:szCs w:val="24"/>
          <w:lang w:val="ka-GE"/>
        </w:rPr>
        <w:t>საშუალებების   მართვისა და</w:t>
      </w:r>
      <w:r w:rsidR="00F772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C5705F">
        <w:rPr>
          <w:rFonts w:ascii="Sylfaen" w:hAnsi="Sylfaen" w:cs="Sylfaen"/>
          <w:b/>
          <w:sz w:val="24"/>
          <w:szCs w:val="24"/>
          <w:lang w:val="ka-GE"/>
        </w:rPr>
        <w:t>მექანიზმების გამოყენების უნარზე</w:t>
      </w:r>
    </w:p>
    <w:p w14:paraId="05B5527A" w14:textId="37148D81" w:rsidR="00F772B2" w:rsidRPr="00F772B2" w:rsidRDefault="00F772B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</w:rPr>
      </w:pPr>
      <w:r w:rsidRPr="00F772B2">
        <w:rPr>
          <w:rFonts w:ascii="Sylfaen" w:hAnsi="Sylfaen" w:cs="Sylfaen"/>
          <w:sz w:val="24"/>
          <w:szCs w:val="24"/>
          <w:lang w:val="ka-GE"/>
        </w:rPr>
        <w:t>მოქსონიდინის გავლენა სატრანსპორტო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>საშუალების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>ან მექანიზმების მართვის უნარზე შესწავლილი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>თუმცა, აღინიშნა ძილიანობა და თავბრუსხვევა</w:t>
      </w:r>
      <w:r w:rsidR="00A41FCC">
        <w:rPr>
          <w:rFonts w:ascii="Sylfaen" w:hAnsi="Sylfaen" w:cs="Sylfaen"/>
          <w:sz w:val="24"/>
          <w:szCs w:val="24"/>
          <w:lang w:val="ka-GE"/>
        </w:rPr>
        <w:t>, რაც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 xml:space="preserve">გასათვალისწინებელია </w:t>
      </w:r>
      <w:r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F772B2">
        <w:rPr>
          <w:rFonts w:ascii="Sylfaen" w:hAnsi="Sylfaen" w:cs="Sylfaen"/>
          <w:sz w:val="24"/>
          <w:szCs w:val="24"/>
          <w:lang w:val="ka-GE"/>
        </w:rPr>
        <w:t xml:space="preserve"> დავალებების შესრულებისას.</w:t>
      </w:r>
    </w:p>
    <w:p w14:paraId="6303BEDE" w14:textId="47E72B0E" w:rsidR="007C0895" w:rsidRPr="00C5705F" w:rsidRDefault="00F532BC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</w:p>
    <w:p w14:paraId="429FDD5D" w14:textId="77777777" w:rsidR="00287602" w:rsidRDefault="0028760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 მიღებისას ყველაზე გავრცელებული გვერდითი მოვლენებია პირის სიმშრალე, თავბრუსხვევა, ასთენია და ძილიანობა.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87602">
        <w:rPr>
          <w:rFonts w:ascii="Sylfaen" w:hAnsi="Sylfaen" w:cs="Sylfaen"/>
          <w:sz w:val="24"/>
          <w:szCs w:val="24"/>
          <w:lang w:val="ka-GE"/>
        </w:rPr>
        <w:t>ამ სიმპტომების გამოვლინება ხშირად მცირდება თერაპიის პირველი რამდენიმე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365A224" w14:textId="5ECD0540" w:rsidR="00287602" w:rsidRDefault="0028760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lastRenderedPageBreak/>
        <w:t>გვერდითი რეაქციები ორგანოთა სისტემების მიხედვით: (პლაცებო-კონტროლირებად კლინიკურ კვლევებში</w:t>
      </w:r>
      <w:r>
        <w:rPr>
          <w:rFonts w:ascii="Sylfaen" w:hAnsi="Sylfaen" w:cs="Sylfaen"/>
          <w:sz w:val="24"/>
          <w:szCs w:val="24"/>
          <w:lang w:val="ka-GE"/>
        </w:rPr>
        <w:t>, რომლის ფარგლებშიც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886 პაციენტ</w:t>
      </w:r>
      <w:r>
        <w:rPr>
          <w:rFonts w:ascii="Sylfaen" w:hAnsi="Sylfaen" w:cs="Sylfaen"/>
          <w:sz w:val="24"/>
          <w:szCs w:val="24"/>
          <w:lang w:val="ka-GE"/>
        </w:rPr>
        <w:t xml:space="preserve">ი იღებდა </w:t>
      </w: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B3304"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რეაქციების სიხშირე მოცემულია ქვემოთ):</w:t>
      </w:r>
    </w:p>
    <w:p w14:paraId="27016EB0" w14:textId="7A4F5737" w:rsidR="00287602" w:rsidRDefault="0028760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</w:t>
      </w:r>
      <w:r w:rsidRPr="00287602">
        <w:rPr>
          <w:rFonts w:ascii="Sylfaen" w:hAnsi="Sylfaen" w:cs="Sylfaen"/>
          <w:sz w:val="24"/>
          <w:szCs w:val="24"/>
          <w:lang w:val="ka-GE"/>
        </w:rPr>
        <w:t>პლაცებოსთან შედარებით სიხშირის ზრდა არ დაფიქსირებულა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0170" w:type="dxa"/>
        <w:tblInd w:w="-815" w:type="dxa"/>
        <w:tblLook w:val="04A0" w:firstRow="1" w:lastRow="0" w:firstColumn="1" w:lastColumn="0" w:noHBand="0" w:noVBand="1"/>
      </w:tblPr>
      <w:tblGrid>
        <w:gridCol w:w="3150"/>
        <w:gridCol w:w="1710"/>
        <w:gridCol w:w="2520"/>
        <w:gridCol w:w="2790"/>
      </w:tblGrid>
      <w:tr w:rsidR="00FB7B4A" w14:paraId="250732B4" w14:textId="77777777" w:rsidTr="00FB7B4A">
        <w:tc>
          <w:tcPr>
            <w:tcW w:w="3150" w:type="dxa"/>
          </w:tcPr>
          <w:p w14:paraId="6BE2E097" w14:textId="46920676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FB7B4A">
              <w:rPr>
                <w:rFonts w:ascii="Sylfaen" w:hAnsi="Sylfaen" w:cs="Sylfaen"/>
                <w:b/>
                <w:sz w:val="24"/>
                <w:szCs w:val="24"/>
              </w:rPr>
              <w:t>MeDRA</w:t>
            </w:r>
            <w:proofErr w:type="spellEnd"/>
            <w:r w:rsidRPr="00FB7B4A">
              <w:rPr>
                <w:rFonts w:ascii="Sylfaen" w:hAnsi="Sylfaen" w:cs="Sylfaen"/>
                <w:b/>
                <w:sz w:val="24"/>
                <w:szCs w:val="24"/>
              </w:rPr>
              <w:t xml:space="preserve"> </w:t>
            </w: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ორგანოთა სისტემა</w:t>
            </w:r>
          </w:p>
        </w:tc>
        <w:tc>
          <w:tcPr>
            <w:tcW w:w="1710" w:type="dxa"/>
          </w:tcPr>
          <w:p w14:paraId="3B8C2933" w14:textId="15C96E6B" w:rsidR="00FB7B4A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ძალიან</w:t>
            </w:r>
            <w:r w:rsidR="00FB7B4A"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ხშირი </w:t>
            </w:r>
          </w:p>
          <w:p w14:paraId="79CF04BA" w14:textId="4BE56CCF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(≥1/10)</w:t>
            </w:r>
          </w:p>
        </w:tc>
        <w:tc>
          <w:tcPr>
            <w:tcW w:w="2520" w:type="dxa"/>
          </w:tcPr>
          <w:p w14:paraId="5683B0A5" w14:textId="77777777" w:rsidR="00FB7B4A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ხშირი </w:t>
            </w:r>
          </w:p>
          <w:p w14:paraId="15F547C9" w14:textId="1AA56796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(≥1/100, &lt;1/10)</w:t>
            </w:r>
          </w:p>
        </w:tc>
        <w:tc>
          <w:tcPr>
            <w:tcW w:w="2790" w:type="dxa"/>
          </w:tcPr>
          <w:p w14:paraId="0309750C" w14:textId="77777777" w:rsid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არხშირი </w:t>
            </w:r>
          </w:p>
          <w:p w14:paraId="7DCFB95D" w14:textId="151C8AE7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(≥1/1,000, &lt;1/100)</w:t>
            </w:r>
          </w:p>
        </w:tc>
      </w:tr>
      <w:tr w:rsidR="00FB7B4A" w14:paraId="29250A30" w14:textId="77777777" w:rsidTr="00FB7B4A">
        <w:tc>
          <w:tcPr>
            <w:tcW w:w="3150" w:type="dxa"/>
          </w:tcPr>
          <w:p w14:paraId="2CCFABA3" w14:textId="31295C81" w:rsidR="00DB3304" w:rsidRPr="00DB3304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 გულის მხრივ</w:t>
            </w:r>
          </w:p>
        </w:tc>
        <w:tc>
          <w:tcPr>
            <w:tcW w:w="1710" w:type="dxa"/>
          </w:tcPr>
          <w:p w14:paraId="35F8489C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11064B96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790" w:type="dxa"/>
          </w:tcPr>
          <w:p w14:paraId="398E74D6" w14:textId="53C2DFF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ბრადიკარდია</w:t>
            </w:r>
          </w:p>
        </w:tc>
      </w:tr>
      <w:tr w:rsidR="00FB7B4A" w14:paraId="1F9D8370" w14:textId="77777777" w:rsidTr="00FB7B4A">
        <w:tc>
          <w:tcPr>
            <w:tcW w:w="3150" w:type="dxa"/>
          </w:tcPr>
          <w:p w14:paraId="5BF40658" w14:textId="4F825450" w:rsidR="00DB3304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სმენის და ლაბირინთის დარღვევები</w:t>
            </w:r>
          </w:p>
        </w:tc>
        <w:tc>
          <w:tcPr>
            <w:tcW w:w="1710" w:type="dxa"/>
          </w:tcPr>
          <w:p w14:paraId="3BA452B5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A05C372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790" w:type="dxa"/>
          </w:tcPr>
          <w:p w14:paraId="3A27B026" w14:textId="1F6B0219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ტინიტუსი</w:t>
            </w:r>
          </w:p>
        </w:tc>
      </w:tr>
      <w:tr w:rsidR="00FB7B4A" w14:paraId="01C8F28B" w14:textId="77777777" w:rsidTr="00FB7B4A">
        <w:tc>
          <w:tcPr>
            <w:tcW w:w="3150" w:type="dxa"/>
          </w:tcPr>
          <w:p w14:paraId="28AB7981" w14:textId="08CFC6D3" w:rsidR="00DB3304" w:rsidRPr="00DB3304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1710" w:type="dxa"/>
          </w:tcPr>
          <w:p w14:paraId="55611983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3635FA2E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თავის ტკივილი*,</w:t>
            </w:r>
          </w:p>
          <w:p w14:paraId="091C93A8" w14:textId="1FEBBD5A" w:rsidR="00DB3304" w:rsidRPr="00C5705F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თავბრუსხვევა</w:t>
            </w:r>
            <w:r w:rsidR="00FB7B4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ძილიანობა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FB7B4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ვერტიგო</w:t>
            </w:r>
          </w:p>
        </w:tc>
        <w:tc>
          <w:tcPr>
            <w:tcW w:w="2790" w:type="dxa"/>
          </w:tcPr>
          <w:p w14:paraId="28593813" w14:textId="0338219D" w:rsidR="00DB3304" w:rsidRPr="00DB3304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სინკოპე*</w:t>
            </w:r>
          </w:p>
        </w:tc>
      </w:tr>
      <w:tr w:rsidR="00FB7B4A" w14:paraId="652E13E3" w14:textId="77777777" w:rsidTr="00FB7B4A">
        <w:tc>
          <w:tcPr>
            <w:tcW w:w="3150" w:type="dxa"/>
          </w:tcPr>
          <w:p w14:paraId="28A41520" w14:textId="00FC6844" w:rsidR="005F27CC" w:rsidRPr="00DB3304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სისხლძარღვოვანი დარღვევები </w:t>
            </w:r>
          </w:p>
        </w:tc>
        <w:tc>
          <w:tcPr>
            <w:tcW w:w="1710" w:type="dxa"/>
          </w:tcPr>
          <w:p w14:paraId="39CB3AA0" w14:textId="77777777" w:rsidR="005F27CC" w:rsidRPr="00C5705F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494E956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790" w:type="dxa"/>
          </w:tcPr>
          <w:p w14:paraId="1FC86096" w14:textId="6E38A655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ჰიპოტენზია (მათ შორის ორთოსტატული)</w:t>
            </w:r>
          </w:p>
        </w:tc>
      </w:tr>
      <w:tr w:rsidR="00FB7B4A" w14:paraId="26F57037" w14:textId="77777777" w:rsidTr="00FB7B4A">
        <w:tc>
          <w:tcPr>
            <w:tcW w:w="3150" w:type="dxa"/>
          </w:tcPr>
          <w:p w14:paraId="2849001E" w14:textId="4FB00DD6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კუჭ-ნაწლავის ტრაქტის დარღვევები </w:t>
            </w:r>
          </w:p>
        </w:tc>
        <w:tc>
          <w:tcPr>
            <w:tcW w:w="1710" w:type="dxa"/>
          </w:tcPr>
          <w:p w14:paraId="13963B85" w14:textId="4A7E0303" w:rsidR="005F27CC" w:rsidRPr="00C5705F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პირის სიმშრალე</w:t>
            </w:r>
          </w:p>
        </w:tc>
        <w:tc>
          <w:tcPr>
            <w:tcW w:w="2520" w:type="dxa"/>
          </w:tcPr>
          <w:p w14:paraId="05760EC6" w14:textId="300FB59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დიარეა, გულისრევა, ღებინება, დისპეფსია</w:t>
            </w:r>
          </w:p>
        </w:tc>
        <w:tc>
          <w:tcPr>
            <w:tcW w:w="2790" w:type="dxa"/>
          </w:tcPr>
          <w:p w14:paraId="1D2170EA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B7B4A" w14:paraId="6A8A5937" w14:textId="77777777" w:rsidTr="00FB7B4A">
        <w:tc>
          <w:tcPr>
            <w:tcW w:w="3150" w:type="dxa"/>
          </w:tcPr>
          <w:p w14:paraId="3DA812B5" w14:textId="17861680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კანისა და კანქვეშა ქსოვილის დარღვევები </w:t>
            </w:r>
          </w:p>
        </w:tc>
        <w:tc>
          <w:tcPr>
            <w:tcW w:w="1710" w:type="dxa"/>
          </w:tcPr>
          <w:p w14:paraId="73E28DDB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568FE2C" w14:textId="0AD0992E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გამონაყარი, ქავილი </w:t>
            </w:r>
          </w:p>
        </w:tc>
        <w:tc>
          <w:tcPr>
            <w:tcW w:w="2790" w:type="dxa"/>
          </w:tcPr>
          <w:p w14:paraId="37EBC250" w14:textId="7F911F65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ანგიონევროზული შეშუპება</w:t>
            </w:r>
          </w:p>
        </w:tc>
      </w:tr>
      <w:tr w:rsidR="00FB7B4A" w14:paraId="7B1F07A3" w14:textId="77777777" w:rsidTr="00FB7B4A">
        <w:tc>
          <w:tcPr>
            <w:tcW w:w="3150" w:type="dxa"/>
          </w:tcPr>
          <w:p w14:paraId="65F0FDF4" w14:textId="4AF6E15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34A9E">
              <w:rPr>
                <w:rFonts w:ascii="Sylfaen" w:hAnsi="Sylfaen" w:cs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1710" w:type="dxa"/>
          </w:tcPr>
          <w:p w14:paraId="694B5474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09F3C5AE" w14:textId="373E19DA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ასთენია</w:t>
            </w:r>
          </w:p>
        </w:tc>
        <w:tc>
          <w:tcPr>
            <w:tcW w:w="2790" w:type="dxa"/>
          </w:tcPr>
          <w:p w14:paraId="67F34806" w14:textId="365887BB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</w:p>
        </w:tc>
      </w:tr>
      <w:tr w:rsidR="00FB7B4A" w14:paraId="721BFB4F" w14:textId="77777777" w:rsidTr="00FB7B4A">
        <w:tc>
          <w:tcPr>
            <w:tcW w:w="3150" w:type="dxa"/>
          </w:tcPr>
          <w:p w14:paraId="2385594E" w14:textId="40F0BB09" w:rsidR="005F27CC" w:rsidRPr="00734A9E" w:rsidRDefault="00A41FCC" w:rsidP="00A41F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41FCC">
              <w:rPr>
                <w:rFonts w:ascii="Sylfaen" w:hAnsi="Sylfaen" w:cs="Sylfaen"/>
                <w:sz w:val="24"/>
                <w:szCs w:val="24"/>
                <w:lang w:val="ka-GE"/>
              </w:rPr>
              <w:t>საყრდენ-მამოძრავებელი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5F27CC"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და შემაერთებელი ქსოვილის დარღვევები</w:t>
            </w:r>
          </w:p>
        </w:tc>
        <w:tc>
          <w:tcPr>
            <w:tcW w:w="1710" w:type="dxa"/>
          </w:tcPr>
          <w:p w14:paraId="4DBFBA29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F5592E8" w14:textId="11D05E8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ზურგის ტკივილი</w:t>
            </w:r>
          </w:p>
        </w:tc>
        <w:tc>
          <w:tcPr>
            <w:tcW w:w="2790" w:type="dxa"/>
          </w:tcPr>
          <w:p w14:paraId="20F1AA38" w14:textId="2C42871D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კისრის ტკივილი</w:t>
            </w:r>
          </w:p>
        </w:tc>
      </w:tr>
      <w:tr w:rsidR="00FB7B4A" w14:paraId="0E32F3C3" w14:textId="77777777" w:rsidTr="00FB7B4A">
        <w:tc>
          <w:tcPr>
            <w:tcW w:w="3150" w:type="dxa"/>
          </w:tcPr>
          <w:p w14:paraId="735BA599" w14:textId="4891EDBE" w:rsid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1710" w:type="dxa"/>
          </w:tcPr>
          <w:p w14:paraId="1DECE59B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4312B13" w14:textId="494CEFAE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უძილობა</w:t>
            </w:r>
          </w:p>
        </w:tc>
        <w:tc>
          <w:tcPr>
            <w:tcW w:w="2790" w:type="dxa"/>
          </w:tcPr>
          <w:p w14:paraId="0D4E417C" w14:textId="49A3B96F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ნერვოზულობა</w:t>
            </w:r>
          </w:p>
        </w:tc>
      </w:tr>
    </w:tbl>
    <w:p w14:paraId="7036611F" w14:textId="549F67C1" w:rsidR="00AF7343" w:rsidRPr="00C5705F" w:rsidRDefault="00AF7343" w:rsidP="000D1414">
      <w:pPr>
        <w:spacing w:after="0"/>
        <w:ind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5B8B667" w14:textId="77777777" w:rsidR="006E0A9F" w:rsidRPr="00C5705F" w:rsidRDefault="006E0A9F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</w:p>
    <w:p w14:paraId="6756301E" w14:textId="77777777" w:rsidR="00901EA0" w:rsidRPr="00A41FCC" w:rsidRDefault="00901EA0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სიმპტომები</w:t>
      </w:r>
    </w:p>
    <w:p w14:paraId="19903617" w14:textId="0AD1C72A" w:rsidR="00901EA0" w:rsidRDefault="00901EA0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01EA0">
        <w:rPr>
          <w:rFonts w:ascii="Sylfaen" w:hAnsi="Sylfaen" w:cs="Sylfaen"/>
          <w:sz w:val="24"/>
          <w:szCs w:val="24"/>
          <w:lang w:val="ka-GE"/>
        </w:rPr>
        <w:t>დოზის გადაჭარბების რამდენიმე დაფიქსირებულ შემთხვევაში, 19.6 მგ დოზა იქნა მიღებული პერორალურად, ლეტალური შედეგის გარეშე.</w:t>
      </w:r>
      <w:r w:rsidR="00E26F01">
        <w:rPr>
          <w:rFonts w:ascii="Sylfaen" w:hAnsi="Sylfaen" w:cs="Sylfaen"/>
          <w:sz w:val="24"/>
          <w:szCs w:val="24"/>
          <w:lang w:val="ka-GE"/>
        </w:rPr>
        <w:t xml:space="preserve"> გამოვლინდა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 შემდეგი ნიშნები და სიმპტომები: თავის ტკივილი, სედაცია, ძილიანობა, ჰიპოტენზია, თავბრუსხვევა, ასთენია, ბრადიკარდია, პირის სიმშრალე, ღებინება, დაღლილობა და ტკივილი მუცლის ზედა ნაწილში.</w:t>
      </w:r>
      <w:r w:rsidR="00E26F0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მოქსონიდინის ფარმაკოდინამიკური თვისებების გათვალისწინებით, მოზრდილებში შესაძლებელია შემდეგი რეაქციების განვითარება: თავის ტკივილი, სედაცია, ძილიანობა, არტერიული ჰიპოტენზია,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 xml:space="preserve">ორთოსტატული </w:t>
      </w:r>
      <w:r w:rsidR="00A41FCC">
        <w:rPr>
          <w:rFonts w:ascii="Sylfaen" w:hAnsi="Sylfaen" w:cs="Sylfaen"/>
          <w:sz w:val="24"/>
          <w:szCs w:val="24"/>
          <w:lang w:val="ka-GE"/>
        </w:rPr>
        <w:t>დისრეგულაცი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>ა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, თავბრუსხვევა, ასთენია, ბრადიკარდია, პირის სიმშრალე, </w:t>
      </w:r>
      <w:r w:rsidR="00EA6B7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 დაღლილობა და ტკივილი მუცლის ზედა ნაწილში.</w:t>
      </w:r>
      <w:r w:rsidR="00EA6B7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>იშვიათ შემთხვევებში შეიძლება განვითარდეს ღებინება და არტერიული წნევის ხანმოკლე პარადოქსული მატება.</w:t>
      </w:r>
      <w:r w:rsidR="00EA6B7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</w:t>
      </w:r>
      <w:r w:rsidR="00A41FCC" w:rsidRPr="00EA6B70">
        <w:rPr>
          <w:rFonts w:ascii="Sylfaen" w:hAnsi="Sylfaen" w:cs="Sylfaen"/>
          <w:sz w:val="24"/>
          <w:szCs w:val="24"/>
          <w:lang w:val="ka-GE"/>
        </w:rPr>
        <w:t xml:space="preserve">მძიმე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 xml:space="preserve">შემთხვევაში რეკომენდებულია მკაცრი მეთვალყურეობა, განსაკუთრებით ცნობიერების დარღვევისა და </w:t>
      </w:r>
      <w:r w:rsidR="0076616C"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 w:rsidR="0076616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>შემთხვევაში.</w:t>
      </w:r>
    </w:p>
    <w:p w14:paraId="700AD271" w14:textId="40F9880C" w:rsidR="00EA6B70" w:rsidRDefault="00EA6B70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>გარდა ამისა, ცხოველებზე დიდი დოზები</w:t>
      </w:r>
      <w:r>
        <w:rPr>
          <w:rFonts w:ascii="Sylfaen" w:hAnsi="Sylfaen" w:cs="Sylfaen"/>
          <w:sz w:val="24"/>
          <w:szCs w:val="24"/>
          <w:lang w:val="ka-GE"/>
        </w:rPr>
        <w:t>ს გამოყენებით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 ჩატარებული რამდენიმე კვლევის თანახმად, შესაძლოა განვითარდეს გარდამავალი ჰიპერტენზია, ტაქიკარდია და ჰიპერგლიკემია.</w:t>
      </w:r>
    </w:p>
    <w:p w14:paraId="3FE5195D" w14:textId="78332844" w:rsidR="00EA6B70" w:rsidRPr="00A41FCC" w:rsidRDefault="00EA6B70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მკურნალობა</w:t>
      </w:r>
    </w:p>
    <w:p w14:paraId="5D9CBF6C" w14:textId="1AC4853A" w:rsidR="00EA6B70" w:rsidRDefault="00EA6B70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</w:t>
      </w:r>
      <w:r w:rsidR="00A41FCC" w:rsidRPr="00EA6B70">
        <w:rPr>
          <w:rFonts w:ascii="Sylfaen" w:hAnsi="Sylfaen" w:cs="Sylfaen"/>
          <w:sz w:val="24"/>
          <w:szCs w:val="24"/>
          <w:lang w:val="ka-GE"/>
        </w:rPr>
        <w:t xml:space="preserve">მძიმე 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შემთხვევაში, განსაკუთრებით რეკომენდებულია ცნობიერების დარღვევისა და </w:t>
      </w:r>
      <w:r w:rsidR="0076616C"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 w:rsidR="0076616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 w:rsid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მოიცავს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კუჭის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lastRenderedPageBreak/>
        <w:t>ამორეცხვას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თუ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ეს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პროცედურა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ტარდება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მიღებიდან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მალევე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),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აქტივირებული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ნახშირის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და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საფაღარათო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საშუალებების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მიღებას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7F51B7">
        <w:rPr>
          <w:rFonts w:ascii="Sylfaen" w:hAnsi="Sylfaen" w:cs="Sylfaen"/>
          <w:sz w:val="24"/>
          <w:szCs w:val="24"/>
        </w:rPr>
        <w:t>სიმპტომურ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="007F51B7">
        <w:rPr>
          <w:rFonts w:ascii="Sylfaen" w:hAnsi="Sylfaen" w:cs="Sylfaen"/>
          <w:sz w:val="24"/>
          <w:szCs w:val="24"/>
          <w:lang w:val="ka-GE"/>
        </w:rPr>
        <w:t>ს</w:t>
      </w:r>
      <w:r w:rsidR="007F51B7" w:rsidRPr="007F51B7">
        <w:rPr>
          <w:rFonts w:ascii="Sylfaen" w:hAnsi="Sylfaen" w:cs="Sylfaen"/>
          <w:sz w:val="24"/>
          <w:szCs w:val="24"/>
        </w:rPr>
        <w:t>.</w:t>
      </w:r>
    </w:p>
    <w:p w14:paraId="766474B3" w14:textId="77777777" w:rsidR="00A41FCC" w:rsidRDefault="00185B5F" w:rsidP="00644A32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185B5F">
        <w:rPr>
          <w:rFonts w:ascii="Sylfaen" w:hAnsi="Sylfaen" w:cs="Sylfaen"/>
          <w:sz w:val="24"/>
          <w:szCs w:val="24"/>
          <w:lang w:val="ka-GE"/>
        </w:rPr>
        <w:t>სპეციფიკური ანტიდოტი არ არის ცნობილი.</w:t>
      </w:r>
      <w:r w:rsidR="00644A32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F57CE86" w14:textId="0037C3F0" w:rsidR="00644A32" w:rsidRDefault="00644A32" w:rsidP="00644A32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644A32">
        <w:rPr>
          <w:rFonts w:ascii="Sylfaen" w:hAnsi="Sylfaen" w:cs="Sylfaen"/>
          <w:sz w:val="24"/>
          <w:szCs w:val="24"/>
          <w:lang w:val="ka-GE"/>
        </w:rPr>
        <w:t>ჰიპოტენზიის შემთხვევაში განიხილება ცირკულირებადი სისხლის მოცულობის აღდგენა სითხის და დოფამინის შეყვანით.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ბრადიკარდიის მკურნალობა შესაძლებელია ატროპინით.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ალფა-ადრენორეცეპტორების ანტაგონისტებმა შეიძლება შეამცირონ ან გააქრონ მოქსონიდინის დოზის გადაჭარბებისას განვითარებული პარადოქსული ჰიპერტენზიული ეფექტები.</w:t>
      </w:r>
    </w:p>
    <w:p w14:paraId="6E017274" w14:textId="20BC3FEE" w:rsidR="00644A32" w:rsidRPr="00A41FCC" w:rsidRDefault="00644A32" w:rsidP="00644A32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70ED4834" w14:textId="43D290EA" w:rsidR="00E40313" w:rsidRDefault="00E40313" w:rsidP="00644A32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0313">
        <w:rPr>
          <w:rFonts w:ascii="Sylfaen" w:hAnsi="Sylfaen" w:cs="Sylfaen"/>
          <w:sz w:val="24"/>
          <w:szCs w:val="24"/>
          <w:lang w:val="ka-GE"/>
        </w:rPr>
        <w:t>მოქსონიდინის შემთხვევითი დოზის გადაჭარბების  შემთხვევა დაფიქსირდა 2 წლის ბავშვში: ბავშვმა მიიღო მოქსონიდინის უცნობი რაოდენობა.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მაქსიმალური დოზა, რომლის მიღებაც </w:t>
      </w:r>
      <w:r w:rsidR="00265B31">
        <w:rPr>
          <w:rFonts w:ascii="Sylfaen" w:hAnsi="Sylfaen" w:cs="Sylfaen"/>
          <w:sz w:val="24"/>
          <w:szCs w:val="24"/>
          <w:lang w:val="ka-GE"/>
        </w:rPr>
        <w:t>შეეძლო, იყო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14 მგ.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>ბავშვს აღენიშნებოდა შემდეგი სიმპტომები: სედაცია, კომა, არტერიული ჰიპოტენზია, მიოზი და დისპნოე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40313">
        <w:rPr>
          <w:rFonts w:ascii="Sylfaen" w:hAnsi="Sylfaen" w:cs="Sylfaen"/>
          <w:sz w:val="24"/>
          <w:szCs w:val="24"/>
          <w:lang w:val="ka-GE"/>
        </w:rPr>
        <w:t>კუჭის ამორეცხვ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გლუკოზის ინფუზი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ხელოვნურ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ვენტილაცი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და მოსვენებ</w:t>
      </w:r>
      <w:r>
        <w:rPr>
          <w:rFonts w:ascii="Sylfaen" w:hAnsi="Sylfaen" w:cs="Sylfaen"/>
          <w:sz w:val="24"/>
          <w:szCs w:val="24"/>
          <w:lang w:val="ka-GE"/>
        </w:rPr>
        <w:t>ის შედეგად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სრულ</w:t>
      </w:r>
      <w:r>
        <w:rPr>
          <w:rFonts w:ascii="Sylfaen" w:hAnsi="Sylfaen" w:cs="Sylfaen"/>
          <w:sz w:val="24"/>
          <w:szCs w:val="24"/>
          <w:lang w:val="ka-GE"/>
        </w:rPr>
        <w:t>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გაქრა </w:t>
      </w:r>
      <w:r w:rsidR="009A5389" w:rsidRPr="009A5389">
        <w:rPr>
          <w:rFonts w:ascii="Sylfaen" w:hAnsi="Sylfaen" w:cs="Sylfaen"/>
          <w:sz w:val="24"/>
          <w:szCs w:val="24"/>
          <w:lang w:val="ka-GE"/>
        </w:rPr>
        <w:t>11 საათის განმავლობაში.</w:t>
      </w:r>
    </w:p>
    <w:p w14:paraId="564E9A8F" w14:textId="77777777" w:rsidR="00733605" w:rsidRPr="00C5705F" w:rsidRDefault="00733605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 xml:space="preserve">ფარმაკოლოგიური თვისებები  </w:t>
      </w:r>
    </w:p>
    <w:p w14:paraId="153507F4" w14:textId="77777777" w:rsidR="00733605" w:rsidRPr="00C5705F" w:rsidRDefault="00733605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 თვისებები</w:t>
      </w:r>
    </w:p>
    <w:p w14:paraId="7C595D30" w14:textId="000E44AB" w:rsidR="009A5389" w:rsidRDefault="00733605" w:rsidP="00B42F8E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   ჯგუფი:</w:t>
      </w:r>
      <w:r w:rsidRPr="00C5705F">
        <w:rPr>
          <w:rFonts w:ascii="Sylfaen" w:hAnsi="Sylfaen" w:cs="Sylfaen"/>
          <w:sz w:val="24"/>
          <w:szCs w:val="24"/>
          <w:lang w:val="ka-GE"/>
        </w:rPr>
        <w:t xml:space="preserve">   </w:t>
      </w:r>
      <w:r w:rsidR="009A5389" w:rsidRPr="009A5389">
        <w:rPr>
          <w:rFonts w:ascii="Sylfaen" w:hAnsi="Sylfaen" w:cs="Sylfaen"/>
          <w:sz w:val="24"/>
          <w:szCs w:val="24"/>
          <w:lang w:val="ka-GE"/>
        </w:rPr>
        <w:t>ანტიჰიპერტენზიული</w:t>
      </w:r>
      <w:r w:rsidR="009A538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A5389" w:rsidRPr="009A5389">
        <w:rPr>
          <w:rFonts w:ascii="Sylfaen" w:hAnsi="Sylfaen" w:cs="Sylfaen"/>
          <w:sz w:val="24"/>
          <w:szCs w:val="24"/>
          <w:lang w:val="ka-GE"/>
        </w:rPr>
        <w:t>საშუალებები, ცენტრალური მოქმედების ანტიადრენერგული საშუალებები</w:t>
      </w:r>
      <w:r w:rsidR="00265B31">
        <w:rPr>
          <w:rFonts w:ascii="Sylfaen" w:hAnsi="Sylfaen" w:cs="Sylfaen"/>
          <w:sz w:val="24"/>
          <w:szCs w:val="24"/>
          <w:lang w:val="ka-GE"/>
        </w:rPr>
        <w:t>.</w:t>
      </w:r>
    </w:p>
    <w:p w14:paraId="6B5793C8" w14:textId="6380C3B8" w:rsidR="00EC6D62" w:rsidRDefault="00733605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D19EF">
        <w:rPr>
          <w:rFonts w:ascii="Sylfaen" w:hAnsi="Sylfaen" w:cs="Sylfaen"/>
          <w:b/>
          <w:sz w:val="24"/>
          <w:szCs w:val="24"/>
          <w:lang w:val="ka-GE"/>
        </w:rPr>
        <w:t>ათქ კოდი:</w:t>
      </w:r>
      <w:r w:rsidRPr="00C5705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A5389">
        <w:rPr>
          <w:rFonts w:ascii="Sylfaen" w:hAnsi="Sylfaen" w:cs="Sylfaen"/>
          <w:sz w:val="24"/>
          <w:szCs w:val="24"/>
        </w:rPr>
        <w:t>C02AC05</w:t>
      </w:r>
    </w:p>
    <w:p w14:paraId="5DE14A80" w14:textId="71C63D10" w:rsidR="009A5389" w:rsidRDefault="009A5389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A5389">
        <w:rPr>
          <w:rFonts w:ascii="Sylfaen" w:hAnsi="Sylfaen" w:cs="Sylfaen"/>
          <w:sz w:val="24"/>
          <w:szCs w:val="24"/>
          <w:lang w:val="ka-GE"/>
        </w:rPr>
        <w:t>მოქსონიდინი სხვადასხვა ცხოველურ მოდელებში ძლიერი ანტიჰიპერტენზიული საშუალება აღმოჩნდა.</w:t>
      </w:r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არსებული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ექსპერიმენტული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მონაცემები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მიუთითებს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9A5389">
        <w:rPr>
          <w:rFonts w:ascii="Sylfaen" w:hAnsi="Sylfaen" w:cs="Sylfaen"/>
          <w:sz w:val="24"/>
          <w:szCs w:val="24"/>
        </w:rPr>
        <w:t>რომ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მოქსონიდინის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ანტიჰიპერტენზიული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მოქმედების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ადგილი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არის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ცენტრალური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ნერვული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სისტემა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9A5389">
        <w:rPr>
          <w:rFonts w:ascii="Sylfaen" w:hAnsi="Sylfaen" w:cs="Sylfaen"/>
          <w:sz w:val="24"/>
          <w:szCs w:val="24"/>
        </w:rPr>
        <w:t>ცნს</w:t>
      </w:r>
      <w:proofErr w:type="spellEnd"/>
      <w:r w:rsidRPr="009A5389">
        <w:rPr>
          <w:rFonts w:ascii="Sylfaen" w:hAnsi="Sylfaen" w:cs="Sylfaen"/>
          <w:sz w:val="24"/>
          <w:szCs w:val="24"/>
        </w:rPr>
        <w:t>).</w:t>
      </w:r>
    </w:p>
    <w:p w14:paraId="2F6FF536" w14:textId="4CB096D3" w:rsidR="00213C5A" w:rsidRDefault="009A5389" w:rsidP="00CD68E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A5389">
        <w:rPr>
          <w:rFonts w:ascii="Sylfaen" w:hAnsi="Sylfaen" w:cs="Sylfaen"/>
          <w:sz w:val="24"/>
          <w:szCs w:val="24"/>
          <w:lang w:val="ka-GE"/>
        </w:rPr>
        <w:t>მოქსონიდინი შერჩევითად უკავშირდება I1-იმიდაზოლინურ რეცეპტორებს ტვინის ღეროში.</w:t>
      </w:r>
      <w:r w:rsidR="00213C5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აღნიშნული იმიდაზოლინის მიმართ მგრძნობიარე რეცეპტორები ძირითადად გვხვდება</w:t>
      </w:r>
      <w:r w:rsidR="00213C5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როსტრალურ ვენტროლატერალურ მედულაში, რომელიც მნიშვნელოვან როლს ასრულებს სიმპათიკური ნერვული სისტემის ცენტრალურ კონტროლში.</w:t>
      </w:r>
      <w:r w:rsidR="00CD68E8">
        <w:rPr>
          <w:rFonts w:ascii="Sylfaen" w:hAnsi="Sylfaen" w:cs="Sylfaen"/>
          <w:sz w:val="24"/>
          <w:szCs w:val="24"/>
        </w:rPr>
        <w:t xml:space="preserve">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I1-იმიდაზოლინის რეცეპტორებზე ამ ეფექტის შედეგად მცირდება სიმპათიკური აქტივობა (</w:t>
      </w:r>
      <w:r w:rsidR="00CD68E8">
        <w:rPr>
          <w:rFonts w:ascii="Sylfaen" w:hAnsi="Sylfaen" w:cs="Sylfaen"/>
          <w:sz w:val="24"/>
          <w:szCs w:val="24"/>
          <w:lang w:val="ka-GE"/>
        </w:rPr>
        <w:t>დაფიქსირდ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 xml:space="preserve">ა გულის, </w:t>
      </w:r>
      <w:r w:rsidR="00CD68E8" w:rsidRPr="00CD68E8">
        <w:rPr>
          <w:rFonts w:ascii="Sylfaen" w:hAnsi="Sylfaen" w:cs="Sylfaen"/>
          <w:sz w:val="24"/>
          <w:szCs w:val="24"/>
          <w:lang w:val="ka-GE"/>
        </w:rPr>
        <w:t xml:space="preserve">სპლანქნიკური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და თირკმლის სიმპათიკურ ნერვებში).</w:t>
      </w:r>
    </w:p>
    <w:p w14:paraId="2D96F48B" w14:textId="28AFBAC5" w:rsidR="00CD68E8" w:rsidRDefault="00633F31" w:rsidP="00CD68E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633F31">
        <w:rPr>
          <w:rFonts w:ascii="Sylfaen" w:hAnsi="Sylfaen" w:cs="Sylfaen"/>
          <w:sz w:val="24"/>
          <w:szCs w:val="24"/>
          <w:lang w:val="ka-GE"/>
        </w:rPr>
        <w:t>მოქსონიდინი განსხვავდება სხვა ცენტრალური მოქმედების ანტიჰიპერტენზიული საშუალებებისგან იმით, რომ მას აქვს მხოლოდ სუსტი აფინურობა ცენტრალური x2</w:t>
      </w:r>
      <w:r w:rsidR="000B6CDE">
        <w:rPr>
          <w:rFonts w:ascii="Sylfaen" w:hAnsi="Sylfaen" w:cs="Sylfaen"/>
          <w:sz w:val="24"/>
          <w:szCs w:val="24"/>
        </w:rPr>
        <w:t>-</w:t>
      </w:r>
      <w:r w:rsidR="00237293" w:rsidRPr="00237293">
        <w:rPr>
          <w:rFonts w:ascii="Sylfaen" w:hAnsi="Sylfaen" w:cs="Sylfaen"/>
          <w:sz w:val="24"/>
          <w:szCs w:val="24"/>
          <w:lang w:val="ka-GE"/>
        </w:rPr>
        <w:t>ადრენორეცეპტორები</w:t>
      </w:r>
      <w:r w:rsidRPr="00633F31">
        <w:rPr>
          <w:rFonts w:ascii="Sylfaen" w:hAnsi="Sylfaen" w:cs="Sylfaen"/>
          <w:sz w:val="24"/>
          <w:szCs w:val="24"/>
          <w:lang w:val="ka-GE"/>
        </w:rPr>
        <w:t>ს მიმართ, I1-იმიდაზოლინის რეცეპტორების მიმართ აფინურობასთან შედარებით.</w:t>
      </w:r>
      <w:r w:rsidR="000B6CD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B6CDE" w:rsidRPr="000B6CDE">
        <w:rPr>
          <w:rFonts w:ascii="Sylfaen" w:hAnsi="Sylfaen" w:cs="Sylfaen"/>
          <w:sz w:val="24"/>
          <w:szCs w:val="24"/>
          <w:lang w:val="ka-GE"/>
        </w:rPr>
        <w:t>ალფა-2-ადრენორეცეპტორები ითვლება სედაციისა და პირის სიმშრალის გამომწვევ მედიატორებად, რომლებიც ცენტრალური მოქმედების ანტიჰიპერტენზიული საშუალებების ყველაზე ხშირად დაფიქსირებული გვერდითი მოვლენებია.</w:t>
      </w:r>
    </w:p>
    <w:p w14:paraId="64440981" w14:textId="68A4309D" w:rsidR="00A96844" w:rsidRDefault="009A5F88" w:rsidP="00CD68E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A5F88">
        <w:rPr>
          <w:rFonts w:ascii="Sylfaen" w:hAnsi="Sylfaen" w:cs="Sylfaen"/>
          <w:sz w:val="24"/>
          <w:szCs w:val="24"/>
          <w:lang w:val="ka-GE"/>
        </w:rPr>
        <w:t>საშუალო სისტოლური და დიასტოლური არტერიული წნევა მცირდება როგორც მოსვენების მდგომარეობაში, ასევე ფიზიკური აქტივობის დროს.</w:t>
      </w:r>
      <w:r w:rsidR="00A9684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96844" w:rsidRPr="00A96844">
        <w:rPr>
          <w:rFonts w:ascii="Sylfaen" w:hAnsi="Sylfaen" w:cs="Sylfaen"/>
          <w:sz w:val="24"/>
          <w:szCs w:val="24"/>
          <w:lang w:val="ka-GE"/>
        </w:rPr>
        <w:t>მოქსონიდინის გავლენა სიკვდილიანობასა და გულ-სისხლძარღვთა დაავადებებზე უცნობია.</w:t>
      </w:r>
      <w:r w:rsidR="00A96844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0EACA5F" w14:textId="3A806E37" w:rsidR="009A5389" w:rsidRPr="00C5705F" w:rsidRDefault="00A96844" w:rsidP="00A96844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ადამიანებში მოქსონიდინი იწვევს სისხლძარღვთა საერთო პერიფერიული წინააღმდეგობის და შესაბამისად, არტერიული წნევის შემცირებას.</w:t>
      </w:r>
    </w:p>
    <w:p w14:paraId="0D8F476B" w14:textId="600DE04D" w:rsidR="00EC6D62" w:rsidRPr="00C5705F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 თვისებები</w:t>
      </w:r>
    </w:p>
    <w:p w14:paraId="646EACEB" w14:textId="037350F7" w:rsidR="00A96844" w:rsidRPr="00265B31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65B31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="0018213C" w:rsidRPr="00265B3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58CD8F1E" w14:textId="13F2056E" w:rsidR="00A96844" w:rsidRDefault="00A96844" w:rsidP="00A96844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 სწრაფად შეიწოვება პერორალური მიღების შემდეგ.</w:t>
      </w:r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</w:rPr>
        <w:t>ადამიანებში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A96844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</w:rPr>
        <w:t>დოზის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</w:rPr>
        <w:t>დაახლოებით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 90% </w:t>
      </w:r>
      <w:proofErr w:type="spellStart"/>
      <w:r w:rsidRPr="00A96844">
        <w:rPr>
          <w:rFonts w:ascii="Sylfaen" w:hAnsi="Sylfaen" w:cs="Sylfaen"/>
          <w:sz w:val="24"/>
          <w:szCs w:val="24"/>
        </w:rPr>
        <w:t>შეიწოვება</w:t>
      </w:r>
      <w:proofErr w:type="spellEnd"/>
      <w:r w:rsidRPr="00A96844">
        <w:rPr>
          <w:rFonts w:ascii="Sylfaen" w:hAnsi="Sylfaen" w:cs="Sylfaen"/>
          <w:sz w:val="24"/>
          <w:szCs w:val="24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საკვების მიღება არ მოქმედებს მოქსონიდინის ფარმაკოკინეტიკაზე.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პირველადი მეტაბოლიზმი არ ხდება და ბიოშეღწევადობა 88%-ია.</w:t>
      </w:r>
    </w:p>
    <w:p w14:paraId="60566657" w14:textId="77777777" w:rsidR="00A96844" w:rsidRPr="00265B31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65B31">
        <w:rPr>
          <w:rFonts w:ascii="Sylfaen" w:hAnsi="Sylfaen" w:cs="Sylfaen"/>
          <w:b/>
          <w:sz w:val="24"/>
          <w:szCs w:val="24"/>
          <w:lang w:val="ka-GE"/>
        </w:rPr>
        <w:lastRenderedPageBreak/>
        <w:t>განაწილება</w:t>
      </w:r>
    </w:p>
    <w:p w14:paraId="53EDE1FB" w14:textId="378B5149" w:rsidR="00A96844" w:rsidRDefault="00A96844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მხოლოდ დაახლოებით 7% უკავშირდება ადამიანის პლაზმ</w:t>
      </w:r>
      <w:r>
        <w:rPr>
          <w:rFonts w:ascii="Sylfaen" w:hAnsi="Sylfaen" w:cs="Sylfaen"/>
          <w:sz w:val="24"/>
          <w:szCs w:val="24"/>
          <w:lang w:val="ka-GE"/>
        </w:rPr>
        <w:t>ურ</w:t>
      </w:r>
      <w:r w:rsidRPr="00A96844">
        <w:rPr>
          <w:rFonts w:ascii="Sylfaen" w:hAnsi="Sylfaen" w:cs="Sylfaen"/>
          <w:sz w:val="24"/>
          <w:szCs w:val="24"/>
          <w:lang w:val="ka-GE"/>
        </w:rPr>
        <w:t xml:space="preserve"> ცილებს (Vdss = 1.8 ± 0.4 ლ/კგ).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მაქსიმალური კონცენტრაცია სისხლის პლაზმაში მიიღწევა შემოგარსული ტაბლეტის მიღებიდან 30-180 წუთის განმავლობაში.</w:t>
      </w:r>
    </w:p>
    <w:p w14:paraId="76BA3D80" w14:textId="53A68137" w:rsidR="00E37C77" w:rsidRPr="00094164" w:rsidRDefault="00E37C77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164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</w:p>
    <w:p w14:paraId="5DAA9EF4" w14:textId="7DE9DA76" w:rsidR="00A96844" w:rsidRPr="00BA32C6" w:rsidRDefault="00E37C77" w:rsidP="00BA32C6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37C77">
        <w:rPr>
          <w:rFonts w:ascii="Sylfaen" w:hAnsi="Sylfaen" w:cs="Sylfaen"/>
          <w:sz w:val="24"/>
          <w:szCs w:val="24"/>
          <w:lang w:val="ka-GE"/>
        </w:rPr>
        <w:t>მოქსონიდინის 10-20% მეტაბოლიზდება ძირითადად 4,5-დეჰიდრომოქსონიდინად და გუანიდინის წარმოებულებად იმიდაზოლინის რგოლის გახსნის გამო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37C77">
        <w:rPr>
          <w:rFonts w:ascii="Sylfaen" w:hAnsi="Sylfaen" w:cs="Sylfaen"/>
          <w:sz w:val="24"/>
          <w:szCs w:val="24"/>
          <w:lang w:val="ka-GE"/>
        </w:rPr>
        <w:t>4,5-დეჰიდრომოქსონიდინის ჰიპ</w:t>
      </w:r>
      <w:r>
        <w:rPr>
          <w:rFonts w:ascii="Sylfaen" w:hAnsi="Sylfaen" w:cs="Sylfaen"/>
          <w:sz w:val="24"/>
          <w:szCs w:val="24"/>
          <w:lang w:val="ka-GE"/>
        </w:rPr>
        <w:t>ო</w:t>
      </w:r>
      <w:r w:rsidRPr="00E37C77">
        <w:rPr>
          <w:rFonts w:ascii="Sylfaen" w:hAnsi="Sylfaen" w:cs="Sylfaen"/>
          <w:sz w:val="24"/>
          <w:szCs w:val="24"/>
          <w:lang w:val="ka-GE"/>
        </w:rPr>
        <w:t>ტენზიული ეფექტი მოქსონიდინის ეფექტის მხოლოდ 1/10-</w:t>
      </w:r>
      <w:r>
        <w:rPr>
          <w:rFonts w:ascii="Sylfaen" w:hAnsi="Sylfaen" w:cs="Sylfaen"/>
          <w:sz w:val="24"/>
          <w:szCs w:val="24"/>
          <w:lang w:val="ka-GE"/>
        </w:rPr>
        <w:t>ია</w:t>
      </w:r>
      <w:r w:rsidRPr="00E37C77">
        <w:rPr>
          <w:rFonts w:ascii="Sylfaen" w:hAnsi="Sylfaen" w:cs="Sylfaen"/>
          <w:sz w:val="24"/>
          <w:szCs w:val="24"/>
          <w:lang w:val="ka-GE"/>
        </w:rPr>
        <w:t>, ხოლო გუანიდინის წარმოებულის - 1/100-ზე ნაკლებ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37C77">
        <w:rPr>
          <w:rFonts w:ascii="Sylfaen" w:hAnsi="Sylfaen" w:cs="Sylfaen"/>
          <w:sz w:val="24"/>
          <w:szCs w:val="24"/>
          <w:lang w:val="ka-GE"/>
        </w:rPr>
        <w:t>.</w:t>
      </w:r>
    </w:p>
    <w:p w14:paraId="7377BB99" w14:textId="5C719FA1" w:rsidR="00BA32C6" w:rsidRPr="00265B31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65B31">
        <w:rPr>
          <w:rFonts w:ascii="Sylfaen" w:hAnsi="Sylfaen" w:cs="Sylfaen"/>
          <w:b/>
          <w:sz w:val="24"/>
          <w:szCs w:val="24"/>
          <w:lang w:val="ka-GE"/>
        </w:rPr>
        <w:t>ელიმინაცია</w:t>
      </w:r>
    </w:p>
    <w:p w14:paraId="0EAA20C4" w14:textId="45BB29AC" w:rsidR="00BA32C6" w:rsidRDefault="007A7D88" w:rsidP="00265B31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7A7D88">
        <w:rPr>
          <w:rFonts w:ascii="Sylfaen" w:hAnsi="Sylfaen" w:cs="Sylfaen"/>
          <w:sz w:val="24"/>
          <w:szCs w:val="24"/>
          <w:lang w:val="ka-GE"/>
        </w:rPr>
        <w:t>მოქსონიდინი და მისი მეტაბოლიტები თითქმის მთლიანად გამოიყოფა თირკმელებით.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დოზის 90%-ზე მეტი გამოიყოფა თირკმელებით მიღებიდან პირველი 24 საათის განმავლობაში და</w:t>
      </w:r>
      <w:r w:rsidR="00265B3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მხოლოდ დაახლოებით 1% გამოიყოფა განავლით.</w:t>
      </w:r>
      <w:r w:rsidR="00923F6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თირკმელებით უცვლელი მოქსონიდინის გამოყოფილი წილი დაახლოებით 50-75%-ია. პლაზმური საშუალო ნახევარგამოყოფის პერიოდია 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2 – 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3 სთ</w:t>
      </w:r>
      <w:r w:rsidR="00923F61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 xml:space="preserve">, ხოლო </w:t>
      </w:r>
      <w:r w:rsidR="00F533FC" w:rsidRPr="00F533FC">
        <w:rPr>
          <w:rFonts w:ascii="Sylfaen" w:hAnsi="Sylfaen" w:cs="Sylfaen"/>
          <w:sz w:val="24"/>
          <w:szCs w:val="24"/>
          <w:lang w:val="ka-GE"/>
        </w:rPr>
        <w:t xml:space="preserve">თირკმლისმიერი 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 xml:space="preserve">ნახევარგამოყოფის პერიოდი </w:t>
      </w:r>
      <w:r w:rsidR="00F533FC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6 – 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8 ს</w:t>
      </w:r>
      <w:r w:rsidR="00F533FC">
        <w:rPr>
          <w:rFonts w:ascii="Sylfaen" w:hAnsi="Sylfaen" w:cs="Sylfaen"/>
          <w:sz w:val="24"/>
          <w:szCs w:val="24"/>
          <w:lang w:val="ka-GE"/>
        </w:rPr>
        <w:t>აა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თ</w:t>
      </w:r>
      <w:r w:rsidR="00F533FC">
        <w:rPr>
          <w:rFonts w:ascii="Sylfaen" w:hAnsi="Sylfaen" w:cs="Sylfaen"/>
          <w:sz w:val="24"/>
          <w:szCs w:val="24"/>
          <w:lang w:val="ka-GE"/>
        </w:rPr>
        <w:t>ი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.</w:t>
      </w:r>
    </w:p>
    <w:p w14:paraId="780DD611" w14:textId="418D6CF4" w:rsidR="007A7D88" w:rsidRPr="00EA5AAF" w:rsidRDefault="00EA5AAF" w:rsidP="00EA5AA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A5AAF">
        <w:rPr>
          <w:rFonts w:ascii="Sylfaen" w:hAnsi="Sylfaen" w:cs="Sylfaen"/>
          <w:b/>
          <w:sz w:val="24"/>
          <w:szCs w:val="24"/>
          <w:lang w:val="ka-GE"/>
        </w:rPr>
        <w:t>ფარმაცევტული მახასიათებლები</w:t>
      </w:r>
    </w:p>
    <w:p w14:paraId="0A440581" w14:textId="2CC754B6" w:rsidR="003427D9" w:rsidRPr="00C5705F" w:rsidRDefault="003427D9" w:rsidP="003427D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 xml:space="preserve">შენახვის  პირობები </w:t>
      </w:r>
    </w:p>
    <w:p w14:paraId="6E93E0E7" w14:textId="77777777" w:rsidR="003427D9" w:rsidRPr="00C5705F" w:rsidRDefault="003427D9" w:rsidP="003427D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>ინახება 30°C-ზე დაბალ ტემპერატურაზე, სინათლისა და ნესტისგან დაცულ ადგილას.</w:t>
      </w:r>
    </w:p>
    <w:p w14:paraId="038C90BB" w14:textId="6D9621E2" w:rsidR="009661AB" w:rsidRPr="00C5705F" w:rsidRDefault="003427D9" w:rsidP="003427D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09F48A2E" w14:textId="35B6940F" w:rsidR="005D0C8D" w:rsidRPr="00C5705F" w:rsidRDefault="005D0C8D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400BCE48" w14:textId="383A7896" w:rsidR="005D0C8D" w:rsidRPr="00591A6B" w:rsidRDefault="005D0C8D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sz w:val="24"/>
          <w:szCs w:val="24"/>
          <w:lang w:val="ka-GE"/>
        </w:rPr>
        <w:t xml:space="preserve">3x10 ტაბლეტი დაფასოებულია Alu-Alu ბლისტერში, რომელიც ინსტრუქციასთან ერთად </w:t>
      </w:r>
      <w:r w:rsidRPr="00591A6B">
        <w:rPr>
          <w:rFonts w:ascii="Sylfaen" w:hAnsi="Sylfaen" w:cs="Sylfaen"/>
          <w:sz w:val="24"/>
          <w:szCs w:val="24"/>
          <w:lang w:val="ka-GE"/>
        </w:rPr>
        <w:t>მოთავსებულია მუყაოს კოლოფში.</w:t>
      </w:r>
    </w:p>
    <w:p w14:paraId="3630E8CF" w14:textId="77777777" w:rsidR="00265B31" w:rsidRPr="00591A6B" w:rsidRDefault="00265B31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E924E14" w14:textId="77777777" w:rsidR="00591A6B" w:rsidRPr="00591A6B" w:rsidRDefault="00591A6B" w:rsidP="00591A6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</w:pPr>
      <w:r w:rsidRPr="00591A6B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>გაცემის რეჟიმი:</w:t>
      </w:r>
    </w:p>
    <w:p w14:paraId="2DCA2F68" w14:textId="77777777" w:rsidR="00591A6B" w:rsidRPr="00591A6B" w:rsidRDefault="00591A6B" w:rsidP="00591A6B">
      <w:pPr>
        <w:autoSpaceDE w:val="0"/>
        <w:autoSpaceDN w:val="0"/>
        <w:adjustRightInd w:val="0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591A6B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>ფარმაცევტული</w:t>
      </w:r>
      <w:r w:rsidRPr="00591A6B">
        <w:rPr>
          <w:rFonts w:ascii="Sylfaen" w:hAnsi="Sylfaen"/>
          <w:b/>
          <w:noProof/>
          <w:color w:val="000000"/>
          <w:sz w:val="24"/>
          <w:szCs w:val="24"/>
          <w:lang w:val="ka-GE"/>
        </w:rPr>
        <w:t xml:space="preserve"> </w:t>
      </w:r>
      <w:r w:rsidRPr="00591A6B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>პროდუქტის</w:t>
      </w:r>
      <w:r w:rsidRPr="00591A6B">
        <w:rPr>
          <w:rFonts w:ascii="Sylfaen" w:hAnsi="Sylfaen"/>
          <w:b/>
          <w:noProof/>
          <w:color w:val="000000"/>
          <w:sz w:val="24"/>
          <w:szCs w:val="24"/>
          <w:lang w:val="ka-GE"/>
        </w:rPr>
        <w:t xml:space="preserve"> </w:t>
      </w:r>
      <w:r w:rsidRPr="00591A6B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>ჯგუფი -</w:t>
      </w:r>
      <w:r w:rsidRPr="00591A6B">
        <w:rPr>
          <w:rFonts w:ascii="Sylfaen" w:hAnsi="Sylfaen" w:cs="Sylfaen"/>
          <w:noProof/>
          <w:color w:val="000000"/>
          <w:sz w:val="24"/>
          <w:szCs w:val="24"/>
        </w:rPr>
        <w:t xml:space="preserve"> </w:t>
      </w:r>
      <w:r w:rsidRPr="00591A6B">
        <w:rPr>
          <w:rFonts w:ascii="Sylfaen" w:hAnsi="Sylfaen" w:cs="Sylfaen"/>
          <w:noProof/>
          <w:sz w:val="24"/>
          <w:szCs w:val="24"/>
          <w:lang w:val="ka-GE"/>
        </w:rPr>
        <w:t>II, გაიცემა ფორმა №3 რეცეპტით</w:t>
      </w:r>
    </w:p>
    <w:p w14:paraId="4A3140DD" w14:textId="77777777" w:rsidR="00591A6B" w:rsidRPr="00591A6B" w:rsidRDefault="00591A6B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657FAD5" w14:textId="06AF0446" w:rsidR="005D0C8D" w:rsidRPr="00591A6B" w:rsidRDefault="00EA5AAF" w:rsidP="00EA5AAF">
      <w:pPr>
        <w:spacing w:after="0"/>
        <w:ind w:left="-90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91A6B">
        <w:rPr>
          <w:rFonts w:ascii="Sylfaen" w:hAnsi="Sylfaen"/>
          <w:b/>
          <w:bCs/>
          <w:sz w:val="24"/>
          <w:szCs w:val="24"/>
          <w:lang w:val="ka-GE"/>
        </w:rPr>
        <w:t>წარმოებულია</w:t>
      </w:r>
      <w:r w:rsidRPr="00591A6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D0C8D" w:rsidRPr="00591A6B">
        <w:rPr>
          <w:rFonts w:ascii="Sylfaen" w:hAnsi="Sylfaen"/>
          <w:b/>
          <w:sz w:val="24"/>
          <w:szCs w:val="24"/>
        </w:rPr>
        <w:t>BASE MEDICO PRIVATE LIMITED</w:t>
      </w:r>
      <w:r w:rsidRPr="00591A6B">
        <w:rPr>
          <w:rFonts w:ascii="Sylfaen" w:hAnsi="Sylfaen"/>
          <w:b/>
          <w:sz w:val="24"/>
          <w:szCs w:val="24"/>
          <w:lang w:val="ka-GE"/>
        </w:rPr>
        <w:t>-ის მიერ</w:t>
      </w:r>
    </w:p>
    <w:p w14:paraId="75912103" w14:textId="0D6030A2" w:rsidR="005D0C8D" w:rsidRDefault="005D0C8D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ინდოეთი, ვადოდარა 391775, ტალუკა სავლი, სოფელი ტუნდავი, Essar ბენზინგასამართ სადგურთან ახლოს, Survey No. 570</w:t>
      </w:r>
    </w:p>
    <w:p w14:paraId="3E366BC0" w14:textId="77777777" w:rsidR="00265B31" w:rsidRPr="00C5705F" w:rsidRDefault="00265B31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</w:p>
    <w:p w14:paraId="7E733812" w14:textId="77777777" w:rsidR="005D0C8D" w:rsidRPr="00C5705F" w:rsidRDefault="005D0C8D" w:rsidP="00C5705F">
      <w:pPr>
        <w:spacing w:after="0"/>
        <w:ind w:left="-90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5705F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მფლობელი:  </w:t>
      </w:r>
    </w:p>
    <w:p w14:paraId="3895F0A9" w14:textId="00A2BE82" w:rsidR="005D0C8D" w:rsidRPr="00C5705F" w:rsidRDefault="005D0C8D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RIVECA PHARMACEUTICALS PVT. LTD</w:t>
      </w:r>
    </w:p>
    <w:p w14:paraId="791F3585" w14:textId="77777777" w:rsidR="005D0C8D" w:rsidRPr="00C5705F" w:rsidRDefault="005D0C8D" w:rsidP="00C5705F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>ინდოეთი, გუჯარათი, აჰმადაბადი - 380054, ბოდაკდევი, Judges Bunglow, Primate, 203/C</w:t>
      </w:r>
    </w:p>
    <w:p w14:paraId="28574F9D" w14:textId="6CDD98B5" w:rsidR="005D0C8D" w:rsidRPr="003427D9" w:rsidRDefault="005D0C8D" w:rsidP="003427D9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C5705F">
          <w:rPr>
            <w:rStyle w:val="Hyperlink"/>
            <w:rFonts w:ascii="Sylfaen" w:hAnsi="Sylfaen"/>
            <w:bCs/>
            <w:sz w:val="24"/>
            <w:szCs w:val="24"/>
          </w:rPr>
          <w:t>info@rivecapharma.com</w:t>
        </w:r>
      </w:hyperlink>
      <w:r w:rsidRPr="00C5705F">
        <w:rPr>
          <w:rFonts w:ascii="Sylfaen" w:hAnsi="Sylfaen"/>
          <w:bCs/>
          <w:sz w:val="24"/>
          <w:szCs w:val="24"/>
        </w:rPr>
        <w:t xml:space="preserve"> </w:t>
      </w:r>
    </w:p>
    <w:sectPr w:rsidR="005D0C8D" w:rsidRPr="003427D9" w:rsidSect="00FF7268">
      <w:pgSz w:w="11906" w:h="16838" w:code="9"/>
      <w:pgMar w:top="540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332C"/>
    <w:multiLevelType w:val="hybridMultilevel"/>
    <w:tmpl w:val="B83C617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9572490"/>
    <w:multiLevelType w:val="hybridMultilevel"/>
    <w:tmpl w:val="AF225BDE"/>
    <w:lvl w:ilvl="0" w:tplc="2A4638C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" w15:restartNumberingAfterBreak="0">
    <w:nsid w:val="2C1D193E"/>
    <w:multiLevelType w:val="hybridMultilevel"/>
    <w:tmpl w:val="292AAD98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2F6E3BA0"/>
    <w:multiLevelType w:val="hybridMultilevel"/>
    <w:tmpl w:val="097E8FF8"/>
    <w:lvl w:ilvl="0" w:tplc="92983BAE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5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  <w:rPr>
        <w:rFonts w:hint="default"/>
      </w:rPr>
    </w:lvl>
  </w:abstractNum>
  <w:abstractNum w:abstractNumId="5" w15:restartNumberingAfterBreak="0">
    <w:nsid w:val="3DAB1A75"/>
    <w:multiLevelType w:val="hybridMultilevel"/>
    <w:tmpl w:val="6354F8A4"/>
    <w:lvl w:ilvl="0" w:tplc="04090017">
      <w:start w:val="1"/>
      <w:numFmt w:val="lowerLetter"/>
      <w:lvlText w:val="%1)"/>
      <w:lvlJc w:val="left"/>
      <w:pPr>
        <w:ind w:left="153" w:hanging="360"/>
      </w:p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46EA4022"/>
    <w:multiLevelType w:val="hybridMultilevel"/>
    <w:tmpl w:val="433CBB6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48EF440F"/>
    <w:multiLevelType w:val="hybridMultilevel"/>
    <w:tmpl w:val="9208B3B8"/>
    <w:lvl w:ilvl="0" w:tplc="7E7E1652">
      <w:start w:val="1"/>
      <w:numFmt w:val="decimal"/>
      <w:lvlText w:val="(%1)"/>
      <w:lvlJc w:val="left"/>
      <w:pPr>
        <w:ind w:left="4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3E83753"/>
    <w:multiLevelType w:val="hybridMultilevel"/>
    <w:tmpl w:val="FD5654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A1CC5"/>
    <w:multiLevelType w:val="hybridMultilevel"/>
    <w:tmpl w:val="477A8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B170C"/>
    <w:multiLevelType w:val="hybridMultilevel"/>
    <w:tmpl w:val="D06EB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0230F"/>
    <w:multiLevelType w:val="hybridMultilevel"/>
    <w:tmpl w:val="4246E966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2" w15:restartNumberingAfterBreak="0">
    <w:nsid w:val="5DCE6579"/>
    <w:multiLevelType w:val="hybridMultilevel"/>
    <w:tmpl w:val="71B22E0C"/>
    <w:lvl w:ilvl="0" w:tplc="F1BE8B1E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3" w15:restartNumberingAfterBreak="0">
    <w:nsid w:val="6046283F"/>
    <w:multiLevelType w:val="hybridMultilevel"/>
    <w:tmpl w:val="6B74C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15" w15:restartNumberingAfterBreak="0">
    <w:nsid w:val="6ADB2EFC"/>
    <w:multiLevelType w:val="hybridMultilevel"/>
    <w:tmpl w:val="83F0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A1445"/>
    <w:multiLevelType w:val="hybridMultilevel"/>
    <w:tmpl w:val="800CD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83F27"/>
    <w:multiLevelType w:val="hybridMultilevel"/>
    <w:tmpl w:val="278465E6"/>
    <w:lvl w:ilvl="0" w:tplc="FA1A7B3C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8" w15:restartNumberingAfterBreak="0">
    <w:nsid w:val="771828E6"/>
    <w:multiLevelType w:val="hybridMultilevel"/>
    <w:tmpl w:val="808604E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B2D4DCA"/>
    <w:multiLevelType w:val="hybridMultilevel"/>
    <w:tmpl w:val="201E8AB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7D6D1151"/>
    <w:multiLevelType w:val="hybridMultilevel"/>
    <w:tmpl w:val="D4E4E95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7E3918CE"/>
    <w:multiLevelType w:val="hybridMultilevel"/>
    <w:tmpl w:val="B00AF9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352243">
    <w:abstractNumId w:val="10"/>
  </w:num>
  <w:num w:numId="2" w16cid:durableId="1104887065">
    <w:abstractNumId w:val="15"/>
  </w:num>
  <w:num w:numId="3" w16cid:durableId="972061524">
    <w:abstractNumId w:val="13"/>
  </w:num>
  <w:num w:numId="4" w16cid:durableId="1882593126">
    <w:abstractNumId w:val="16"/>
  </w:num>
  <w:num w:numId="5" w16cid:durableId="310641524">
    <w:abstractNumId w:val="7"/>
  </w:num>
  <w:num w:numId="6" w16cid:durableId="915743184">
    <w:abstractNumId w:val="3"/>
  </w:num>
  <w:num w:numId="7" w16cid:durableId="597911514">
    <w:abstractNumId w:val="5"/>
  </w:num>
  <w:num w:numId="8" w16cid:durableId="271478929">
    <w:abstractNumId w:val="0"/>
  </w:num>
  <w:num w:numId="9" w16cid:durableId="1177884592">
    <w:abstractNumId w:val="21"/>
  </w:num>
  <w:num w:numId="10" w16cid:durableId="11689098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8608937">
    <w:abstractNumId w:val="20"/>
  </w:num>
  <w:num w:numId="12" w16cid:durableId="479420894">
    <w:abstractNumId w:val="18"/>
  </w:num>
  <w:num w:numId="13" w16cid:durableId="1931237274">
    <w:abstractNumId w:val="19"/>
  </w:num>
  <w:num w:numId="14" w16cid:durableId="1117524900">
    <w:abstractNumId w:val="6"/>
  </w:num>
  <w:num w:numId="15" w16cid:durableId="1238132152">
    <w:abstractNumId w:val="14"/>
  </w:num>
  <w:num w:numId="16" w16cid:durableId="1504205376">
    <w:abstractNumId w:val="12"/>
  </w:num>
  <w:num w:numId="17" w16cid:durableId="1770348415">
    <w:abstractNumId w:val="8"/>
  </w:num>
  <w:num w:numId="18" w16cid:durableId="29495060">
    <w:abstractNumId w:val="22"/>
  </w:num>
  <w:num w:numId="19" w16cid:durableId="861044224">
    <w:abstractNumId w:val="17"/>
  </w:num>
  <w:num w:numId="20" w16cid:durableId="752816469">
    <w:abstractNumId w:val="1"/>
  </w:num>
  <w:num w:numId="21" w16cid:durableId="974068180">
    <w:abstractNumId w:val="4"/>
  </w:num>
  <w:num w:numId="22" w16cid:durableId="1985967364">
    <w:abstractNumId w:val="2"/>
  </w:num>
  <w:num w:numId="23" w16cid:durableId="10860720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2FF"/>
    <w:rsid w:val="000025D3"/>
    <w:rsid w:val="00007CEE"/>
    <w:rsid w:val="000132AC"/>
    <w:rsid w:val="00015A0E"/>
    <w:rsid w:val="0002143D"/>
    <w:rsid w:val="00042D5A"/>
    <w:rsid w:val="00047164"/>
    <w:rsid w:val="00052BF9"/>
    <w:rsid w:val="0005448A"/>
    <w:rsid w:val="0006063C"/>
    <w:rsid w:val="00060695"/>
    <w:rsid w:val="00070E03"/>
    <w:rsid w:val="0007373D"/>
    <w:rsid w:val="00076431"/>
    <w:rsid w:val="00077D8E"/>
    <w:rsid w:val="0008359A"/>
    <w:rsid w:val="00094164"/>
    <w:rsid w:val="000A02F3"/>
    <w:rsid w:val="000A35F8"/>
    <w:rsid w:val="000A4407"/>
    <w:rsid w:val="000A59F1"/>
    <w:rsid w:val="000B3D34"/>
    <w:rsid w:val="000B6CDE"/>
    <w:rsid w:val="000B74C0"/>
    <w:rsid w:val="000C1F0A"/>
    <w:rsid w:val="000C345C"/>
    <w:rsid w:val="000C6DB5"/>
    <w:rsid w:val="000D1414"/>
    <w:rsid w:val="000D47CD"/>
    <w:rsid w:val="000E7F02"/>
    <w:rsid w:val="001121A7"/>
    <w:rsid w:val="00112A79"/>
    <w:rsid w:val="00123A29"/>
    <w:rsid w:val="001358EC"/>
    <w:rsid w:val="001440C0"/>
    <w:rsid w:val="00146976"/>
    <w:rsid w:val="00160CE3"/>
    <w:rsid w:val="00161F01"/>
    <w:rsid w:val="00166149"/>
    <w:rsid w:val="0016725B"/>
    <w:rsid w:val="00167508"/>
    <w:rsid w:val="001725C8"/>
    <w:rsid w:val="00181660"/>
    <w:rsid w:val="0018174A"/>
    <w:rsid w:val="0018213C"/>
    <w:rsid w:val="00183CC7"/>
    <w:rsid w:val="00183EAD"/>
    <w:rsid w:val="00185B5F"/>
    <w:rsid w:val="00185D58"/>
    <w:rsid w:val="0018706A"/>
    <w:rsid w:val="00193440"/>
    <w:rsid w:val="001946CD"/>
    <w:rsid w:val="0019656D"/>
    <w:rsid w:val="001A0A25"/>
    <w:rsid w:val="001A2F63"/>
    <w:rsid w:val="001D7DE1"/>
    <w:rsid w:val="001E4586"/>
    <w:rsid w:val="001E48A6"/>
    <w:rsid w:val="001E6723"/>
    <w:rsid w:val="001F32B1"/>
    <w:rsid w:val="0020522B"/>
    <w:rsid w:val="00206A00"/>
    <w:rsid w:val="00213C5A"/>
    <w:rsid w:val="00222918"/>
    <w:rsid w:val="00226765"/>
    <w:rsid w:val="00227971"/>
    <w:rsid w:val="0023220B"/>
    <w:rsid w:val="00237293"/>
    <w:rsid w:val="00243768"/>
    <w:rsid w:val="00244B04"/>
    <w:rsid w:val="00246101"/>
    <w:rsid w:val="0024616A"/>
    <w:rsid w:val="00246C8A"/>
    <w:rsid w:val="002506C9"/>
    <w:rsid w:val="00265B31"/>
    <w:rsid w:val="00270E32"/>
    <w:rsid w:val="00272F2A"/>
    <w:rsid w:val="002839AA"/>
    <w:rsid w:val="0028605B"/>
    <w:rsid w:val="00287602"/>
    <w:rsid w:val="0029116B"/>
    <w:rsid w:val="002C4629"/>
    <w:rsid w:val="002D150B"/>
    <w:rsid w:val="002D4A0D"/>
    <w:rsid w:val="002E3A0B"/>
    <w:rsid w:val="002E6F7E"/>
    <w:rsid w:val="002F177B"/>
    <w:rsid w:val="002F7AB1"/>
    <w:rsid w:val="003150C8"/>
    <w:rsid w:val="00321F49"/>
    <w:rsid w:val="00327F15"/>
    <w:rsid w:val="003427D9"/>
    <w:rsid w:val="003519FF"/>
    <w:rsid w:val="00352CC1"/>
    <w:rsid w:val="00353282"/>
    <w:rsid w:val="00364B56"/>
    <w:rsid w:val="003704C5"/>
    <w:rsid w:val="00376A62"/>
    <w:rsid w:val="00387F3D"/>
    <w:rsid w:val="00394AB6"/>
    <w:rsid w:val="00397772"/>
    <w:rsid w:val="003A0948"/>
    <w:rsid w:val="003A21D6"/>
    <w:rsid w:val="003A2328"/>
    <w:rsid w:val="003B0785"/>
    <w:rsid w:val="003B1DDE"/>
    <w:rsid w:val="003C0A5C"/>
    <w:rsid w:val="003C77DE"/>
    <w:rsid w:val="003D1B9C"/>
    <w:rsid w:val="003E1E46"/>
    <w:rsid w:val="00416842"/>
    <w:rsid w:val="00420896"/>
    <w:rsid w:val="00432DF2"/>
    <w:rsid w:val="0044063E"/>
    <w:rsid w:val="004437F7"/>
    <w:rsid w:val="004539D8"/>
    <w:rsid w:val="0045534C"/>
    <w:rsid w:val="00456864"/>
    <w:rsid w:val="004579F6"/>
    <w:rsid w:val="004602B9"/>
    <w:rsid w:val="00466C95"/>
    <w:rsid w:val="00467BE2"/>
    <w:rsid w:val="00480168"/>
    <w:rsid w:val="00482A1E"/>
    <w:rsid w:val="0048785A"/>
    <w:rsid w:val="00497989"/>
    <w:rsid w:val="004A576A"/>
    <w:rsid w:val="004A59BA"/>
    <w:rsid w:val="004A669A"/>
    <w:rsid w:val="004B127E"/>
    <w:rsid w:val="004B47C2"/>
    <w:rsid w:val="004C1D82"/>
    <w:rsid w:val="004D2144"/>
    <w:rsid w:val="004D3E29"/>
    <w:rsid w:val="004D5F8D"/>
    <w:rsid w:val="004E73C2"/>
    <w:rsid w:val="004F0E6E"/>
    <w:rsid w:val="004F32E0"/>
    <w:rsid w:val="004F6C7E"/>
    <w:rsid w:val="00501E94"/>
    <w:rsid w:val="005020AC"/>
    <w:rsid w:val="00510D04"/>
    <w:rsid w:val="00517651"/>
    <w:rsid w:val="00522D20"/>
    <w:rsid w:val="005234D9"/>
    <w:rsid w:val="00523F7A"/>
    <w:rsid w:val="00524430"/>
    <w:rsid w:val="00524DF6"/>
    <w:rsid w:val="00525ED1"/>
    <w:rsid w:val="00536238"/>
    <w:rsid w:val="005365C4"/>
    <w:rsid w:val="005365C8"/>
    <w:rsid w:val="00540717"/>
    <w:rsid w:val="005435B7"/>
    <w:rsid w:val="00543F1B"/>
    <w:rsid w:val="00544D6F"/>
    <w:rsid w:val="00545310"/>
    <w:rsid w:val="00545BF8"/>
    <w:rsid w:val="00551EE6"/>
    <w:rsid w:val="00552C26"/>
    <w:rsid w:val="005569E5"/>
    <w:rsid w:val="0056308A"/>
    <w:rsid w:val="0056322A"/>
    <w:rsid w:val="00563B8C"/>
    <w:rsid w:val="0056460D"/>
    <w:rsid w:val="00570740"/>
    <w:rsid w:val="00581022"/>
    <w:rsid w:val="0058266C"/>
    <w:rsid w:val="00587F3E"/>
    <w:rsid w:val="00590695"/>
    <w:rsid w:val="00591A6B"/>
    <w:rsid w:val="00595966"/>
    <w:rsid w:val="005C37BF"/>
    <w:rsid w:val="005C6A8B"/>
    <w:rsid w:val="005C77C9"/>
    <w:rsid w:val="005D0B92"/>
    <w:rsid w:val="005D0BF2"/>
    <w:rsid w:val="005D0C8D"/>
    <w:rsid w:val="005D1739"/>
    <w:rsid w:val="005E3251"/>
    <w:rsid w:val="005E5F35"/>
    <w:rsid w:val="005F27CC"/>
    <w:rsid w:val="005F3B7A"/>
    <w:rsid w:val="005F499D"/>
    <w:rsid w:val="006028DC"/>
    <w:rsid w:val="00604287"/>
    <w:rsid w:val="0060545A"/>
    <w:rsid w:val="00633F31"/>
    <w:rsid w:val="00636203"/>
    <w:rsid w:val="00643D6E"/>
    <w:rsid w:val="00644A32"/>
    <w:rsid w:val="0065320B"/>
    <w:rsid w:val="00660C38"/>
    <w:rsid w:val="0066728E"/>
    <w:rsid w:val="006801CF"/>
    <w:rsid w:val="00681284"/>
    <w:rsid w:val="006B136B"/>
    <w:rsid w:val="006C0A33"/>
    <w:rsid w:val="006C0B77"/>
    <w:rsid w:val="006D6692"/>
    <w:rsid w:val="006E0A9F"/>
    <w:rsid w:val="006E5650"/>
    <w:rsid w:val="006E56D0"/>
    <w:rsid w:val="006F2377"/>
    <w:rsid w:val="006F79FD"/>
    <w:rsid w:val="007123D3"/>
    <w:rsid w:val="007253CE"/>
    <w:rsid w:val="007334D9"/>
    <w:rsid w:val="00733605"/>
    <w:rsid w:val="00734FBC"/>
    <w:rsid w:val="00743983"/>
    <w:rsid w:val="00744017"/>
    <w:rsid w:val="00745D12"/>
    <w:rsid w:val="00754500"/>
    <w:rsid w:val="00761527"/>
    <w:rsid w:val="00762F4C"/>
    <w:rsid w:val="0076616C"/>
    <w:rsid w:val="0077398C"/>
    <w:rsid w:val="00774BD0"/>
    <w:rsid w:val="00775B41"/>
    <w:rsid w:val="007771A7"/>
    <w:rsid w:val="00781725"/>
    <w:rsid w:val="00781818"/>
    <w:rsid w:val="00784347"/>
    <w:rsid w:val="00796AEC"/>
    <w:rsid w:val="007A533A"/>
    <w:rsid w:val="007A60E3"/>
    <w:rsid w:val="007A7D88"/>
    <w:rsid w:val="007B046B"/>
    <w:rsid w:val="007B09C5"/>
    <w:rsid w:val="007B2784"/>
    <w:rsid w:val="007B2858"/>
    <w:rsid w:val="007B39C4"/>
    <w:rsid w:val="007B41BD"/>
    <w:rsid w:val="007B5F9A"/>
    <w:rsid w:val="007B69A7"/>
    <w:rsid w:val="007C0895"/>
    <w:rsid w:val="007C1C79"/>
    <w:rsid w:val="007C5AC6"/>
    <w:rsid w:val="007C7D4D"/>
    <w:rsid w:val="007D5D06"/>
    <w:rsid w:val="007E41EA"/>
    <w:rsid w:val="007F12E2"/>
    <w:rsid w:val="007F218A"/>
    <w:rsid w:val="007F34A1"/>
    <w:rsid w:val="007F51B7"/>
    <w:rsid w:val="00803D67"/>
    <w:rsid w:val="008242FF"/>
    <w:rsid w:val="00832FD5"/>
    <w:rsid w:val="008349B1"/>
    <w:rsid w:val="00846F7B"/>
    <w:rsid w:val="008518BC"/>
    <w:rsid w:val="00852C57"/>
    <w:rsid w:val="00857010"/>
    <w:rsid w:val="008575A0"/>
    <w:rsid w:val="00870751"/>
    <w:rsid w:val="00873291"/>
    <w:rsid w:val="0087518D"/>
    <w:rsid w:val="00876735"/>
    <w:rsid w:val="00876EF2"/>
    <w:rsid w:val="00884645"/>
    <w:rsid w:val="00886AE2"/>
    <w:rsid w:val="008905DD"/>
    <w:rsid w:val="008946E5"/>
    <w:rsid w:val="008A249F"/>
    <w:rsid w:val="008A77AA"/>
    <w:rsid w:val="008D76F1"/>
    <w:rsid w:val="008D7E22"/>
    <w:rsid w:val="008E06C3"/>
    <w:rsid w:val="008E1E7D"/>
    <w:rsid w:val="008F1E32"/>
    <w:rsid w:val="008F2E8E"/>
    <w:rsid w:val="00900417"/>
    <w:rsid w:val="00901EA0"/>
    <w:rsid w:val="00903B7E"/>
    <w:rsid w:val="00905DBD"/>
    <w:rsid w:val="00913B3F"/>
    <w:rsid w:val="00915494"/>
    <w:rsid w:val="00922C48"/>
    <w:rsid w:val="00923F61"/>
    <w:rsid w:val="00925F4F"/>
    <w:rsid w:val="00934B22"/>
    <w:rsid w:val="00940331"/>
    <w:rsid w:val="009513FA"/>
    <w:rsid w:val="00952560"/>
    <w:rsid w:val="00953AC2"/>
    <w:rsid w:val="0095424D"/>
    <w:rsid w:val="009564D3"/>
    <w:rsid w:val="009661AB"/>
    <w:rsid w:val="009679E4"/>
    <w:rsid w:val="00977B6E"/>
    <w:rsid w:val="00985E0F"/>
    <w:rsid w:val="009864F8"/>
    <w:rsid w:val="0098785B"/>
    <w:rsid w:val="00987AF1"/>
    <w:rsid w:val="009943CE"/>
    <w:rsid w:val="009A5389"/>
    <w:rsid w:val="009A5F88"/>
    <w:rsid w:val="009B28FA"/>
    <w:rsid w:val="009B53AC"/>
    <w:rsid w:val="009B7DDB"/>
    <w:rsid w:val="009C06B9"/>
    <w:rsid w:val="009C510C"/>
    <w:rsid w:val="009E159E"/>
    <w:rsid w:val="009E455D"/>
    <w:rsid w:val="009F0229"/>
    <w:rsid w:val="009F0C2C"/>
    <w:rsid w:val="009F465E"/>
    <w:rsid w:val="009F7E52"/>
    <w:rsid w:val="00A068C0"/>
    <w:rsid w:val="00A100BD"/>
    <w:rsid w:val="00A235B2"/>
    <w:rsid w:val="00A25D81"/>
    <w:rsid w:val="00A26F09"/>
    <w:rsid w:val="00A33D69"/>
    <w:rsid w:val="00A41FCC"/>
    <w:rsid w:val="00A42EBA"/>
    <w:rsid w:val="00A43749"/>
    <w:rsid w:val="00A4634D"/>
    <w:rsid w:val="00A471DB"/>
    <w:rsid w:val="00A504B9"/>
    <w:rsid w:val="00A51823"/>
    <w:rsid w:val="00A538A7"/>
    <w:rsid w:val="00A64081"/>
    <w:rsid w:val="00A64829"/>
    <w:rsid w:val="00A67F10"/>
    <w:rsid w:val="00A72A67"/>
    <w:rsid w:val="00A75595"/>
    <w:rsid w:val="00A85867"/>
    <w:rsid w:val="00A8795A"/>
    <w:rsid w:val="00A94D3B"/>
    <w:rsid w:val="00A96844"/>
    <w:rsid w:val="00AA1BA5"/>
    <w:rsid w:val="00AB33CD"/>
    <w:rsid w:val="00AC282A"/>
    <w:rsid w:val="00AC2B94"/>
    <w:rsid w:val="00AC37CD"/>
    <w:rsid w:val="00AC6A4D"/>
    <w:rsid w:val="00AD60D1"/>
    <w:rsid w:val="00AD7AAA"/>
    <w:rsid w:val="00AE2769"/>
    <w:rsid w:val="00AE3775"/>
    <w:rsid w:val="00AF42FF"/>
    <w:rsid w:val="00AF45E9"/>
    <w:rsid w:val="00AF7343"/>
    <w:rsid w:val="00B104AE"/>
    <w:rsid w:val="00B10C72"/>
    <w:rsid w:val="00B12829"/>
    <w:rsid w:val="00B16CFE"/>
    <w:rsid w:val="00B17435"/>
    <w:rsid w:val="00B220EA"/>
    <w:rsid w:val="00B22B81"/>
    <w:rsid w:val="00B30399"/>
    <w:rsid w:val="00B42F8E"/>
    <w:rsid w:val="00B5317B"/>
    <w:rsid w:val="00B54D71"/>
    <w:rsid w:val="00B654EF"/>
    <w:rsid w:val="00B661D1"/>
    <w:rsid w:val="00B702C5"/>
    <w:rsid w:val="00B7598E"/>
    <w:rsid w:val="00B915B7"/>
    <w:rsid w:val="00B921A5"/>
    <w:rsid w:val="00B9590F"/>
    <w:rsid w:val="00BA32C6"/>
    <w:rsid w:val="00BB23BD"/>
    <w:rsid w:val="00BB4B60"/>
    <w:rsid w:val="00BB5E27"/>
    <w:rsid w:val="00BB5F88"/>
    <w:rsid w:val="00BC4C8B"/>
    <w:rsid w:val="00BD2DF0"/>
    <w:rsid w:val="00BE280F"/>
    <w:rsid w:val="00BE34A3"/>
    <w:rsid w:val="00BE52BC"/>
    <w:rsid w:val="00BE547F"/>
    <w:rsid w:val="00BF786D"/>
    <w:rsid w:val="00C00B96"/>
    <w:rsid w:val="00C00E6A"/>
    <w:rsid w:val="00C02E2B"/>
    <w:rsid w:val="00C1065C"/>
    <w:rsid w:val="00C1327A"/>
    <w:rsid w:val="00C144D5"/>
    <w:rsid w:val="00C21811"/>
    <w:rsid w:val="00C25829"/>
    <w:rsid w:val="00C27AE2"/>
    <w:rsid w:val="00C339FA"/>
    <w:rsid w:val="00C51C17"/>
    <w:rsid w:val="00C51E9A"/>
    <w:rsid w:val="00C51ECA"/>
    <w:rsid w:val="00C53754"/>
    <w:rsid w:val="00C5705F"/>
    <w:rsid w:val="00C57737"/>
    <w:rsid w:val="00C606D2"/>
    <w:rsid w:val="00C61F5C"/>
    <w:rsid w:val="00C63C91"/>
    <w:rsid w:val="00C649FF"/>
    <w:rsid w:val="00C65940"/>
    <w:rsid w:val="00C67C88"/>
    <w:rsid w:val="00C85EBA"/>
    <w:rsid w:val="00C8777A"/>
    <w:rsid w:val="00C923CD"/>
    <w:rsid w:val="00C96091"/>
    <w:rsid w:val="00CA0EDF"/>
    <w:rsid w:val="00CB17E0"/>
    <w:rsid w:val="00CB1DB0"/>
    <w:rsid w:val="00CB66D6"/>
    <w:rsid w:val="00CC4A3F"/>
    <w:rsid w:val="00CD19EF"/>
    <w:rsid w:val="00CD451C"/>
    <w:rsid w:val="00CD5BF5"/>
    <w:rsid w:val="00CD68E8"/>
    <w:rsid w:val="00CE2FF7"/>
    <w:rsid w:val="00CE6527"/>
    <w:rsid w:val="00CF533F"/>
    <w:rsid w:val="00D032C8"/>
    <w:rsid w:val="00D06D02"/>
    <w:rsid w:val="00D0701B"/>
    <w:rsid w:val="00D22F72"/>
    <w:rsid w:val="00D23DB9"/>
    <w:rsid w:val="00D31521"/>
    <w:rsid w:val="00D4034E"/>
    <w:rsid w:val="00D42DB1"/>
    <w:rsid w:val="00D57D6A"/>
    <w:rsid w:val="00D62EEF"/>
    <w:rsid w:val="00D756A8"/>
    <w:rsid w:val="00D81A03"/>
    <w:rsid w:val="00D81F5C"/>
    <w:rsid w:val="00D911D0"/>
    <w:rsid w:val="00D934D0"/>
    <w:rsid w:val="00DA34BE"/>
    <w:rsid w:val="00DA350B"/>
    <w:rsid w:val="00DB3304"/>
    <w:rsid w:val="00DB5740"/>
    <w:rsid w:val="00DC0306"/>
    <w:rsid w:val="00DD658D"/>
    <w:rsid w:val="00DD6D2A"/>
    <w:rsid w:val="00DE3AFA"/>
    <w:rsid w:val="00DE461C"/>
    <w:rsid w:val="00DF7EA0"/>
    <w:rsid w:val="00E06A2B"/>
    <w:rsid w:val="00E147C3"/>
    <w:rsid w:val="00E14C57"/>
    <w:rsid w:val="00E20834"/>
    <w:rsid w:val="00E20912"/>
    <w:rsid w:val="00E20FFC"/>
    <w:rsid w:val="00E21F35"/>
    <w:rsid w:val="00E26F01"/>
    <w:rsid w:val="00E35F5E"/>
    <w:rsid w:val="00E37C77"/>
    <w:rsid w:val="00E40313"/>
    <w:rsid w:val="00E429BC"/>
    <w:rsid w:val="00E42F8F"/>
    <w:rsid w:val="00E476B2"/>
    <w:rsid w:val="00E5693B"/>
    <w:rsid w:val="00E726EB"/>
    <w:rsid w:val="00E77591"/>
    <w:rsid w:val="00E8225E"/>
    <w:rsid w:val="00E8463E"/>
    <w:rsid w:val="00E91A6C"/>
    <w:rsid w:val="00EA3CDC"/>
    <w:rsid w:val="00EA536B"/>
    <w:rsid w:val="00EA59DF"/>
    <w:rsid w:val="00EA5AAF"/>
    <w:rsid w:val="00EA6B70"/>
    <w:rsid w:val="00EB0DBC"/>
    <w:rsid w:val="00EC3069"/>
    <w:rsid w:val="00EC4320"/>
    <w:rsid w:val="00EC6D62"/>
    <w:rsid w:val="00ED36CC"/>
    <w:rsid w:val="00EE4070"/>
    <w:rsid w:val="00EF387A"/>
    <w:rsid w:val="00EF3B45"/>
    <w:rsid w:val="00F025D5"/>
    <w:rsid w:val="00F04975"/>
    <w:rsid w:val="00F11BFC"/>
    <w:rsid w:val="00F12C76"/>
    <w:rsid w:val="00F2695D"/>
    <w:rsid w:val="00F31019"/>
    <w:rsid w:val="00F326A9"/>
    <w:rsid w:val="00F41AD0"/>
    <w:rsid w:val="00F4595E"/>
    <w:rsid w:val="00F5124B"/>
    <w:rsid w:val="00F532BC"/>
    <w:rsid w:val="00F533FC"/>
    <w:rsid w:val="00F660FF"/>
    <w:rsid w:val="00F72958"/>
    <w:rsid w:val="00F772B2"/>
    <w:rsid w:val="00F80CCA"/>
    <w:rsid w:val="00F80F53"/>
    <w:rsid w:val="00F82673"/>
    <w:rsid w:val="00F8603D"/>
    <w:rsid w:val="00F9432B"/>
    <w:rsid w:val="00F96698"/>
    <w:rsid w:val="00FA0570"/>
    <w:rsid w:val="00FB471E"/>
    <w:rsid w:val="00FB79A1"/>
    <w:rsid w:val="00FB7B4A"/>
    <w:rsid w:val="00FC0F57"/>
    <w:rsid w:val="00FD1B01"/>
    <w:rsid w:val="00FD66BE"/>
    <w:rsid w:val="00FE1F47"/>
    <w:rsid w:val="00FF09DF"/>
    <w:rsid w:val="00FF0EC8"/>
    <w:rsid w:val="00FF17AA"/>
    <w:rsid w:val="00FF32CD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E7404"/>
  <w15:chartTrackingRefBased/>
  <w15:docId w15:val="{F8EAE165-A483-4860-A7E3-4E5EC561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9C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B39C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7B39C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39C4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7B39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39C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0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6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492</cp:revision>
  <dcterms:created xsi:type="dcterms:W3CDTF">2023-02-27T17:55:00Z</dcterms:created>
  <dcterms:modified xsi:type="dcterms:W3CDTF">2026-01-09T12:15:00Z</dcterms:modified>
</cp:coreProperties>
</file>